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CE5DF9" w14:textId="5C86254D" w:rsidR="0082752C" w:rsidRPr="005649DE" w:rsidRDefault="00F3721A" w:rsidP="005649DE">
      <w:pPr>
        <w:keepNext/>
        <w:pBdr>
          <w:top w:val="double" w:sz="6" w:space="10" w:color="002060"/>
          <w:bottom w:val="double" w:sz="6" w:space="1" w:color="002060"/>
        </w:pBdr>
        <w:spacing w:after="480" w:line="360" w:lineRule="auto"/>
        <w:ind w:right="-102"/>
        <w:rPr>
          <w:color w:val="002060"/>
          <w:sz w:val="20"/>
          <w:szCs w:val="20"/>
        </w:rPr>
      </w:pPr>
      <w:bookmarkStart w:id="0" w:name="OLE_LINK104"/>
      <w:bookmarkStart w:id="1" w:name="OLE_LINK105"/>
      <w:bookmarkStart w:id="2" w:name="OLE_LINK90"/>
      <w:r w:rsidRPr="005649DE">
        <w:rPr>
          <w:b/>
          <w:color w:val="002060"/>
          <w:sz w:val="32"/>
          <w:szCs w:val="32"/>
        </w:rPr>
        <w:t>V</w:t>
      </w:r>
      <w:r w:rsidR="005E2956" w:rsidRPr="005649DE">
        <w:rPr>
          <w:b/>
          <w:color w:val="002060"/>
          <w:sz w:val="32"/>
          <w:szCs w:val="32"/>
        </w:rPr>
        <w:t>I</w:t>
      </w:r>
      <w:r w:rsidR="00DE6CE3" w:rsidRPr="005649DE">
        <w:rPr>
          <w:b/>
          <w:color w:val="002060"/>
          <w:sz w:val="32"/>
          <w:szCs w:val="32"/>
        </w:rPr>
        <w:t xml:space="preserve">.  </w:t>
      </w:r>
      <w:r w:rsidR="005E2956" w:rsidRPr="005649DE">
        <w:rPr>
          <w:b/>
          <w:color w:val="002060"/>
          <w:sz w:val="32"/>
          <w:szCs w:val="32"/>
        </w:rPr>
        <w:t>PERSPECTIVAS PARA 2015-2016</w:t>
      </w:r>
      <w:bookmarkEnd w:id="0"/>
      <w:bookmarkEnd w:id="1"/>
      <w:bookmarkEnd w:id="2"/>
    </w:p>
    <w:p w14:paraId="43DF38C1" w14:textId="77777777" w:rsidR="00874532" w:rsidRPr="00874532" w:rsidRDefault="00874532" w:rsidP="00874532">
      <w:pPr>
        <w:ind w:right="-159"/>
        <w:jc w:val="both"/>
        <w:rPr>
          <w:rFonts w:eastAsia="Calibri"/>
          <w:b/>
          <w:sz w:val="26"/>
          <w:szCs w:val="26"/>
          <w:lang w:eastAsia="en-US"/>
        </w:rPr>
      </w:pPr>
      <w:r w:rsidRPr="00874532">
        <w:rPr>
          <w:rFonts w:eastAsia="Calibri"/>
          <w:b/>
          <w:sz w:val="26"/>
          <w:szCs w:val="26"/>
          <w:lang w:eastAsia="en-US"/>
        </w:rPr>
        <w:t xml:space="preserve">Se Entrega al Congreso de la Unión el documento </w:t>
      </w:r>
    </w:p>
    <w:p w14:paraId="65910B38" w14:textId="13E2688B" w:rsidR="00874532" w:rsidRPr="00874532" w:rsidRDefault="00874532" w:rsidP="00874532">
      <w:pPr>
        <w:spacing w:after="360" w:line="360" w:lineRule="auto"/>
        <w:ind w:right="-159"/>
        <w:jc w:val="both"/>
        <w:rPr>
          <w:rFonts w:eastAsia="Calibri"/>
          <w:b/>
          <w:sz w:val="26"/>
          <w:szCs w:val="26"/>
          <w:lang w:eastAsia="en-US"/>
        </w:rPr>
      </w:pPr>
      <w:r w:rsidRPr="00874532">
        <w:rPr>
          <w:rFonts w:eastAsia="Calibri"/>
          <w:b/>
          <w:sz w:val="26"/>
          <w:szCs w:val="26"/>
          <w:lang w:eastAsia="en-US"/>
        </w:rPr>
        <w:t>de Pre-Criterios 201</w:t>
      </w:r>
      <w:r w:rsidR="003348FA">
        <w:rPr>
          <w:rFonts w:eastAsia="Calibri"/>
          <w:b/>
          <w:sz w:val="26"/>
          <w:szCs w:val="26"/>
          <w:lang w:eastAsia="en-US"/>
        </w:rPr>
        <w:t>6</w:t>
      </w:r>
      <w:r w:rsidRPr="00874532">
        <w:rPr>
          <w:rFonts w:eastAsia="Calibri"/>
          <w:b/>
          <w:sz w:val="26"/>
          <w:szCs w:val="26"/>
          <w:lang w:eastAsia="en-US"/>
        </w:rPr>
        <w:t xml:space="preserve"> (SHCP)</w:t>
      </w:r>
    </w:p>
    <w:p w14:paraId="08684BA6" w14:textId="4CCA8B8F"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El 31 de marzo de 2015, la Secretaría de Hacienda y Crédito Público (SHCP) entregó al Congreso de la Unión el documento de Pre-Criterios 201</w:t>
      </w:r>
      <w:r w:rsidR="003348FA">
        <w:rPr>
          <w:rFonts w:eastAsia="Calibri"/>
          <w:sz w:val="26"/>
          <w:szCs w:val="26"/>
          <w:lang w:eastAsia="en-US"/>
        </w:rPr>
        <w:t>6</w:t>
      </w:r>
      <w:r w:rsidRPr="00874532">
        <w:rPr>
          <w:rFonts w:eastAsia="Calibri"/>
          <w:sz w:val="26"/>
          <w:szCs w:val="26"/>
          <w:lang w:eastAsia="en-US"/>
        </w:rPr>
        <w:t>, el cual se presenta a continuación.</w:t>
      </w:r>
    </w:p>
    <w:p w14:paraId="242ACCCA"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La SHCP cumple en tiempo y forma con la entrega al Congreso de la Unión del “Documento relativo al cumplimiento de las disposiciones contenidas en el artículo 42, fracción I, de la Ley Federal de Presupuesto y Responsabilidad Hacendaria”, conocido comúnmente como “Pre-Criterios”.</w:t>
      </w:r>
    </w:p>
    <w:p w14:paraId="18FF1EAD" w14:textId="2D0CFC8A"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Los Pre-Criterios de este año se presentan bajo un entorno externo complejo que tiene repercusiones sobre las finanzas públicas. Destaca la caída del precio del petróleo y la mayor volatilidad de los mercados financieros asociada a la normalización de la política monetaria en Estados Unidos de Norteamérica. En este entorno, México se ha diferenciado de otras economías emergentes al registrar un ajuste ordenado. El país es uno de los mercados emergentes en que el tipo de cambio, la tasa de interés y el riesgo soberano se han visto menos afectados por la reciente volatilidad financiera.</w:t>
      </w:r>
      <w:r w:rsidR="00BE7B7D" w:rsidRPr="00BE7B7D">
        <w:rPr>
          <w:rFonts w:eastAsia="Calibri"/>
          <w:noProof/>
          <w:sz w:val="26"/>
          <w:szCs w:val="26"/>
          <w:lang w:eastAsia="es-MX"/>
        </w:rPr>
        <w:t xml:space="preserve"> </w:t>
      </w:r>
    </w:p>
    <w:p w14:paraId="0E489CA8" w14:textId="66410C8D" w:rsidR="00874532" w:rsidRPr="00874532" w:rsidRDefault="00BE7B7D" w:rsidP="00874532">
      <w:pPr>
        <w:spacing w:after="360" w:line="360" w:lineRule="auto"/>
        <w:ind w:right="-159"/>
        <w:jc w:val="both"/>
        <w:rPr>
          <w:rFonts w:eastAsia="Calibri"/>
          <w:sz w:val="26"/>
          <w:szCs w:val="26"/>
          <w:lang w:eastAsia="en-US"/>
        </w:rPr>
      </w:pPr>
      <w:r w:rsidRPr="00570084">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509E29B0" wp14:editId="2CF3038A">
                <wp:simplePos x="0" y="0"/>
                <wp:positionH relativeFrom="margin">
                  <wp:posOffset>3340100</wp:posOffset>
                </wp:positionH>
                <wp:positionV relativeFrom="bottomMargin">
                  <wp:posOffset>152400</wp:posOffset>
                </wp:positionV>
                <wp:extent cx="2360930" cy="275590"/>
                <wp:effectExtent l="0" t="0" r="127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75590"/>
                        </a:xfrm>
                        <a:prstGeom prst="rect">
                          <a:avLst/>
                        </a:prstGeom>
                        <a:solidFill>
                          <a:srgbClr val="FFFFFF"/>
                        </a:solidFill>
                        <a:ln w="9525">
                          <a:noFill/>
                          <a:miter lim="800000"/>
                          <a:headEnd/>
                          <a:tailEnd/>
                        </a:ln>
                      </wps:spPr>
                      <wps:txbx>
                        <w:txbxContent>
                          <w:p w14:paraId="02FADE51" w14:textId="77777777" w:rsidR="00BE7B7D" w:rsidRDefault="00BE7B7D" w:rsidP="00BE7B7D">
                            <w:pPr>
                              <w:tabs>
                                <w:tab w:val="center" w:pos="4252"/>
                                <w:tab w:val="right" w:pos="8504"/>
                              </w:tabs>
                              <w:jc w:val="right"/>
                            </w:pPr>
                            <w:r w:rsidRPr="00570084">
                              <w:rPr>
                                <w:rFonts w:eastAsia="Times New Roman"/>
                                <w:lang w:val="es-ES"/>
                              </w:rPr>
                              <w:t>F1 P-07-02  Rev.00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509E29B0" id="_x0000_t202" coordsize="21600,21600" o:spt="202" path="m,l,21600r21600,l21600,xe">
                <v:stroke joinstyle="miter"/>
                <v:path gradientshapeok="t" o:connecttype="rect"/>
              </v:shapetype>
              <v:shape id="Cuadro de texto 2" o:spid="_x0000_s1026" type="#_x0000_t202" style="position:absolute;left:0;text-align:left;margin-left:263pt;margin-top:12pt;width:185.9pt;height:21.7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" stroked="f">
                <v:textbox style="mso-fit-shape-to-text:t">
                  <w:txbxContent>
                    <w:p w14:paraId="02FADE51" w14:textId="77777777" w:rsidR="00BE7B7D" w:rsidRDefault="00BE7B7D" w:rsidP="00BE7B7D">
                      <w:pPr>
                        <w:tabs>
                          <w:tab w:val="center" w:pos="4252"/>
                          <w:tab w:val="right" w:pos="8504"/>
                        </w:tabs>
                        <w:jc w:val="right"/>
                      </w:pPr>
                      <w:r w:rsidRPr="00570084">
                        <w:rPr>
                          <w:rFonts w:eastAsia="Times New Roman"/>
                          <w:lang w:val="es-ES"/>
                        </w:rPr>
                        <w:t>F1 P-07-02  Rev.00</w:t>
                      </w:r>
                    </w:p>
                  </w:txbxContent>
                </v:textbox>
                <w10:wrap type="square" anchorx="margin" anchory="margin"/>
              </v:shape>
            </w:pict>
          </mc:Fallback>
        </mc:AlternateContent>
      </w:r>
      <w:r w:rsidR="00874532" w:rsidRPr="00874532">
        <w:rPr>
          <w:rFonts w:eastAsia="Calibri"/>
          <w:sz w:val="26"/>
          <w:szCs w:val="26"/>
          <w:lang w:eastAsia="en-US"/>
        </w:rPr>
        <w:t xml:space="preserve">Este comportamiento favorable en México es el resultado de políticas macroeconómicas sólidas, tales como el régimen de tipo de cambio flexible, una adecuada política de acumulación de reservas internacionales, una línea de crédito flexible con el Fondo Monetario Internacional (FMI), acceso a un mercado de deuda profundo y diversificado, así como una reconocida estrategia de cobertura de los ingresos petroleros. Asimismo, es el resultado del avance en la implementación de la agenda de reformas estructurales; del compromiso con una trayectoria de déficit </w:t>
      </w:r>
      <w:r w:rsidR="00874532" w:rsidRPr="00874532">
        <w:rPr>
          <w:rFonts w:eastAsia="Calibri"/>
          <w:sz w:val="26"/>
          <w:szCs w:val="26"/>
          <w:lang w:eastAsia="en-US"/>
        </w:rPr>
        <w:lastRenderedPageBreak/>
        <w:t>decreciente, y de una economía que muestra un crecimiento balanceado entre sectores. Destaca, como un factor de solidez de las finanzas públicas, la Reforma Hacendaria que ha permitido fortalecer y diversificar las fuentes de ingresos del Gobierno de la República. Se estima que para 2016 se obtendrán ingresos tributarios equivalentes a 11.5% del Producto Interno Bruto (PIB), lo que representa un aumento de 1.8 puntos del PIB respecto a lo registrado en 2013.</w:t>
      </w:r>
    </w:p>
    <w:p w14:paraId="12AE894A"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En este entorno, el Gobierno de la República está actuando de manera responsable y preventiva. El 30 de enero del presente año, se refrendó el compromiso con la estabilidad macroeconómica, no como un fin en sí mismo sino como un medio para proteger la actividad productiva y la economía de las familias mexicanas. En dicha fecha, se informó que ante la presencia de menores ingresos, no se incrementará la deuda pública ni se aumentarán los impuestos. En su lugar, se está llevando a cabo un ajuste preventivo del gasto durante 2015, así como una restructuración del Proyecto de Presupuesto de Egresos para 2016 con un enfoque Base Cero.</w:t>
      </w:r>
    </w:p>
    <w:p w14:paraId="4CD58E75"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Para 2015, se define un marco macroeconómico que contempla ajustes en línea con la evolución económica reciente y que permiten construir un escenario de finanzas públicas responsable para dicho año. Al respecto, destaca la reducción que ha registrado el precio internacional del petróleo, así como la plataforma de producción petrolera. Al 23 de marzo de este año, el precio promedio de la mezcla mexicana durante 2015 fue de 44 dólares por barril (dpb), nivel inferior en 48.8% al precio promedio de 2014        (86 dpb) y 44.3% inferior a lo presupuestado (79 dpb). Asimismo, de enero a febrero de 2015, se observó un nivel de producción promedio de petróleo de 2 millones 290 mil barriles diarios (mbd), que contrasta con los 2 millones 396 mil barriles diarios programados para el mismo período.</w:t>
      </w:r>
    </w:p>
    <w:p w14:paraId="37C70FA5"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 xml:space="preserve">En línea con ello, se cuantifica la reducción estimada de los ingresos para el cierre de año y se describe cómo este faltante de recursos podrá ser compensado en su totalidad </w:t>
      </w:r>
      <w:r w:rsidRPr="00874532">
        <w:rPr>
          <w:rFonts w:eastAsia="Calibri"/>
          <w:sz w:val="26"/>
          <w:szCs w:val="26"/>
          <w:lang w:eastAsia="en-US"/>
        </w:rPr>
        <w:lastRenderedPageBreak/>
        <w:t>con el uso de las coberturas petroleras, así como mediante el ajuste preventivo del gasto anunciado el 30 de e</w:t>
      </w:r>
      <w:bookmarkStart w:id="3" w:name="_GoBack"/>
      <w:bookmarkEnd w:id="3"/>
      <w:r w:rsidRPr="00874532">
        <w:rPr>
          <w:rFonts w:eastAsia="Calibri"/>
          <w:sz w:val="26"/>
          <w:szCs w:val="26"/>
          <w:lang w:eastAsia="en-US"/>
        </w:rPr>
        <w:t>nero de este año. En específico, se estima que la disminución de los ingresos presupuestarios en 2015, después de compensar por las coberturas petroleras, requerirá un ajuste del gasto programable por 124 mil millones de pesos (mmp). Esto implica que el ajuste preventivo de gasto anunciado en enero permite que el déficit presupuestario al cierre de 2015 se mantenga en línea con las metas de balance aprobadas por el Congreso de la Unión, refrendando el compromiso del Gobierno de la República con la solidez de las finanzas públicas.</w:t>
      </w:r>
    </w:p>
    <w:p w14:paraId="6AB0116B"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Al igual que para 2015, el documento de Pre-Criterios plantea un marco macroeconómico prudente para 2016 y cuantifica el ajuste de gasto que será necesario para cumplir con la trayectoria de déficit decreciente comprometida por el Gobierno de la República. En específico, proyecta los ingresos para 2016, utilizando un precio del petróleo de 55 dpb, lo que representa una disminución de 24 dólares con respeto al presupuesto 2015 e implica que, en 2016, se requerirá un ajuste adicional al gasto programable por 135 mmp respecto al estimado de cierre para 2015. Esto es equivalente a una reducción anual de 4.3%, alrededor de la mitad de lo que sería necesario si no se hubiera comenzado a reducir el gasto desde principios de 2015. También se estima que el ajuste resulta 360 mmp menor a lo que hubiera sido necesario de no haberse aprobado la Reforma Hacendaria de 2013.</w:t>
      </w:r>
    </w:p>
    <w:p w14:paraId="7F9925F6"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Ante la previsión de dicho ajuste, desde enero del presente año se empezó a trabajar en la reingeniería del gasto público con una perspectiva de Presupuesto Base Cero, con lo que se busca contener el crecimiento inercial del gasto que se generó en un contexto de altos precios del petróleo registrados en años anteriores. Cabe recordar que entre 2000 y 2013, el gasto corriente creció a una tasa real anual promedio de 5.2%, incrementando su nivel total de 10.9 a 15.2% del PIB.</w:t>
      </w:r>
    </w:p>
    <w:p w14:paraId="31524461"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lastRenderedPageBreak/>
        <w:t>Para elaborar el Presupuesto de 2016, se analizarán todos los rubros específicos del gasto público, identificando la flexibilidad de cada uno en términos de las obligaciones jurídicas del Gobierno Federal y llevando a cabo un análisis detallado de los programas presupuestarios y de las unidades administrativas que conforman la Administración Pública Federal, con el fin de: 1) identificar complementariedades, similitudes o posibles duplicidades en los programas y estructuras; 2) priorizar los programas presupuestarios de conformidad con las Metas Nacionales del Plan Nacional de Desarrollo 2013-2018 y con base en su desempeño, y 3) establecer criterios adicionales para la prelación de programas y proyectos de inversión con base en la mayor rentabilidad social y económica, a la vez de promover una mayor participación del sector privado en los esquemas de financiamiento. Mediante este ejercicio presupuestario se definirán los montos específicos de ajuste que se llevarán a cabo en cada rubro de gasto, mismos que serán plasmados en el Proyecto de Presupuesto de Egresos de la Federación para el ejercicio fiscal 2016.</w:t>
      </w:r>
    </w:p>
    <w:p w14:paraId="3C161A60"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Las medidas preventivas de ajuste de gasto en 2015, la reingeniería del gasto público para 2016, así como una profunda y adecuada implementación de la agenda de reformas estructurales que aprobó el Congreso de la Unión, permitirán una evolución adecuada de las finanzas públicas en los ejercicios fiscales de 2015 y 2016, manteniendo la responsabilidad fiscal; así como estableciendo bases sólidas de programación y presupuesto de los recursos públicos en el mediano y largo plazo.</w:t>
      </w:r>
    </w:p>
    <w:p w14:paraId="36FEA63F" w14:textId="77777777" w:rsidR="00874532" w:rsidRPr="00874532" w:rsidRDefault="00874532" w:rsidP="00874532">
      <w:pPr>
        <w:spacing w:after="360" w:line="360" w:lineRule="auto"/>
        <w:ind w:right="-159"/>
        <w:jc w:val="both"/>
        <w:rPr>
          <w:rFonts w:eastAsia="Calibri"/>
          <w:sz w:val="26"/>
          <w:szCs w:val="26"/>
          <w:lang w:eastAsia="en-US"/>
        </w:rPr>
      </w:pPr>
      <w:r w:rsidRPr="00874532">
        <w:rPr>
          <w:rFonts w:eastAsia="Calibri"/>
          <w:sz w:val="26"/>
          <w:szCs w:val="26"/>
          <w:lang w:eastAsia="en-US"/>
        </w:rPr>
        <w:t>La SHCP reitera su compromiso con el manejo responsable de las finanzas públicas y la estabilidad macroeconómica, como una condición indispensable para lograr un crecimiento económico sostenido en favor del bienestar de todos los mexicanos.</w:t>
      </w:r>
    </w:p>
    <w:p w14:paraId="623CA2C4" w14:textId="77777777" w:rsidR="00874532" w:rsidRPr="00874532" w:rsidRDefault="00874532" w:rsidP="00874532">
      <w:pPr>
        <w:spacing w:after="360" w:line="360" w:lineRule="auto"/>
        <w:ind w:right="-159"/>
        <w:jc w:val="both"/>
        <w:rPr>
          <w:rFonts w:eastAsia="Calibri"/>
          <w:sz w:val="26"/>
          <w:szCs w:val="26"/>
          <w:lang w:eastAsia="en-US"/>
        </w:rPr>
      </w:pPr>
    </w:p>
    <w:p w14:paraId="4B3D17EA" w14:textId="77777777" w:rsidR="00874532" w:rsidRPr="00874532" w:rsidRDefault="00874532" w:rsidP="00874532">
      <w:pPr>
        <w:spacing w:after="360" w:line="360" w:lineRule="auto"/>
        <w:ind w:right="-159"/>
        <w:jc w:val="both"/>
        <w:rPr>
          <w:rFonts w:eastAsia="Calibri"/>
          <w:sz w:val="26"/>
          <w:szCs w:val="26"/>
          <w:lang w:eastAsia="en-US"/>
        </w:rPr>
      </w:pPr>
    </w:p>
    <w:p w14:paraId="11B09000" w14:textId="77777777" w:rsidR="00874532" w:rsidRPr="00874532" w:rsidRDefault="00874532" w:rsidP="00874532">
      <w:pPr>
        <w:spacing w:after="360" w:line="360" w:lineRule="auto"/>
        <w:ind w:right="-159"/>
        <w:jc w:val="center"/>
        <w:rPr>
          <w:rFonts w:eastAsia="Calibri"/>
          <w:b/>
          <w:sz w:val="26"/>
          <w:szCs w:val="26"/>
          <w:lang w:eastAsia="en-US"/>
        </w:rPr>
      </w:pPr>
      <w:r w:rsidRPr="00874532">
        <w:rPr>
          <w:rFonts w:eastAsia="Calibri"/>
          <w:b/>
          <w:sz w:val="26"/>
          <w:szCs w:val="26"/>
          <w:lang w:eastAsia="en-US"/>
        </w:rPr>
        <w:lastRenderedPageBreak/>
        <w:t>Anexo I</w:t>
      </w:r>
    </w:p>
    <w:tbl>
      <w:tblPr>
        <w:tblW w:w="0" w:type="auto"/>
        <w:jc w:val="center"/>
        <w:tblLook w:val="04A0" w:firstRow="1" w:lastRow="0" w:firstColumn="1" w:lastColumn="0" w:noHBand="0" w:noVBand="1"/>
      </w:tblPr>
      <w:tblGrid>
        <w:gridCol w:w="5245"/>
        <w:gridCol w:w="1559"/>
        <w:gridCol w:w="1418"/>
      </w:tblGrid>
      <w:tr w:rsidR="00874532" w:rsidRPr="00874532" w14:paraId="00C61F68" w14:textId="77777777" w:rsidTr="002B3A4F">
        <w:trPr>
          <w:jc w:val="center"/>
        </w:trPr>
        <w:tc>
          <w:tcPr>
            <w:tcW w:w="8222" w:type="dxa"/>
            <w:gridSpan w:val="3"/>
            <w:tcBorders>
              <w:top w:val="nil"/>
              <w:left w:val="nil"/>
              <w:bottom w:val="single" w:sz="4" w:space="0" w:color="auto"/>
              <w:right w:val="nil"/>
            </w:tcBorders>
          </w:tcPr>
          <w:p w14:paraId="3D910DAB" w14:textId="77777777" w:rsidR="00874532" w:rsidRPr="00874532" w:rsidRDefault="00874532" w:rsidP="00874532">
            <w:pPr>
              <w:spacing w:after="120"/>
              <w:jc w:val="center"/>
              <w:rPr>
                <w:rFonts w:eastAsia="Calibri"/>
                <w:b/>
                <w:sz w:val="22"/>
                <w:szCs w:val="22"/>
                <w:lang w:eastAsia="en-US"/>
              </w:rPr>
            </w:pPr>
            <w:r w:rsidRPr="00874532">
              <w:rPr>
                <w:rFonts w:eastAsia="Calibri"/>
                <w:b/>
                <w:sz w:val="22"/>
                <w:szCs w:val="22"/>
                <w:lang w:eastAsia="en-US"/>
              </w:rPr>
              <w:t>MARCO MACROECONÓMICO, 2015-2016</w:t>
            </w:r>
            <w:r w:rsidRPr="00874532">
              <w:rPr>
                <w:rFonts w:eastAsia="Calibri"/>
                <w:b/>
                <w:sz w:val="22"/>
                <w:szCs w:val="22"/>
                <w:u w:val="single"/>
                <w:vertAlign w:val="superscript"/>
                <w:lang w:eastAsia="en-US"/>
              </w:rPr>
              <w:t>e</w:t>
            </w:r>
            <w:r w:rsidRPr="00874532">
              <w:rPr>
                <w:rFonts w:eastAsia="Calibri"/>
                <w:b/>
                <w:sz w:val="22"/>
                <w:szCs w:val="22"/>
                <w:vertAlign w:val="superscript"/>
                <w:lang w:eastAsia="en-US"/>
              </w:rPr>
              <w:t>/</w:t>
            </w:r>
          </w:p>
        </w:tc>
      </w:tr>
      <w:tr w:rsidR="00874532" w:rsidRPr="00874532" w14:paraId="2A211C71" w14:textId="77777777" w:rsidTr="002B3A4F">
        <w:trPr>
          <w:jc w:val="center"/>
        </w:trPr>
        <w:tc>
          <w:tcPr>
            <w:tcW w:w="5245" w:type="dxa"/>
            <w:tcBorders>
              <w:top w:val="single" w:sz="4" w:space="0" w:color="auto"/>
              <w:left w:val="single" w:sz="4" w:space="0" w:color="auto"/>
              <w:bottom w:val="single" w:sz="4" w:space="0" w:color="auto"/>
              <w:right w:val="single" w:sz="4" w:space="0" w:color="auto"/>
            </w:tcBorders>
          </w:tcPr>
          <w:p w14:paraId="4BAF9ACB" w14:textId="77777777" w:rsidR="00874532" w:rsidRPr="00874532" w:rsidRDefault="00874532" w:rsidP="00874532">
            <w:pPr>
              <w:spacing w:before="120" w:after="120"/>
              <w:jc w:val="center"/>
              <w:rPr>
                <w:rFonts w:eastAsia="Calibri"/>
                <w:b/>
                <w:sz w:val="20"/>
                <w:szCs w:val="20"/>
                <w:lang w:eastAsia="en-US"/>
              </w:rPr>
            </w:pPr>
          </w:p>
        </w:tc>
        <w:tc>
          <w:tcPr>
            <w:tcW w:w="1559" w:type="dxa"/>
            <w:tcBorders>
              <w:top w:val="single" w:sz="4" w:space="0" w:color="auto"/>
              <w:left w:val="single" w:sz="4" w:space="0" w:color="auto"/>
              <w:bottom w:val="single" w:sz="4" w:space="0" w:color="auto"/>
              <w:right w:val="single" w:sz="4" w:space="0" w:color="auto"/>
            </w:tcBorders>
          </w:tcPr>
          <w:p w14:paraId="2AD23890" w14:textId="77777777" w:rsidR="00874532" w:rsidRPr="00874532" w:rsidRDefault="00874532" w:rsidP="00874532">
            <w:pPr>
              <w:spacing w:before="120" w:after="120"/>
              <w:jc w:val="center"/>
              <w:rPr>
                <w:rFonts w:eastAsia="Calibri"/>
                <w:b/>
                <w:sz w:val="20"/>
                <w:szCs w:val="20"/>
                <w:lang w:eastAsia="en-US"/>
              </w:rPr>
            </w:pPr>
            <w:r w:rsidRPr="00874532">
              <w:rPr>
                <w:rFonts w:eastAsia="Calibri"/>
                <w:b/>
                <w:sz w:val="20"/>
                <w:szCs w:val="20"/>
                <w:lang w:eastAsia="en-US"/>
              </w:rPr>
              <w:t>2015</w:t>
            </w:r>
          </w:p>
        </w:tc>
        <w:tc>
          <w:tcPr>
            <w:tcW w:w="1418" w:type="dxa"/>
            <w:tcBorders>
              <w:top w:val="single" w:sz="4" w:space="0" w:color="auto"/>
              <w:left w:val="single" w:sz="4" w:space="0" w:color="auto"/>
              <w:bottom w:val="single" w:sz="4" w:space="0" w:color="auto"/>
              <w:right w:val="single" w:sz="4" w:space="0" w:color="auto"/>
            </w:tcBorders>
          </w:tcPr>
          <w:p w14:paraId="5DD0B0F2" w14:textId="77777777" w:rsidR="00874532" w:rsidRPr="00874532" w:rsidRDefault="00874532" w:rsidP="00874532">
            <w:pPr>
              <w:spacing w:before="120" w:after="120"/>
              <w:jc w:val="center"/>
              <w:rPr>
                <w:rFonts w:eastAsia="Calibri"/>
                <w:b/>
                <w:sz w:val="20"/>
                <w:szCs w:val="20"/>
                <w:lang w:eastAsia="en-US"/>
              </w:rPr>
            </w:pPr>
            <w:r w:rsidRPr="00874532">
              <w:rPr>
                <w:rFonts w:eastAsia="Calibri"/>
                <w:b/>
                <w:sz w:val="20"/>
                <w:szCs w:val="20"/>
                <w:lang w:eastAsia="en-US"/>
              </w:rPr>
              <w:t>2016</w:t>
            </w:r>
          </w:p>
        </w:tc>
      </w:tr>
      <w:tr w:rsidR="00874532" w:rsidRPr="00874532" w14:paraId="159E1497" w14:textId="77777777" w:rsidTr="002B3A4F">
        <w:trPr>
          <w:jc w:val="center"/>
        </w:trPr>
        <w:tc>
          <w:tcPr>
            <w:tcW w:w="5245" w:type="dxa"/>
            <w:tcBorders>
              <w:top w:val="single" w:sz="4" w:space="0" w:color="auto"/>
              <w:left w:val="single" w:sz="4" w:space="0" w:color="auto"/>
              <w:bottom w:val="nil"/>
              <w:right w:val="single" w:sz="4" w:space="0" w:color="auto"/>
            </w:tcBorders>
          </w:tcPr>
          <w:p w14:paraId="534CDD70"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Producto Interno Bruto</w:t>
            </w:r>
          </w:p>
        </w:tc>
        <w:tc>
          <w:tcPr>
            <w:tcW w:w="1559" w:type="dxa"/>
            <w:tcBorders>
              <w:top w:val="single" w:sz="4" w:space="0" w:color="auto"/>
              <w:left w:val="single" w:sz="4" w:space="0" w:color="auto"/>
              <w:bottom w:val="nil"/>
              <w:right w:val="single" w:sz="4" w:space="0" w:color="auto"/>
            </w:tcBorders>
          </w:tcPr>
          <w:p w14:paraId="46D7E8FB" w14:textId="77777777" w:rsidR="00874532" w:rsidRPr="00874532" w:rsidRDefault="00874532" w:rsidP="00874532">
            <w:pPr>
              <w:jc w:val="right"/>
              <w:rPr>
                <w:rFonts w:eastAsia="Calibri"/>
                <w:b/>
                <w:sz w:val="20"/>
                <w:szCs w:val="20"/>
                <w:lang w:eastAsia="en-US"/>
              </w:rPr>
            </w:pPr>
          </w:p>
        </w:tc>
        <w:tc>
          <w:tcPr>
            <w:tcW w:w="1418" w:type="dxa"/>
            <w:tcBorders>
              <w:top w:val="single" w:sz="4" w:space="0" w:color="auto"/>
              <w:left w:val="single" w:sz="4" w:space="0" w:color="auto"/>
              <w:bottom w:val="nil"/>
              <w:right w:val="single" w:sz="4" w:space="0" w:color="auto"/>
            </w:tcBorders>
          </w:tcPr>
          <w:p w14:paraId="6411B01C" w14:textId="77777777" w:rsidR="00874532" w:rsidRPr="00874532" w:rsidRDefault="00874532" w:rsidP="00874532">
            <w:pPr>
              <w:jc w:val="right"/>
              <w:rPr>
                <w:rFonts w:eastAsia="Calibri"/>
                <w:b/>
                <w:sz w:val="20"/>
                <w:szCs w:val="20"/>
                <w:lang w:eastAsia="en-US"/>
              </w:rPr>
            </w:pPr>
          </w:p>
        </w:tc>
      </w:tr>
      <w:tr w:rsidR="00874532" w:rsidRPr="00874532" w14:paraId="1EAB130D" w14:textId="77777777" w:rsidTr="002B3A4F">
        <w:trPr>
          <w:jc w:val="center"/>
        </w:trPr>
        <w:tc>
          <w:tcPr>
            <w:tcW w:w="5245" w:type="dxa"/>
            <w:tcBorders>
              <w:top w:val="nil"/>
              <w:left w:val="single" w:sz="4" w:space="0" w:color="auto"/>
              <w:bottom w:val="nil"/>
              <w:right w:val="single" w:sz="4" w:space="0" w:color="auto"/>
            </w:tcBorders>
          </w:tcPr>
          <w:p w14:paraId="6C88A657"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Crecimiento % real (Rango)</w:t>
            </w:r>
          </w:p>
        </w:tc>
        <w:tc>
          <w:tcPr>
            <w:tcW w:w="1559" w:type="dxa"/>
            <w:tcBorders>
              <w:top w:val="nil"/>
              <w:left w:val="single" w:sz="4" w:space="0" w:color="auto"/>
              <w:bottom w:val="nil"/>
              <w:right w:val="single" w:sz="4" w:space="0" w:color="auto"/>
            </w:tcBorders>
          </w:tcPr>
          <w:p w14:paraId="51624E5E"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3.2 – 4.2</w:t>
            </w:r>
          </w:p>
        </w:tc>
        <w:tc>
          <w:tcPr>
            <w:tcW w:w="1418" w:type="dxa"/>
            <w:tcBorders>
              <w:top w:val="nil"/>
              <w:left w:val="single" w:sz="4" w:space="0" w:color="auto"/>
              <w:bottom w:val="nil"/>
              <w:right w:val="single" w:sz="4" w:space="0" w:color="auto"/>
            </w:tcBorders>
          </w:tcPr>
          <w:p w14:paraId="4365423E" w14:textId="77777777" w:rsidR="00874532" w:rsidRPr="00874532" w:rsidRDefault="00874532" w:rsidP="00874532">
            <w:pPr>
              <w:ind w:right="198"/>
              <w:jc w:val="right"/>
              <w:rPr>
                <w:rFonts w:eastAsia="Calibri"/>
                <w:sz w:val="20"/>
                <w:szCs w:val="20"/>
                <w:lang w:eastAsia="en-US"/>
              </w:rPr>
            </w:pPr>
            <w:r w:rsidRPr="00874532">
              <w:rPr>
                <w:rFonts w:eastAsia="Calibri"/>
                <w:sz w:val="20"/>
                <w:szCs w:val="20"/>
                <w:lang w:eastAsia="en-US"/>
              </w:rPr>
              <w:t>3.3 – 4.2</w:t>
            </w:r>
          </w:p>
        </w:tc>
      </w:tr>
      <w:tr w:rsidR="00874532" w:rsidRPr="00874532" w14:paraId="4C807AE8" w14:textId="77777777" w:rsidTr="002B3A4F">
        <w:trPr>
          <w:jc w:val="center"/>
        </w:trPr>
        <w:tc>
          <w:tcPr>
            <w:tcW w:w="5245" w:type="dxa"/>
            <w:tcBorders>
              <w:top w:val="nil"/>
              <w:left w:val="single" w:sz="4" w:space="0" w:color="auto"/>
              <w:bottom w:val="nil"/>
              <w:right w:val="single" w:sz="4" w:space="0" w:color="auto"/>
            </w:tcBorders>
          </w:tcPr>
          <w:p w14:paraId="24069AFD"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Nominal (miles de millones de pesos)*</w:t>
            </w:r>
          </w:p>
        </w:tc>
        <w:tc>
          <w:tcPr>
            <w:tcW w:w="1559" w:type="dxa"/>
            <w:tcBorders>
              <w:top w:val="nil"/>
              <w:left w:val="single" w:sz="4" w:space="0" w:color="auto"/>
              <w:bottom w:val="nil"/>
              <w:right w:val="single" w:sz="4" w:space="0" w:color="auto"/>
            </w:tcBorders>
          </w:tcPr>
          <w:p w14:paraId="2C749768"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18 180.0</w:t>
            </w:r>
          </w:p>
        </w:tc>
        <w:tc>
          <w:tcPr>
            <w:tcW w:w="1418" w:type="dxa"/>
            <w:tcBorders>
              <w:top w:val="nil"/>
              <w:left w:val="single" w:sz="4" w:space="0" w:color="auto"/>
              <w:bottom w:val="nil"/>
              <w:right w:val="single" w:sz="4" w:space="0" w:color="auto"/>
            </w:tcBorders>
          </w:tcPr>
          <w:p w14:paraId="0FE12CCD"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19 533.3</w:t>
            </w:r>
          </w:p>
        </w:tc>
      </w:tr>
      <w:tr w:rsidR="00874532" w:rsidRPr="00874532" w14:paraId="0BD68943" w14:textId="77777777" w:rsidTr="002B3A4F">
        <w:trPr>
          <w:jc w:val="center"/>
        </w:trPr>
        <w:tc>
          <w:tcPr>
            <w:tcW w:w="5245" w:type="dxa"/>
            <w:tcBorders>
              <w:top w:val="nil"/>
              <w:left w:val="single" w:sz="4" w:space="0" w:color="auto"/>
              <w:bottom w:val="nil"/>
              <w:right w:val="single" w:sz="4" w:space="0" w:color="auto"/>
            </w:tcBorders>
          </w:tcPr>
          <w:p w14:paraId="77F7E63A"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Deflactor del PIB (variación anual, %)</w:t>
            </w:r>
          </w:p>
        </w:tc>
        <w:tc>
          <w:tcPr>
            <w:tcW w:w="1559" w:type="dxa"/>
            <w:tcBorders>
              <w:top w:val="nil"/>
              <w:left w:val="single" w:sz="4" w:space="0" w:color="auto"/>
              <w:bottom w:val="nil"/>
              <w:right w:val="single" w:sz="4" w:space="0" w:color="auto"/>
            </w:tcBorders>
          </w:tcPr>
          <w:p w14:paraId="7C483800"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3.3</w:t>
            </w:r>
          </w:p>
        </w:tc>
        <w:tc>
          <w:tcPr>
            <w:tcW w:w="1418" w:type="dxa"/>
            <w:tcBorders>
              <w:top w:val="nil"/>
              <w:left w:val="single" w:sz="4" w:space="0" w:color="auto"/>
              <w:bottom w:val="nil"/>
              <w:right w:val="single" w:sz="4" w:space="0" w:color="auto"/>
            </w:tcBorders>
          </w:tcPr>
          <w:p w14:paraId="79995ECB"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3.5</w:t>
            </w:r>
          </w:p>
        </w:tc>
      </w:tr>
      <w:tr w:rsidR="00874532" w:rsidRPr="00874532" w14:paraId="2184F47C" w14:textId="77777777" w:rsidTr="002B3A4F">
        <w:trPr>
          <w:jc w:val="center"/>
        </w:trPr>
        <w:tc>
          <w:tcPr>
            <w:tcW w:w="5245" w:type="dxa"/>
            <w:tcBorders>
              <w:top w:val="nil"/>
              <w:left w:val="single" w:sz="4" w:space="0" w:color="auto"/>
              <w:bottom w:val="nil"/>
              <w:right w:val="single" w:sz="4" w:space="0" w:color="auto"/>
            </w:tcBorders>
          </w:tcPr>
          <w:p w14:paraId="405C7807"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 xml:space="preserve">Inflación </w:t>
            </w:r>
          </w:p>
        </w:tc>
        <w:tc>
          <w:tcPr>
            <w:tcW w:w="1559" w:type="dxa"/>
            <w:tcBorders>
              <w:top w:val="nil"/>
              <w:left w:val="single" w:sz="4" w:space="0" w:color="auto"/>
              <w:bottom w:val="nil"/>
              <w:right w:val="single" w:sz="4" w:space="0" w:color="auto"/>
            </w:tcBorders>
          </w:tcPr>
          <w:p w14:paraId="36757039"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525EFFB7" w14:textId="77777777" w:rsidR="00874532" w:rsidRPr="00874532" w:rsidRDefault="00874532" w:rsidP="00874532">
            <w:pPr>
              <w:ind w:right="284"/>
              <w:jc w:val="right"/>
              <w:rPr>
                <w:rFonts w:eastAsia="Calibri"/>
                <w:b/>
                <w:sz w:val="20"/>
                <w:szCs w:val="20"/>
                <w:lang w:eastAsia="en-US"/>
              </w:rPr>
            </w:pPr>
          </w:p>
        </w:tc>
      </w:tr>
      <w:tr w:rsidR="00874532" w:rsidRPr="00874532" w14:paraId="5694229F" w14:textId="77777777" w:rsidTr="002B3A4F">
        <w:trPr>
          <w:jc w:val="center"/>
        </w:trPr>
        <w:tc>
          <w:tcPr>
            <w:tcW w:w="5245" w:type="dxa"/>
            <w:tcBorders>
              <w:top w:val="nil"/>
              <w:left w:val="single" w:sz="4" w:space="0" w:color="auto"/>
              <w:bottom w:val="nil"/>
              <w:right w:val="single" w:sz="4" w:space="0" w:color="auto"/>
            </w:tcBorders>
          </w:tcPr>
          <w:p w14:paraId="04A40D32"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Dic. / dic.</w:t>
            </w:r>
          </w:p>
        </w:tc>
        <w:tc>
          <w:tcPr>
            <w:tcW w:w="1559" w:type="dxa"/>
            <w:tcBorders>
              <w:top w:val="nil"/>
              <w:left w:val="single" w:sz="4" w:space="0" w:color="auto"/>
              <w:bottom w:val="nil"/>
              <w:right w:val="single" w:sz="4" w:space="0" w:color="auto"/>
            </w:tcBorders>
          </w:tcPr>
          <w:p w14:paraId="249AE9F8"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3.0</w:t>
            </w:r>
          </w:p>
        </w:tc>
        <w:tc>
          <w:tcPr>
            <w:tcW w:w="1418" w:type="dxa"/>
            <w:tcBorders>
              <w:top w:val="nil"/>
              <w:left w:val="single" w:sz="4" w:space="0" w:color="auto"/>
              <w:bottom w:val="nil"/>
              <w:right w:val="single" w:sz="4" w:space="0" w:color="auto"/>
            </w:tcBorders>
          </w:tcPr>
          <w:p w14:paraId="660E8869"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3.0</w:t>
            </w:r>
          </w:p>
        </w:tc>
      </w:tr>
      <w:tr w:rsidR="00874532" w:rsidRPr="00874532" w14:paraId="611270DF" w14:textId="77777777" w:rsidTr="002B3A4F">
        <w:trPr>
          <w:jc w:val="center"/>
        </w:trPr>
        <w:tc>
          <w:tcPr>
            <w:tcW w:w="5245" w:type="dxa"/>
            <w:tcBorders>
              <w:top w:val="nil"/>
              <w:left w:val="single" w:sz="4" w:space="0" w:color="auto"/>
              <w:bottom w:val="nil"/>
              <w:right w:val="single" w:sz="4" w:space="0" w:color="auto"/>
            </w:tcBorders>
          </w:tcPr>
          <w:p w14:paraId="0C011EFB"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 xml:space="preserve">Tipo de cambio nominal </w:t>
            </w:r>
          </w:p>
        </w:tc>
        <w:tc>
          <w:tcPr>
            <w:tcW w:w="1559" w:type="dxa"/>
            <w:tcBorders>
              <w:top w:val="nil"/>
              <w:left w:val="single" w:sz="4" w:space="0" w:color="auto"/>
              <w:bottom w:val="nil"/>
              <w:right w:val="single" w:sz="4" w:space="0" w:color="auto"/>
            </w:tcBorders>
          </w:tcPr>
          <w:p w14:paraId="220E4845"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18F744AD" w14:textId="77777777" w:rsidR="00874532" w:rsidRPr="00874532" w:rsidRDefault="00874532" w:rsidP="00874532">
            <w:pPr>
              <w:ind w:right="284"/>
              <w:jc w:val="right"/>
              <w:rPr>
                <w:rFonts w:eastAsia="Calibri"/>
                <w:b/>
                <w:sz w:val="20"/>
                <w:szCs w:val="20"/>
                <w:lang w:eastAsia="en-US"/>
              </w:rPr>
            </w:pPr>
          </w:p>
        </w:tc>
      </w:tr>
      <w:tr w:rsidR="00874532" w:rsidRPr="00874532" w14:paraId="1979130D" w14:textId="77777777" w:rsidTr="002B3A4F">
        <w:trPr>
          <w:jc w:val="center"/>
        </w:trPr>
        <w:tc>
          <w:tcPr>
            <w:tcW w:w="5245" w:type="dxa"/>
            <w:tcBorders>
              <w:top w:val="nil"/>
              <w:left w:val="single" w:sz="4" w:space="0" w:color="auto"/>
              <w:bottom w:val="nil"/>
              <w:right w:val="single" w:sz="4" w:space="0" w:color="auto"/>
            </w:tcBorders>
          </w:tcPr>
          <w:p w14:paraId="1B80F48E"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Fin de período</w:t>
            </w:r>
          </w:p>
        </w:tc>
        <w:tc>
          <w:tcPr>
            <w:tcW w:w="1559" w:type="dxa"/>
            <w:tcBorders>
              <w:top w:val="nil"/>
              <w:left w:val="single" w:sz="4" w:space="0" w:color="auto"/>
              <w:bottom w:val="nil"/>
              <w:right w:val="single" w:sz="4" w:space="0" w:color="auto"/>
            </w:tcBorders>
          </w:tcPr>
          <w:p w14:paraId="3D32A163"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14.5</w:t>
            </w:r>
          </w:p>
        </w:tc>
        <w:tc>
          <w:tcPr>
            <w:tcW w:w="1418" w:type="dxa"/>
            <w:tcBorders>
              <w:top w:val="nil"/>
              <w:left w:val="single" w:sz="4" w:space="0" w:color="auto"/>
              <w:bottom w:val="nil"/>
              <w:right w:val="single" w:sz="4" w:space="0" w:color="auto"/>
            </w:tcBorders>
          </w:tcPr>
          <w:p w14:paraId="5A661679"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14.5</w:t>
            </w:r>
          </w:p>
        </w:tc>
      </w:tr>
      <w:tr w:rsidR="00874532" w:rsidRPr="00874532" w14:paraId="11D4D599" w14:textId="77777777" w:rsidTr="002B3A4F">
        <w:trPr>
          <w:jc w:val="center"/>
        </w:trPr>
        <w:tc>
          <w:tcPr>
            <w:tcW w:w="5245" w:type="dxa"/>
            <w:tcBorders>
              <w:top w:val="nil"/>
              <w:left w:val="single" w:sz="4" w:space="0" w:color="auto"/>
              <w:bottom w:val="nil"/>
              <w:right w:val="single" w:sz="4" w:space="0" w:color="auto"/>
            </w:tcBorders>
          </w:tcPr>
          <w:p w14:paraId="54DC8D33"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Promedio</w:t>
            </w:r>
          </w:p>
        </w:tc>
        <w:tc>
          <w:tcPr>
            <w:tcW w:w="1559" w:type="dxa"/>
            <w:tcBorders>
              <w:top w:val="nil"/>
              <w:left w:val="single" w:sz="4" w:space="0" w:color="auto"/>
              <w:bottom w:val="nil"/>
              <w:right w:val="single" w:sz="4" w:space="0" w:color="auto"/>
            </w:tcBorders>
          </w:tcPr>
          <w:p w14:paraId="2C21AF33"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14.8</w:t>
            </w:r>
          </w:p>
        </w:tc>
        <w:tc>
          <w:tcPr>
            <w:tcW w:w="1418" w:type="dxa"/>
            <w:tcBorders>
              <w:top w:val="nil"/>
              <w:left w:val="single" w:sz="4" w:space="0" w:color="auto"/>
              <w:bottom w:val="nil"/>
              <w:right w:val="single" w:sz="4" w:space="0" w:color="auto"/>
            </w:tcBorders>
          </w:tcPr>
          <w:p w14:paraId="234B10EB"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14.5</w:t>
            </w:r>
          </w:p>
        </w:tc>
      </w:tr>
      <w:tr w:rsidR="00874532" w:rsidRPr="00874532" w14:paraId="241A7F97" w14:textId="77777777" w:rsidTr="002B3A4F">
        <w:trPr>
          <w:jc w:val="center"/>
        </w:trPr>
        <w:tc>
          <w:tcPr>
            <w:tcW w:w="5245" w:type="dxa"/>
            <w:tcBorders>
              <w:top w:val="nil"/>
              <w:left w:val="single" w:sz="4" w:space="0" w:color="auto"/>
              <w:bottom w:val="nil"/>
              <w:right w:val="single" w:sz="4" w:space="0" w:color="auto"/>
            </w:tcBorders>
          </w:tcPr>
          <w:p w14:paraId="2D131A56"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Tasa de interés (Cetes 28 días, %)</w:t>
            </w:r>
          </w:p>
        </w:tc>
        <w:tc>
          <w:tcPr>
            <w:tcW w:w="1559" w:type="dxa"/>
            <w:tcBorders>
              <w:top w:val="nil"/>
              <w:left w:val="single" w:sz="4" w:space="0" w:color="auto"/>
              <w:bottom w:val="nil"/>
              <w:right w:val="single" w:sz="4" w:space="0" w:color="auto"/>
            </w:tcBorders>
          </w:tcPr>
          <w:p w14:paraId="50E62138"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2795423A" w14:textId="77777777" w:rsidR="00874532" w:rsidRPr="00874532" w:rsidRDefault="00874532" w:rsidP="00874532">
            <w:pPr>
              <w:ind w:right="284"/>
              <w:jc w:val="right"/>
              <w:rPr>
                <w:rFonts w:eastAsia="Calibri"/>
                <w:b/>
                <w:sz w:val="20"/>
                <w:szCs w:val="20"/>
                <w:lang w:eastAsia="en-US"/>
              </w:rPr>
            </w:pPr>
          </w:p>
        </w:tc>
      </w:tr>
      <w:tr w:rsidR="00874532" w:rsidRPr="00874532" w14:paraId="5878D4B8" w14:textId="77777777" w:rsidTr="002B3A4F">
        <w:trPr>
          <w:jc w:val="center"/>
        </w:trPr>
        <w:tc>
          <w:tcPr>
            <w:tcW w:w="5245" w:type="dxa"/>
            <w:tcBorders>
              <w:top w:val="nil"/>
              <w:left w:val="single" w:sz="4" w:space="0" w:color="auto"/>
              <w:bottom w:val="nil"/>
              <w:right w:val="single" w:sz="4" w:space="0" w:color="auto"/>
            </w:tcBorders>
          </w:tcPr>
          <w:p w14:paraId="279D9980"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Nominal fin de período</w:t>
            </w:r>
          </w:p>
        </w:tc>
        <w:tc>
          <w:tcPr>
            <w:tcW w:w="1559" w:type="dxa"/>
            <w:tcBorders>
              <w:top w:val="nil"/>
              <w:left w:val="single" w:sz="4" w:space="0" w:color="auto"/>
              <w:bottom w:val="nil"/>
              <w:right w:val="single" w:sz="4" w:space="0" w:color="auto"/>
            </w:tcBorders>
          </w:tcPr>
          <w:p w14:paraId="64168E94"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3.5</w:t>
            </w:r>
          </w:p>
        </w:tc>
        <w:tc>
          <w:tcPr>
            <w:tcW w:w="1418" w:type="dxa"/>
            <w:tcBorders>
              <w:top w:val="nil"/>
              <w:left w:val="single" w:sz="4" w:space="0" w:color="auto"/>
              <w:bottom w:val="nil"/>
              <w:right w:val="single" w:sz="4" w:space="0" w:color="auto"/>
            </w:tcBorders>
          </w:tcPr>
          <w:p w14:paraId="50689DC1"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4.5</w:t>
            </w:r>
          </w:p>
        </w:tc>
      </w:tr>
      <w:tr w:rsidR="00874532" w:rsidRPr="00874532" w14:paraId="2D1A3751" w14:textId="77777777" w:rsidTr="002B3A4F">
        <w:trPr>
          <w:jc w:val="center"/>
        </w:trPr>
        <w:tc>
          <w:tcPr>
            <w:tcW w:w="5245" w:type="dxa"/>
            <w:tcBorders>
              <w:top w:val="nil"/>
              <w:left w:val="single" w:sz="4" w:space="0" w:color="auto"/>
              <w:bottom w:val="nil"/>
              <w:right w:val="single" w:sz="4" w:space="0" w:color="auto"/>
            </w:tcBorders>
          </w:tcPr>
          <w:p w14:paraId="2E858E5B"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Nominal promedio</w:t>
            </w:r>
          </w:p>
        </w:tc>
        <w:tc>
          <w:tcPr>
            <w:tcW w:w="1559" w:type="dxa"/>
            <w:tcBorders>
              <w:top w:val="nil"/>
              <w:left w:val="single" w:sz="4" w:space="0" w:color="auto"/>
              <w:bottom w:val="nil"/>
              <w:right w:val="single" w:sz="4" w:space="0" w:color="auto"/>
            </w:tcBorders>
          </w:tcPr>
          <w:p w14:paraId="54B30808"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3.2</w:t>
            </w:r>
          </w:p>
        </w:tc>
        <w:tc>
          <w:tcPr>
            <w:tcW w:w="1418" w:type="dxa"/>
            <w:tcBorders>
              <w:top w:val="nil"/>
              <w:left w:val="single" w:sz="4" w:space="0" w:color="auto"/>
              <w:bottom w:val="nil"/>
              <w:right w:val="single" w:sz="4" w:space="0" w:color="auto"/>
            </w:tcBorders>
          </w:tcPr>
          <w:p w14:paraId="734805FA"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4.1</w:t>
            </w:r>
          </w:p>
        </w:tc>
      </w:tr>
      <w:tr w:rsidR="00874532" w:rsidRPr="00874532" w14:paraId="5367EA62" w14:textId="77777777" w:rsidTr="002B3A4F">
        <w:trPr>
          <w:jc w:val="center"/>
        </w:trPr>
        <w:tc>
          <w:tcPr>
            <w:tcW w:w="5245" w:type="dxa"/>
            <w:tcBorders>
              <w:top w:val="nil"/>
              <w:left w:val="single" w:sz="4" w:space="0" w:color="auto"/>
              <w:bottom w:val="nil"/>
              <w:right w:val="single" w:sz="4" w:space="0" w:color="auto"/>
            </w:tcBorders>
          </w:tcPr>
          <w:p w14:paraId="61C8DCB1"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Real acumulada</w:t>
            </w:r>
          </w:p>
        </w:tc>
        <w:tc>
          <w:tcPr>
            <w:tcW w:w="1559" w:type="dxa"/>
            <w:tcBorders>
              <w:top w:val="nil"/>
              <w:left w:val="single" w:sz="4" w:space="0" w:color="auto"/>
              <w:bottom w:val="nil"/>
              <w:right w:val="single" w:sz="4" w:space="0" w:color="auto"/>
            </w:tcBorders>
          </w:tcPr>
          <w:p w14:paraId="71C749F7"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0.2</w:t>
            </w:r>
          </w:p>
        </w:tc>
        <w:tc>
          <w:tcPr>
            <w:tcW w:w="1418" w:type="dxa"/>
            <w:tcBorders>
              <w:top w:val="nil"/>
              <w:left w:val="single" w:sz="4" w:space="0" w:color="auto"/>
              <w:bottom w:val="nil"/>
              <w:right w:val="single" w:sz="4" w:space="0" w:color="auto"/>
            </w:tcBorders>
          </w:tcPr>
          <w:p w14:paraId="056D7681"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1.2</w:t>
            </w:r>
          </w:p>
        </w:tc>
      </w:tr>
      <w:tr w:rsidR="00874532" w:rsidRPr="00874532" w14:paraId="0A21CAA8" w14:textId="77777777" w:rsidTr="002B3A4F">
        <w:trPr>
          <w:jc w:val="center"/>
        </w:trPr>
        <w:tc>
          <w:tcPr>
            <w:tcW w:w="5245" w:type="dxa"/>
            <w:tcBorders>
              <w:top w:val="nil"/>
              <w:left w:val="single" w:sz="4" w:space="0" w:color="auto"/>
              <w:bottom w:val="nil"/>
              <w:right w:val="single" w:sz="4" w:space="0" w:color="auto"/>
            </w:tcBorders>
          </w:tcPr>
          <w:p w14:paraId="5497A24B"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Cuenta Corriente</w:t>
            </w:r>
          </w:p>
        </w:tc>
        <w:tc>
          <w:tcPr>
            <w:tcW w:w="1559" w:type="dxa"/>
            <w:tcBorders>
              <w:top w:val="nil"/>
              <w:left w:val="single" w:sz="4" w:space="0" w:color="auto"/>
              <w:bottom w:val="nil"/>
              <w:right w:val="single" w:sz="4" w:space="0" w:color="auto"/>
            </w:tcBorders>
          </w:tcPr>
          <w:p w14:paraId="5839F847"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42F69E40" w14:textId="77777777" w:rsidR="00874532" w:rsidRPr="00874532" w:rsidRDefault="00874532" w:rsidP="00874532">
            <w:pPr>
              <w:ind w:right="284"/>
              <w:jc w:val="right"/>
              <w:rPr>
                <w:rFonts w:eastAsia="Calibri"/>
                <w:b/>
                <w:sz w:val="20"/>
                <w:szCs w:val="20"/>
                <w:lang w:eastAsia="en-US"/>
              </w:rPr>
            </w:pPr>
          </w:p>
        </w:tc>
      </w:tr>
      <w:tr w:rsidR="00874532" w:rsidRPr="00874532" w14:paraId="4D938239" w14:textId="77777777" w:rsidTr="002B3A4F">
        <w:trPr>
          <w:jc w:val="center"/>
        </w:trPr>
        <w:tc>
          <w:tcPr>
            <w:tcW w:w="5245" w:type="dxa"/>
            <w:tcBorders>
              <w:top w:val="nil"/>
              <w:left w:val="single" w:sz="4" w:space="0" w:color="auto"/>
              <w:bottom w:val="nil"/>
              <w:right w:val="single" w:sz="4" w:space="0" w:color="auto"/>
            </w:tcBorders>
          </w:tcPr>
          <w:p w14:paraId="4D68347F"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 xml:space="preserve">Millones de dólares </w:t>
            </w:r>
          </w:p>
        </w:tc>
        <w:tc>
          <w:tcPr>
            <w:tcW w:w="1559" w:type="dxa"/>
            <w:tcBorders>
              <w:top w:val="nil"/>
              <w:left w:val="single" w:sz="4" w:space="0" w:color="auto"/>
              <w:bottom w:val="nil"/>
              <w:right w:val="single" w:sz="4" w:space="0" w:color="auto"/>
            </w:tcBorders>
          </w:tcPr>
          <w:p w14:paraId="31B2BF15"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-28 360</w:t>
            </w:r>
          </w:p>
        </w:tc>
        <w:tc>
          <w:tcPr>
            <w:tcW w:w="1418" w:type="dxa"/>
            <w:tcBorders>
              <w:top w:val="nil"/>
              <w:left w:val="single" w:sz="4" w:space="0" w:color="auto"/>
              <w:bottom w:val="nil"/>
              <w:right w:val="single" w:sz="4" w:space="0" w:color="auto"/>
            </w:tcBorders>
          </w:tcPr>
          <w:p w14:paraId="31596564"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-31 600</w:t>
            </w:r>
          </w:p>
        </w:tc>
      </w:tr>
      <w:tr w:rsidR="00874532" w:rsidRPr="00874532" w14:paraId="1E906F9A" w14:textId="77777777" w:rsidTr="002B3A4F">
        <w:trPr>
          <w:jc w:val="center"/>
        </w:trPr>
        <w:tc>
          <w:tcPr>
            <w:tcW w:w="5245" w:type="dxa"/>
            <w:tcBorders>
              <w:top w:val="nil"/>
              <w:left w:val="single" w:sz="4" w:space="0" w:color="auto"/>
              <w:bottom w:val="single" w:sz="4" w:space="0" w:color="auto"/>
              <w:right w:val="single" w:sz="4" w:space="0" w:color="auto"/>
            </w:tcBorders>
          </w:tcPr>
          <w:p w14:paraId="2EF796D4"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 del PIB</w:t>
            </w:r>
          </w:p>
        </w:tc>
        <w:tc>
          <w:tcPr>
            <w:tcW w:w="1559" w:type="dxa"/>
            <w:tcBorders>
              <w:top w:val="nil"/>
              <w:left w:val="single" w:sz="4" w:space="0" w:color="auto"/>
              <w:bottom w:val="single" w:sz="4" w:space="0" w:color="auto"/>
              <w:right w:val="single" w:sz="4" w:space="0" w:color="auto"/>
            </w:tcBorders>
          </w:tcPr>
          <w:p w14:paraId="6B621FD9"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-2.3</w:t>
            </w:r>
          </w:p>
        </w:tc>
        <w:tc>
          <w:tcPr>
            <w:tcW w:w="1418" w:type="dxa"/>
            <w:tcBorders>
              <w:top w:val="nil"/>
              <w:left w:val="single" w:sz="4" w:space="0" w:color="auto"/>
              <w:bottom w:val="single" w:sz="4" w:space="0" w:color="auto"/>
              <w:right w:val="single" w:sz="4" w:space="0" w:color="auto"/>
            </w:tcBorders>
          </w:tcPr>
          <w:p w14:paraId="2E6CCA0F"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-2.4</w:t>
            </w:r>
          </w:p>
        </w:tc>
      </w:tr>
      <w:tr w:rsidR="00874532" w:rsidRPr="00874532" w14:paraId="2A207E8D" w14:textId="77777777" w:rsidTr="002B3A4F">
        <w:trPr>
          <w:jc w:val="center"/>
        </w:trPr>
        <w:tc>
          <w:tcPr>
            <w:tcW w:w="5245" w:type="dxa"/>
            <w:tcBorders>
              <w:top w:val="single" w:sz="4" w:space="0" w:color="auto"/>
              <w:left w:val="single" w:sz="4" w:space="0" w:color="auto"/>
              <w:bottom w:val="nil"/>
              <w:right w:val="single" w:sz="4" w:space="0" w:color="auto"/>
            </w:tcBorders>
          </w:tcPr>
          <w:p w14:paraId="26162BBB"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Variables de apoyo:</w:t>
            </w:r>
          </w:p>
        </w:tc>
        <w:tc>
          <w:tcPr>
            <w:tcW w:w="1559" w:type="dxa"/>
            <w:tcBorders>
              <w:top w:val="single" w:sz="4" w:space="0" w:color="auto"/>
              <w:left w:val="single" w:sz="4" w:space="0" w:color="auto"/>
              <w:bottom w:val="nil"/>
              <w:right w:val="single" w:sz="4" w:space="0" w:color="auto"/>
            </w:tcBorders>
          </w:tcPr>
          <w:p w14:paraId="3B987508" w14:textId="77777777" w:rsidR="00874532" w:rsidRPr="00874532" w:rsidRDefault="00874532" w:rsidP="00874532">
            <w:pPr>
              <w:ind w:right="284"/>
              <w:jc w:val="right"/>
              <w:rPr>
                <w:rFonts w:eastAsia="Calibri"/>
                <w:sz w:val="20"/>
                <w:szCs w:val="20"/>
                <w:lang w:eastAsia="en-US"/>
              </w:rPr>
            </w:pPr>
          </w:p>
        </w:tc>
        <w:tc>
          <w:tcPr>
            <w:tcW w:w="1418" w:type="dxa"/>
            <w:tcBorders>
              <w:top w:val="single" w:sz="4" w:space="0" w:color="auto"/>
              <w:left w:val="single" w:sz="4" w:space="0" w:color="auto"/>
              <w:bottom w:val="nil"/>
              <w:right w:val="single" w:sz="4" w:space="0" w:color="auto"/>
            </w:tcBorders>
          </w:tcPr>
          <w:p w14:paraId="62CE9469" w14:textId="77777777" w:rsidR="00874532" w:rsidRPr="00874532" w:rsidRDefault="00874532" w:rsidP="00874532">
            <w:pPr>
              <w:ind w:right="284"/>
              <w:jc w:val="right"/>
              <w:rPr>
                <w:rFonts w:eastAsia="Calibri"/>
                <w:sz w:val="20"/>
                <w:szCs w:val="20"/>
                <w:lang w:eastAsia="en-US"/>
              </w:rPr>
            </w:pPr>
          </w:p>
        </w:tc>
      </w:tr>
      <w:tr w:rsidR="00874532" w:rsidRPr="00874532" w14:paraId="090CB581" w14:textId="77777777" w:rsidTr="002B3A4F">
        <w:trPr>
          <w:jc w:val="center"/>
        </w:trPr>
        <w:tc>
          <w:tcPr>
            <w:tcW w:w="5245" w:type="dxa"/>
            <w:tcBorders>
              <w:top w:val="nil"/>
              <w:left w:val="single" w:sz="4" w:space="0" w:color="auto"/>
              <w:bottom w:val="nil"/>
              <w:right w:val="single" w:sz="4" w:space="0" w:color="auto"/>
            </w:tcBorders>
          </w:tcPr>
          <w:p w14:paraId="3BA3AB1C"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Balance fiscal, % del PIB</w:t>
            </w:r>
          </w:p>
        </w:tc>
        <w:tc>
          <w:tcPr>
            <w:tcW w:w="1559" w:type="dxa"/>
            <w:tcBorders>
              <w:top w:val="nil"/>
              <w:left w:val="single" w:sz="4" w:space="0" w:color="auto"/>
              <w:bottom w:val="nil"/>
              <w:right w:val="single" w:sz="4" w:space="0" w:color="auto"/>
            </w:tcBorders>
          </w:tcPr>
          <w:p w14:paraId="10E81A61"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3348C079" w14:textId="77777777" w:rsidR="00874532" w:rsidRPr="00874532" w:rsidRDefault="00874532" w:rsidP="00874532">
            <w:pPr>
              <w:ind w:right="284"/>
              <w:jc w:val="right"/>
              <w:rPr>
                <w:rFonts w:eastAsia="Calibri"/>
                <w:b/>
                <w:sz w:val="20"/>
                <w:szCs w:val="20"/>
                <w:lang w:eastAsia="en-US"/>
              </w:rPr>
            </w:pPr>
          </w:p>
        </w:tc>
      </w:tr>
      <w:tr w:rsidR="00874532" w:rsidRPr="00874532" w14:paraId="7602093F" w14:textId="77777777" w:rsidTr="002B3A4F">
        <w:trPr>
          <w:jc w:val="center"/>
        </w:trPr>
        <w:tc>
          <w:tcPr>
            <w:tcW w:w="5245" w:type="dxa"/>
            <w:tcBorders>
              <w:top w:val="nil"/>
              <w:left w:val="single" w:sz="4" w:space="0" w:color="auto"/>
              <w:bottom w:val="nil"/>
              <w:right w:val="single" w:sz="4" w:space="0" w:color="auto"/>
            </w:tcBorders>
          </w:tcPr>
          <w:p w14:paraId="479BDDA5" w14:textId="414AFDB5" w:rsidR="00874532" w:rsidRPr="00874532" w:rsidRDefault="00DE3D51" w:rsidP="00DE3D51">
            <w:pPr>
              <w:jc w:val="both"/>
              <w:rPr>
                <w:rFonts w:eastAsia="Calibri"/>
                <w:sz w:val="20"/>
                <w:szCs w:val="20"/>
                <w:lang w:eastAsia="en-US"/>
              </w:rPr>
            </w:pPr>
            <w:r>
              <w:rPr>
                <w:rFonts w:eastAsia="Calibri"/>
                <w:sz w:val="20"/>
                <w:szCs w:val="20"/>
                <w:lang w:eastAsia="en-US"/>
              </w:rPr>
              <w:t>Con</w:t>
            </w:r>
            <w:r w:rsidR="00874532" w:rsidRPr="00874532">
              <w:rPr>
                <w:rFonts w:eastAsia="Calibri"/>
                <w:sz w:val="20"/>
                <w:szCs w:val="20"/>
                <w:lang w:eastAsia="en-US"/>
              </w:rPr>
              <w:t xml:space="preserve"> inversión de Pemex</w:t>
            </w:r>
          </w:p>
        </w:tc>
        <w:tc>
          <w:tcPr>
            <w:tcW w:w="1559" w:type="dxa"/>
            <w:tcBorders>
              <w:top w:val="nil"/>
              <w:left w:val="single" w:sz="4" w:space="0" w:color="auto"/>
              <w:bottom w:val="nil"/>
              <w:right w:val="single" w:sz="4" w:space="0" w:color="auto"/>
            </w:tcBorders>
          </w:tcPr>
          <w:p w14:paraId="4192DD3B"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-3.5</w:t>
            </w:r>
          </w:p>
        </w:tc>
        <w:tc>
          <w:tcPr>
            <w:tcW w:w="1418" w:type="dxa"/>
            <w:tcBorders>
              <w:top w:val="nil"/>
              <w:left w:val="single" w:sz="4" w:space="0" w:color="auto"/>
              <w:bottom w:val="nil"/>
              <w:right w:val="single" w:sz="4" w:space="0" w:color="auto"/>
            </w:tcBorders>
          </w:tcPr>
          <w:p w14:paraId="3A3DF58E"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-3.0</w:t>
            </w:r>
          </w:p>
        </w:tc>
      </w:tr>
      <w:tr w:rsidR="00874532" w:rsidRPr="00874532" w14:paraId="397E6C7C" w14:textId="77777777" w:rsidTr="002B3A4F">
        <w:trPr>
          <w:jc w:val="center"/>
        </w:trPr>
        <w:tc>
          <w:tcPr>
            <w:tcW w:w="5245" w:type="dxa"/>
            <w:tcBorders>
              <w:top w:val="nil"/>
              <w:left w:val="single" w:sz="4" w:space="0" w:color="auto"/>
              <w:bottom w:val="nil"/>
              <w:right w:val="single" w:sz="4" w:space="0" w:color="auto"/>
            </w:tcBorders>
          </w:tcPr>
          <w:p w14:paraId="4729ACB9" w14:textId="45F97F50" w:rsidR="00874532" w:rsidRPr="00874532" w:rsidRDefault="00DE3D51" w:rsidP="00DE3D51">
            <w:pPr>
              <w:jc w:val="both"/>
              <w:rPr>
                <w:rFonts w:eastAsia="Calibri"/>
                <w:sz w:val="20"/>
                <w:szCs w:val="20"/>
                <w:lang w:eastAsia="en-US"/>
              </w:rPr>
            </w:pPr>
            <w:r>
              <w:rPr>
                <w:rFonts w:eastAsia="Calibri"/>
                <w:sz w:val="20"/>
                <w:szCs w:val="20"/>
                <w:lang w:eastAsia="en-US"/>
              </w:rPr>
              <w:t>Sin</w:t>
            </w:r>
            <w:r w:rsidR="00874532" w:rsidRPr="00874532">
              <w:rPr>
                <w:rFonts w:eastAsia="Calibri"/>
                <w:sz w:val="20"/>
                <w:szCs w:val="20"/>
                <w:lang w:eastAsia="en-US"/>
              </w:rPr>
              <w:t xml:space="preserve"> inversión de Pemex</w:t>
            </w:r>
          </w:p>
        </w:tc>
        <w:tc>
          <w:tcPr>
            <w:tcW w:w="1559" w:type="dxa"/>
            <w:tcBorders>
              <w:top w:val="nil"/>
              <w:left w:val="single" w:sz="4" w:space="0" w:color="auto"/>
              <w:bottom w:val="nil"/>
              <w:right w:val="single" w:sz="4" w:space="0" w:color="auto"/>
            </w:tcBorders>
          </w:tcPr>
          <w:p w14:paraId="24D41258"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-1.0</w:t>
            </w:r>
          </w:p>
        </w:tc>
        <w:tc>
          <w:tcPr>
            <w:tcW w:w="1418" w:type="dxa"/>
            <w:tcBorders>
              <w:top w:val="nil"/>
              <w:left w:val="single" w:sz="4" w:space="0" w:color="auto"/>
              <w:bottom w:val="nil"/>
              <w:right w:val="single" w:sz="4" w:space="0" w:color="auto"/>
            </w:tcBorders>
          </w:tcPr>
          <w:p w14:paraId="76D08B56"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-0.5</w:t>
            </w:r>
          </w:p>
        </w:tc>
      </w:tr>
      <w:tr w:rsidR="00874532" w:rsidRPr="00874532" w14:paraId="1CDB976B" w14:textId="77777777" w:rsidTr="002B3A4F">
        <w:trPr>
          <w:jc w:val="center"/>
        </w:trPr>
        <w:tc>
          <w:tcPr>
            <w:tcW w:w="5245" w:type="dxa"/>
            <w:tcBorders>
              <w:top w:val="nil"/>
              <w:left w:val="single" w:sz="4" w:space="0" w:color="auto"/>
              <w:bottom w:val="nil"/>
              <w:right w:val="single" w:sz="4" w:space="0" w:color="auto"/>
            </w:tcBorders>
          </w:tcPr>
          <w:p w14:paraId="4214AFD5"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PIB de los Estados Unidos de Norteamérica (Var. anual)</w:t>
            </w:r>
          </w:p>
        </w:tc>
        <w:tc>
          <w:tcPr>
            <w:tcW w:w="1559" w:type="dxa"/>
            <w:tcBorders>
              <w:top w:val="nil"/>
              <w:left w:val="single" w:sz="4" w:space="0" w:color="auto"/>
              <w:bottom w:val="nil"/>
              <w:right w:val="single" w:sz="4" w:space="0" w:color="auto"/>
            </w:tcBorders>
          </w:tcPr>
          <w:p w14:paraId="2EAA4F9A"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56BC9CE3" w14:textId="77777777" w:rsidR="00874532" w:rsidRPr="00874532" w:rsidRDefault="00874532" w:rsidP="00874532">
            <w:pPr>
              <w:ind w:right="284"/>
              <w:jc w:val="right"/>
              <w:rPr>
                <w:rFonts w:eastAsia="Calibri"/>
                <w:b/>
                <w:sz w:val="20"/>
                <w:szCs w:val="20"/>
                <w:lang w:eastAsia="en-US"/>
              </w:rPr>
            </w:pPr>
          </w:p>
        </w:tc>
      </w:tr>
      <w:tr w:rsidR="00874532" w:rsidRPr="00874532" w14:paraId="4CE8D3F4" w14:textId="77777777" w:rsidTr="002B3A4F">
        <w:trPr>
          <w:jc w:val="center"/>
        </w:trPr>
        <w:tc>
          <w:tcPr>
            <w:tcW w:w="5245" w:type="dxa"/>
            <w:tcBorders>
              <w:top w:val="nil"/>
              <w:left w:val="single" w:sz="4" w:space="0" w:color="auto"/>
              <w:bottom w:val="nil"/>
              <w:right w:val="single" w:sz="4" w:space="0" w:color="auto"/>
            </w:tcBorders>
          </w:tcPr>
          <w:p w14:paraId="2F4CAD61"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Crecimiento % real</w:t>
            </w:r>
          </w:p>
        </w:tc>
        <w:tc>
          <w:tcPr>
            <w:tcW w:w="1559" w:type="dxa"/>
            <w:tcBorders>
              <w:top w:val="nil"/>
              <w:left w:val="single" w:sz="4" w:space="0" w:color="auto"/>
              <w:bottom w:val="nil"/>
              <w:right w:val="single" w:sz="4" w:space="0" w:color="auto"/>
            </w:tcBorders>
          </w:tcPr>
          <w:p w14:paraId="2BA41CFC"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3.1</w:t>
            </w:r>
          </w:p>
        </w:tc>
        <w:tc>
          <w:tcPr>
            <w:tcW w:w="1418" w:type="dxa"/>
            <w:tcBorders>
              <w:top w:val="nil"/>
              <w:left w:val="single" w:sz="4" w:space="0" w:color="auto"/>
              <w:bottom w:val="nil"/>
              <w:right w:val="single" w:sz="4" w:space="0" w:color="auto"/>
            </w:tcBorders>
          </w:tcPr>
          <w:p w14:paraId="51F8B29B"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2.9</w:t>
            </w:r>
          </w:p>
        </w:tc>
      </w:tr>
      <w:tr w:rsidR="00874532" w:rsidRPr="00874532" w14:paraId="7F6DA618" w14:textId="77777777" w:rsidTr="002B3A4F">
        <w:trPr>
          <w:jc w:val="center"/>
        </w:trPr>
        <w:tc>
          <w:tcPr>
            <w:tcW w:w="5245" w:type="dxa"/>
            <w:tcBorders>
              <w:top w:val="nil"/>
              <w:left w:val="single" w:sz="4" w:space="0" w:color="auto"/>
              <w:bottom w:val="nil"/>
              <w:right w:val="single" w:sz="4" w:space="0" w:color="auto"/>
            </w:tcBorders>
          </w:tcPr>
          <w:p w14:paraId="1B1803D8"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Producción Industrial de los Estados Unidos de Norteamérica</w:t>
            </w:r>
          </w:p>
        </w:tc>
        <w:tc>
          <w:tcPr>
            <w:tcW w:w="1559" w:type="dxa"/>
            <w:tcBorders>
              <w:top w:val="nil"/>
              <w:left w:val="single" w:sz="4" w:space="0" w:color="auto"/>
              <w:bottom w:val="nil"/>
              <w:right w:val="single" w:sz="4" w:space="0" w:color="auto"/>
            </w:tcBorders>
          </w:tcPr>
          <w:p w14:paraId="035844E6"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6C57CD58" w14:textId="77777777" w:rsidR="00874532" w:rsidRPr="00874532" w:rsidRDefault="00874532" w:rsidP="00874532">
            <w:pPr>
              <w:ind w:right="284"/>
              <w:jc w:val="right"/>
              <w:rPr>
                <w:rFonts w:eastAsia="Calibri"/>
                <w:b/>
                <w:sz w:val="20"/>
                <w:szCs w:val="20"/>
                <w:lang w:eastAsia="en-US"/>
              </w:rPr>
            </w:pPr>
          </w:p>
        </w:tc>
      </w:tr>
      <w:tr w:rsidR="00874532" w:rsidRPr="00874532" w14:paraId="0888ABCA" w14:textId="77777777" w:rsidTr="002B3A4F">
        <w:trPr>
          <w:jc w:val="center"/>
        </w:trPr>
        <w:tc>
          <w:tcPr>
            <w:tcW w:w="5245" w:type="dxa"/>
            <w:tcBorders>
              <w:top w:val="nil"/>
              <w:left w:val="single" w:sz="4" w:space="0" w:color="auto"/>
              <w:bottom w:val="nil"/>
              <w:right w:val="single" w:sz="4" w:space="0" w:color="auto"/>
            </w:tcBorders>
          </w:tcPr>
          <w:p w14:paraId="2C89F41C"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Crecimiento % real</w:t>
            </w:r>
          </w:p>
        </w:tc>
        <w:tc>
          <w:tcPr>
            <w:tcW w:w="1559" w:type="dxa"/>
            <w:tcBorders>
              <w:top w:val="nil"/>
              <w:left w:val="single" w:sz="4" w:space="0" w:color="auto"/>
              <w:bottom w:val="nil"/>
              <w:right w:val="single" w:sz="4" w:space="0" w:color="auto"/>
            </w:tcBorders>
          </w:tcPr>
          <w:p w14:paraId="4366A6B8"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3.8</w:t>
            </w:r>
          </w:p>
        </w:tc>
        <w:tc>
          <w:tcPr>
            <w:tcW w:w="1418" w:type="dxa"/>
            <w:tcBorders>
              <w:top w:val="nil"/>
              <w:left w:val="single" w:sz="4" w:space="0" w:color="auto"/>
              <w:bottom w:val="nil"/>
              <w:right w:val="single" w:sz="4" w:space="0" w:color="auto"/>
            </w:tcBorders>
          </w:tcPr>
          <w:p w14:paraId="5416C4CC"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3.2</w:t>
            </w:r>
          </w:p>
        </w:tc>
      </w:tr>
      <w:tr w:rsidR="00874532" w:rsidRPr="00874532" w14:paraId="67617541" w14:textId="77777777" w:rsidTr="002B3A4F">
        <w:trPr>
          <w:jc w:val="center"/>
        </w:trPr>
        <w:tc>
          <w:tcPr>
            <w:tcW w:w="5245" w:type="dxa"/>
            <w:tcBorders>
              <w:top w:val="nil"/>
              <w:left w:val="single" w:sz="4" w:space="0" w:color="auto"/>
              <w:bottom w:val="nil"/>
              <w:right w:val="single" w:sz="4" w:space="0" w:color="auto"/>
            </w:tcBorders>
          </w:tcPr>
          <w:p w14:paraId="7E332A83"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Inflación de los Estados Unidos de Norteamérica</w:t>
            </w:r>
          </w:p>
        </w:tc>
        <w:tc>
          <w:tcPr>
            <w:tcW w:w="1559" w:type="dxa"/>
            <w:tcBorders>
              <w:top w:val="nil"/>
              <w:left w:val="single" w:sz="4" w:space="0" w:color="auto"/>
              <w:bottom w:val="nil"/>
              <w:right w:val="single" w:sz="4" w:space="0" w:color="auto"/>
            </w:tcBorders>
          </w:tcPr>
          <w:p w14:paraId="0BF2E465"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0030B376" w14:textId="77777777" w:rsidR="00874532" w:rsidRPr="00874532" w:rsidRDefault="00874532" w:rsidP="00874532">
            <w:pPr>
              <w:ind w:right="284"/>
              <w:jc w:val="right"/>
              <w:rPr>
                <w:rFonts w:eastAsia="Calibri"/>
                <w:b/>
                <w:sz w:val="20"/>
                <w:szCs w:val="20"/>
                <w:lang w:eastAsia="en-US"/>
              </w:rPr>
            </w:pPr>
          </w:p>
        </w:tc>
      </w:tr>
      <w:tr w:rsidR="00874532" w:rsidRPr="00874532" w14:paraId="21F2E639" w14:textId="77777777" w:rsidTr="002B3A4F">
        <w:trPr>
          <w:jc w:val="center"/>
        </w:trPr>
        <w:tc>
          <w:tcPr>
            <w:tcW w:w="5245" w:type="dxa"/>
            <w:tcBorders>
              <w:top w:val="nil"/>
              <w:left w:val="single" w:sz="4" w:space="0" w:color="auto"/>
              <w:bottom w:val="nil"/>
              <w:right w:val="single" w:sz="4" w:space="0" w:color="auto"/>
            </w:tcBorders>
          </w:tcPr>
          <w:p w14:paraId="20DC3215"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Promedio</w:t>
            </w:r>
          </w:p>
        </w:tc>
        <w:tc>
          <w:tcPr>
            <w:tcW w:w="1559" w:type="dxa"/>
            <w:tcBorders>
              <w:top w:val="nil"/>
              <w:left w:val="single" w:sz="4" w:space="0" w:color="auto"/>
              <w:bottom w:val="nil"/>
              <w:right w:val="single" w:sz="4" w:space="0" w:color="auto"/>
            </w:tcBorders>
          </w:tcPr>
          <w:p w14:paraId="3A7A0DF8"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0.3</w:t>
            </w:r>
          </w:p>
        </w:tc>
        <w:tc>
          <w:tcPr>
            <w:tcW w:w="1418" w:type="dxa"/>
            <w:tcBorders>
              <w:top w:val="nil"/>
              <w:left w:val="single" w:sz="4" w:space="0" w:color="auto"/>
              <w:bottom w:val="nil"/>
              <w:right w:val="single" w:sz="4" w:space="0" w:color="auto"/>
            </w:tcBorders>
          </w:tcPr>
          <w:p w14:paraId="7776C1BA"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2.2</w:t>
            </w:r>
          </w:p>
        </w:tc>
      </w:tr>
      <w:tr w:rsidR="00874532" w:rsidRPr="00874532" w14:paraId="62A97C6C" w14:textId="77777777" w:rsidTr="002B3A4F">
        <w:trPr>
          <w:jc w:val="center"/>
        </w:trPr>
        <w:tc>
          <w:tcPr>
            <w:tcW w:w="5245" w:type="dxa"/>
            <w:tcBorders>
              <w:top w:val="nil"/>
              <w:left w:val="single" w:sz="4" w:space="0" w:color="auto"/>
              <w:bottom w:val="nil"/>
              <w:right w:val="single" w:sz="4" w:space="0" w:color="auto"/>
            </w:tcBorders>
          </w:tcPr>
          <w:p w14:paraId="7E76D0AD"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Tasa de interés internacional</w:t>
            </w:r>
          </w:p>
        </w:tc>
        <w:tc>
          <w:tcPr>
            <w:tcW w:w="1559" w:type="dxa"/>
            <w:tcBorders>
              <w:top w:val="nil"/>
              <w:left w:val="single" w:sz="4" w:space="0" w:color="auto"/>
              <w:bottom w:val="nil"/>
              <w:right w:val="single" w:sz="4" w:space="0" w:color="auto"/>
            </w:tcBorders>
          </w:tcPr>
          <w:p w14:paraId="2F3070FD"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706B625D" w14:textId="77777777" w:rsidR="00874532" w:rsidRPr="00874532" w:rsidRDefault="00874532" w:rsidP="00874532">
            <w:pPr>
              <w:ind w:right="284"/>
              <w:jc w:val="right"/>
              <w:rPr>
                <w:rFonts w:eastAsia="Calibri"/>
                <w:b/>
                <w:sz w:val="20"/>
                <w:szCs w:val="20"/>
                <w:lang w:eastAsia="en-US"/>
              </w:rPr>
            </w:pPr>
          </w:p>
        </w:tc>
      </w:tr>
      <w:tr w:rsidR="00874532" w:rsidRPr="00874532" w14:paraId="30431BDE" w14:textId="77777777" w:rsidTr="002B3A4F">
        <w:trPr>
          <w:jc w:val="center"/>
        </w:trPr>
        <w:tc>
          <w:tcPr>
            <w:tcW w:w="5245" w:type="dxa"/>
            <w:tcBorders>
              <w:top w:val="nil"/>
              <w:left w:val="single" w:sz="4" w:space="0" w:color="auto"/>
              <w:bottom w:val="nil"/>
              <w:right w:val="single" w:sz="4" w:space="0" w:color="auto"/>
            </w:tcBorders>
          </w:tcPr>
          <w:p w14:paraId="1B173824"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Libor 3 meses (promedio)</w:t>
            </w:r>
          </w:p>
        </w:tc>
        <w:tc>
          <w:tcPr>
            <w:tcW w:w="1559" w:type="dxa"/>
            <w:tcBorders>
              <w:top w:val="nil"/>
              <w:left w:val="single" w:sz="4" w:space="0" w:color="auto"/>
              <w:bottom w:val="nil"/>
              <w:right w:val="single" w:sz="4" w:space="0" w:color="auto"/>
            </w:tcBorders>
          </w:tcPr>
          <w:p w14:paraId="64D18F0C"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0.5</w:t>
            </w:r>
          </w:p>
        </w:tc>
        <w:tc>
          <w:tcPr>
            <w:tcW w:w="1418" w:type="dxa"/>
            <w:tcBorders>
              <w:top w:val="nil"/>
              <w:left w:val="single" w:sz="4" w:space="0" w:color="auto"/>
              <w:bottom w:val="nil"/>
              <w:right w:val="single" w:sz="4" w:space="0" w:color="auto"/>
            </w:tcBorders>
          </w:tcPr>
          <w:p w14:paraId="5669B49F"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1.3</w:t>
            </w:r>
          </w:p>
        </w:tc>
      </w:tr>
      <w:tr w:rsidR="00874532" w:rsidRPr="00874532" w14:paraId="7F7DE4F9" w14:textId="77777777" w:rsidTr="002B3A4F">
        <w:trPr>
          <w:jc w:val="center"/>
        </w:trPr>
        <w:tc>
          <w:tcPr>
            <w:tcW w:w="5245" w:type="dxa"/>
            <w:tcBorders>
              <w:top w:val="nil"/>
              <w:left w:val="single" w:sz="4" w:space="0" w:color="auto"/>
              <w:bottom w:val="nil"/>
              <w:right w:val="single" w:sz="4" w:space="0" w:color="auto"/>
            </w:tcBorders>
          </w:tcPr>
          <w:p w14:paraId="1990E0E7"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FED Funds Rate (promedio)</w:t>
            </w:r>
          </w:p>
        </w:tc>
        <w:tc>
          <w:tcPr>
            <w:tcW w:w="1559" w:type="dxa"/>
            <w:tcBorders>
              <w:top w:val="nil"/>
              <w:left w:val="single" w:sz="4" w:space="0" w:color="auto"/>
              <w:bottom w:val="nil"/>
              <w:right w:val="single" w:sz="4" w:space="0" w:color="auto"/>
            </w:tcBorders>
          </w:tcPr>
          <w:p w14:paraId="6610BBCF"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0.5</w:t>
            </w:r>
          </w:p>
        </w:tc>
        <w:tc>
          <w:tcPr>
            <w:tcW w:w="1418" w:type="dxa"/>
            <w:tcBorders>
              <w:top w:val="nil"/>
              <w:left w:val="single" w:sz="4" w:space="0" w:color="auto"/>
              <w:bottom w:val="nil"/>
              <w:right w:val="single" w:sz="4" w:space="0" w:color="auto"/>
            </w:tcBorders>
          </w:tcPr>
          <w:p w14:paraId="2B01CF63"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1.5</w:t>
            </w:r>
          </w:p>
        </w:tc>
      </w:tr>
      <w:tr w:rsidR="00874532" w:rsidRPr="00874532" w14:paraId="1B9A2A79" w14:textId="77777777" w:rsidTr="002B3A4F">
        <w:trPr>
          <w:jc w:val="center"/>
        </w:trPr>
        <w:tc>
          <w:tcPr>
            <w:tcW w:w="5245" w:type="dxa"/>
            <w:tcBorders>
              <w:top w:val="nil"/>
              <w:left w:val="single" w:sz="4" w:space="0" w:color="auto"/>
              <w:bottom w:val="nil"/>
              <w:right w:val="single" w:sz="4" w:space="0" w:color="auto"/>
            </w:tcBorders>
          </w:tcPr>
          <w:p w14:paraId="1BC626C3"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Petróleo (canasta mexicana)</w:t>
            </w:r>
          </w:p>
        </w:tc>
        <w:tc>
          <w:tcPr>
            <w:tcW w:w="1559" w:type="dxa"/>
            <w:tcBorders>
              <w:top w:val="nil"/>
              <w:left w:val="single" w:sz="4" w:space="0" w:color="auto"/>
              <w:bottom w:val="nil"/>
              <w:right w:val="single" w:sz="4" w:space="0" w:color="auto"/>
            </w:tcBorders>
          </w:tcPr>
          <w:p w14:paraId="1BC9B586"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24458F60" w14:textId="77777777" w:rsidR="00874532" w:rsidRPr="00874532" w:rsidRDefault="00874532" w:rsidP="00874532">
            <w:pPr>
              <w:ind w:right="284"/>
              <w:jc w:val="right"/>
              <w:rPr>
                <w:rFonts w:eastAsia="Calibri"/>
                <w:b/>
                <w:sz w:val="20"/>
                <w:szCs w:val="20"/>
                <w:lang w:eastAsia="en-US"/>
              </w:rPr>
            </w:pPr>
          </w:p>
        </w:tc>
      </w:tr>
      <w:tr w:rsidR="00874532" w:rsidRPr="00874532" w14:paraId="5CCD0045" w14:textId="77777777" w:rsidTr="002B3A4F">
        <w:trPr>
          <w:jc w:val="center"/>
        </w:trPr>
        <w:tc>
          <w:tcPr>
            <w:tcW w:w="5245" w:type="dxa"/>
            <w:tcBorders>
              <w:top w:val="nil"/>
              <w:left w:val="single" w:sz="4" w:space="0" w:color="auto"/>
              <w:bottom w:val="nil"/>
              <w:right w:val="single" w:sz="4" w:space="0" w:color="auto"/>
            </w:tcBorders>
          </w:tcPr>
          <w:p w14:paraId="045C1A36"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Precio promedio (dólares/barril)</w:t>
            </w:r>
          </w:p>
        </w:tc>
        <w:tc>
          <w:tcPr>
            <w:tcW w:w="1559" w:type="dxa"/>
            <w:tcBorders>
              <w:top w:val="nil"/>
              <w:left w:val="single" w:sz="4" w:space="0" w:color="auto"/>
              <w:bottom w:val="nil"/>
              <w:right w:val="single" w:sz="4" w:space="0" w:color="auto"/>
            </w:tcBorders>
          </w:tcPr>
          <w:p w14:paraId="5C662A36"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50</w:t>
            </w:r>
          </w:p>
        </w:tc>
        <w:tc>
          <w:tcPr>
            <w:tcW w:w="1418" w:type="dxa"/>
            <w:tcBorders>
              <w:top w:val="nil"/>
              <w:left w:val="single" w:sz="4" w:space="0" w:color="auto"/>
              <w:bottom w:val="nil"/>
              <w:right w:val="single" w:sz="4" w:space="0" w:color="auto"/>
            </w:tcBorders>
          </w:tcPr>
          <w:p w14:paraId="566E33FB"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55</w:t>
            </w:r>
          </w:p>
        </w:tc>
      </w:tr>
      <w:tr w:rsidR="00874532" w:rsidRPr="00874532" w14:paraId="787D58AA" w14:textId="77777777" w:rsidTr="002B3A4F">
        <w:trPr>
          <w:jc w:val="center"/>
        </w:trPr>
        <w:tc>
          <w:tcPr>
            <w:tcW w:w="5245" w:type="dxa"/>
            <w:tcBorders>
              <w:top w:val="nil"/>
              <w:left w:val="single" w:sz="4" w:space="0" w:color="auto"/>
              <w:bottom w:val="nil"/>
              <w:right w:val="single" w:sz="4" w:space="0" w:color="auto"/>
            </w:tcBorders>
          </w:tcPr>
          <w:p w14:paraId="3F9039F9"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Plataforma de producción promedio (mbd)</w:t>
            </w:r>
          </w:p>
        </w:tc>
        <w:tc>
          <w:tcPr>
            <w:tcW w:w="1559" w:type="dxa"/>
            <w:tcBorders>
              <w:top w:val="nil"/>
              <w:left w:val="single" w:sz="4" w:space="0" w:color="auto"/>
              <w:bottom w:val="nil"/>
              <w:right w:val="single" w:sz="4" w:space="0" w:color="auto"/>
            </w:tcBorders>
          </w:tcPr>
          <w:p w14:paraId="1B0CD64F"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2 288</w:t>
            </w:r>
          </w:p>
        </w:tc>
        <w:tc>
          <w:tcPr>
            <w:tcW w:w="1418" w:type="dxa"/>
            <w:tcBorders>
              <w:top w:val="nil"/>
              <w:left w:val="single" w:sz="4" w:space="0" w:color="auto"/>
              <w:bottom w:val="nil"/>
              <w:right w:val="single" w:sz="4" w:space="0" w:color="auto"/>
            </w:tcBorders>
          </w:tcPr>
          <w:p w14:paraId="568647CD"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2 400</w:t>
            </w:r>
          </w:p>
        </w:tc>
      </w:tr>
      <w:tr w:rsidR="00874532" w:rsidRPr="00874532" w14:paraId="26476415" w14:textId="77777777" w:rsidTr="002B3A4F">
        <w:trPr>
          <w:jc w:val="center"/>
        </w:trPr>
        <w:tc>
          <w:tcPr>
            <w:tcW w:w="5245" w:type="dxa"/>
            <w:tcBorders>
              <w:top w:val="nil"/>
              <w:left w:val="single" w:sz="4" w:space="0" w:color="auto"/>
              <w:bottom w:val="nil"/>
              <w:right w:val="single" w:sz="4" w:space="0" w:color="auto"/>
            </w:tcBorders>
          </w:tcPr>
          <w:p w14:paraId="7BBF5FC0"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Plataforma de exportación promedio (mbd)</w:t>
            </w:r>
          </w:p>
        </w:tc>
        <w:tc>
          <w:tcPr>
            <w:tcW w:w="1559" w:type="dxa"/>
            <w:tcBorders>
              <w:top w:val="nil"/>
              <w:left w:val="single" w:sz="4" w:space="0" w:color="auto"/>
              <w:bottom w:val="nil"/>
              <w:right w:val="single" w:sz="4" w:space="0" w:color="auto"/>
            </w:tcBorders>
          </w:tcPr>
          <w:p w14:paraId="77C93B76"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1 014</w:t>
            </w:r>
          </w:p>
        </w:tc>
        <w:tc>
          <w:tcPr>
            <w:tcW w:w="1418" w:type="dxa"/>
            <w:tcBorders>
              <w:top w:val="nil"/>
              <w:left w:val="single" w:sz="4" w:space="0" w:color="auto"/>
              <w:bottom w:val="nil"/>
              <w:right w:val="single" w:sz="4" w:space="0" w:color="auto"/>
            </w:tcBorders>
          </w:tcPr>
          <w:p w14:paraId="7DFB21AA"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1 065</w:t>
            </w:r>
          </w:p>
        </w:tc>
      </w:tr>
      <w:tr w:rsidR="00874532" w:rsidRPr="00874532" w14:paraId="0841B6C1" w14:textId="77777777" w:rsidTr="002B3A4F">
        <w:trPr>
          <w:jc w:val="center"/>
        </w:trPr>
        <w:tc>
          <w:tcPr>
            <w:tcW w:w="5245" w:type="dxa"/>
            <w:tcBorders>
              <w:top w:val="nil"/>
              <w:left w:val="single" w:sz="4" w:space="0" w:color="auto"/>
              <w:bottom w:val="nil"/>
              <w:right w:val="single" w:sz="4" w:space="0" w:color="auto"/>
            </w:tcBorders>
          </w:tcPr>
          <w:p w14:paraId="1BD72DB5" w14:textId="77777777" w:rsidR="00874532" w:rsidRPr="00874532" w:rsidRDefault="00874532" w:rsidP="00874532">
            <w:pPr>
              <w:jc w:val="both"/>
              <w:rPr>
                <w:rFonts w:eastAsia="Calibri"/>
                <w:b/>
                <w:sz w:val="20"/>
                <w:szCs w:val="20"/>
                <w:lang w:eastAsia="en-US"/>
              </w:rPr>
            </w:pPr>
            <w:r w:rsidRPr="00874532">
              <w:rPr>
                <w:rFonts w:eastAsia="Calibri"/>
                <w:b/>
                <w:sz w:val="20"/>
                <w:szCs w:val="20"/>
                <w:lang w:eastAsia="en-US"/>
              </w:rPr>
              <w:t xml:space="preserve">Gas </w:t>
            </w:r>
          </w:p>
        </w:tc>
        <w:tc>
          <w:tcPr>
            <w:tcW w:w="1559" w:type="dxa"/>
            <w:tcBorders>
              <w:top w:val="nil"/>
              <w:left w:val="single" w:sz="4" w:space="0" w:color="auto"/>
              <w:bottom w:val="nil"/>
              <w:right w:val="single" w:sz="4" w:space="0" w:color="auto"/>
            </w:tcBorders>
          </w:tcPr>
          <w:p w14:paraId="29013573" w14:textId="77777777" w:rsidR="00874532" w:rsidRPr="00874532" w:rsidRDefault="00874532" w:rsidP="00874532">
            <w:pPr>
              <w:ind w:right="284"/>
              <w:jc w:val="right"/>
              <w:rPr>
                <w:rFonts w:eastAsia="Calibri"/>
                <w:b/>
                <w:sz w:val="20"/>
                <w:szCs w:val="20"/>
                <w:lang w:eastAsia="en-US"/>
              </w:rPr>
            </w:pPr>
          </w:p>
        </w:tc>
        <w:tc>
          <w:tcPr>
            <w:tcW w:w="1418" w:type="dxa"/>
            <w:tcBorders>
              <w:top w:val="nil"/>
              <w:left w:val="single" w:sz="4" w:space="0" w:color="auto"/>
              <w:bottom w:val="nil"/>
              <w:right w:val="single" w:sz="4" w:space="0" w:color="auto"/>
            </w:tcBorders>
          </w:tcPr>
          <w:p w14:paraId="2E6C3533" w14:textId="77777777" w:rsidR="00874532" w:rsidRPr="00874532" w:rsidRDefault="00874532" w:rsidP="00874532">
            <w:pPr>
              <w:ind w:right="284"/>
              <w:jc w:val="right"/>
              <w:rPr>
                <w:rFonts w:eastAsia="Calibri"/>
                <w:b/>
                <w:sz w:val="20"/>
                <w:szCs w:val="20"/>
                <w:lang w:eastAsia="en-US"/>
              </w:rPr>
            </w:pPr>
          </w:p>
        </w:tc>
      </w:tr>
      <w:tr w:rsidR="00874532" w:rsidRPr="00874532" w14:paraId="427F9D15" w14:textId="77777777" w:rsidTr="002B3A4F">
        <w:trPr>
          <w:jc w:val="center"/>
        </w:trPr>
        <w:tc>
          <w:tcPr>
            <w:tcW w:w="5245" w:type="dxa"/>
            <w:tcBorders>
              <w:top w:val="nil"/>
              <w:left w:val="single" w:sz="4" w:space="0" w:color="auto"/>
              <w:bottom w:val="single" w:sz="4" w:space="0" w:color="auto"/>
              <w:right w:val="single" w:sz="4" w:space="0" w:color="auto"/>
            </w:tcBorders>
          </w:tcPr>
          <w:p w14:paraId="5C0CB9B1" w14:textId="77777777" w:rsidR="00874532" w:rsidRPr="00874532" w:rsidRDefault="00874532" w:rsidP="00874532">
            <w:pPr>
              <w:jc w:val="both"/>
              <w:rPr>
                <w:rFonts w:eastAsia="Calibri"/>
                <w:sz w:val="20"/>
                <w:szCs w:val="20"/>
                <w:lang w:eastAsia="en-US"/>
              </w:rPr>
            </w:pPr>
            <w:r w:rsidRPr="00874532">
              <w:rPr>
                <w:rFonts w:eastAsia="Calibri"/>
                <w:sz w:val="20"/>
                <w:szCs w:val="20"/>
                <w:lang w:eastAsia="en-US"/>
              </w:rPr>
              <w:t>Precio promedio (dólares/MMBtu)</w:t>
            </w:r>
          </w:p>
        </w:tc>
        <w:tc>
          <w:tcPr>
            <w:tcW w:w="1559" w:type="dxa"/>
            <w:tcBorders>
              <w:top w:val="nil"/>
              <w:left w:val="single" w:sz="4" w:space="0" w:color="auto"/>
              <w:bottom w:val="single" w:sz="4" w:space="0" w:color="auto"/>
              <w:right w:val="single" w:sz="4" w:space="0" w:color="auto"/>
            </w:tcBorders>
          </w:tcPr>
          <w:p w14:paraId="6F3CA240"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2.9</w:t>
            </w:r>
          </w:p>
        </w:tc>
        <w:tc>
          <w:tcPr>
            <w:tcW w:w="1418" w:type="dxa"/>
            <w:tcBorders>
              <w:top w:val="nil"/>
              <w:left w:val="single" w:sz="4" w:space="0" w:color="auto"/>
              <w:bottom w:val="single" w:sz="4" w:space="0" w:color="auto"/>
              <w:right w:val="single" w:sz="4" w:space="0" w:color="auto"/>
            </w:tcBorders>
          </w:tcPr>
          <w:p w14:paraId="0429611F" w14:textId="77777777" w:rsidR="00874532" w:rsidRPr="00874532" w:rsidRDefault="00874532" w:rsidP="00874532">
            <w:pPr>
              <w:ind w:right="284"/>
              <w:jc w:val="right"/>
              <w:rPr>
                <w:rFonts w:eastAsia="Calibri"/>
                <w:sz w:val="20"/>
                <w:szCs w:val="20"/>
                <w:lang w:eastAsia="en-US"/>
              </w:rPr>
            </w:pPr>
            <w:r w:rsidRPr="00874532">
              <w:rPr>
                <w:rFonts w:eastAsia="Calibri"/>
                <w:sz w:val="20"/>
                <w:szCs w:val="20"/>
                <w:lang w:eastAsia="en-US"/>
              </w:rPr>
              <w:t>3.2</w:t>
            </w:r>
          </w:p>
        </w:tc>
      </w:tr>
      <w:tr w:rsidR="00874532" w:rsidRPr="00874532" w14:paraId="176F0B2A" w14:textId="77777777" w:rsidTr="002B3A4F">
        <w:trPr>
          <w:jc w:val="center"/>
        </w:trPr>
        <w:tc>
          <w:tcPr>
            <w:tcW w:w="8222" w:type="dxa"/>
            <w:gridSpan w:val="3"/>
            <w:tcBorders>
              <w:top w:val="single" w:sz="4" w:space="0" w:color="auto"/>
              <w:left w:val="nil"/>
              <w:bottom w:val="nil"/>
              <w:right w:val="nil"/>
            </w:tcBorders>
          </w:tcPr>
          <w:p w14:paraId="34B9F8A9" w14:textId="0F960A64" w:rsidR="00874532" w:rsidRPr="00874532" w:rsidRDefault="00874532" w:rsidP="00874532">
            <w:pPr>
              <w:ind w:left="170" w:hanging="170"/>
              <w:jc w:val="both"/>
              <w:rPr>
                <w:rFonts w:eastAsia="Calibri"/>
                <w:sz w:val="20"/>
                <w:szCs w:val="20"/>
                <w:lang w:eastAsia="en-US"/>
              </w:rPr>
            </w:pPr>
            <w:r w:rsidRPr="00874532">
              <w:rPr>
                <w:rFonts w:eastAsia="Calibri"/>
                <w:sz w:val="20"/>
                <w:szCs w:val="20"/>
                <w:lang w:eastAsia="en-US"/>
              </w:rPr>
              <w:t>* Corresponde al escenario de crecimiento planteado para las estimaciones de finanzas públicas.</w:t>
            </w:r>
          </w:p>
          <w:p w14:paraId="5D85308D" w14:textId="77777777" w:rsidR="00874532" w:rsidRPr="00874532" w:rsidRDefault="00874532" w:rsidP="00874532">
            <w:pPr>
              <w:ind w:right="284"/>
              <w:jc w:val="both"/>
              <w:rPr>
                <w:rFonts w:eastAsia="Calibri"/>
                <w:sz w:val="20"/>
                <w:szCs w:val="20"/>
                <w:lang w:eastAsia="en-US"/>
              </w:rPr>
            </w:pPr>
            <w:r w:rsidRPr="00874532">
              <w:rPr>
                <w:rFonts w:eastAsia="Calibri"/>
                <w:sz w:val="20"/>
                <w:szCs w:val="20"/>
                <w:u w:val="single"/>
                <w:lang w:eastAsia="en-US"/>
              </w:rPr>
              <w:t>e</w:t>
            </w:r>
            <w:r w:rsidRPr="00874532">
              <w:rPr>
                <w:rFonts w:eastAsia="Calibri"/>
                <w:sz w:val="20"/>
                <w:szCs w:val="20"/>
                <w:lang w:eastAsia="en-US"/>
              </w:rPr>
              <w:t>/ Estimado.</w:t>
            </w:r>
          </w:p>
          <w:p w14:paraId="59A48429" w14:textId="77777777" w:rsidR="00874532" w:rsidRPr="00874532" w:rsidRDefault="00874532" w:rsidP="00874532">
            <w:pPr>
              <w:ind w:right="284"/>
              <w:jc w:val="both"/>
              <w:rPr>
                <w:rFonts w:eastAsia="Calibri"/>
                <w:sz w:val="20"/>
                <w:szCs w:val="20"/>
                <w:lang w:eastAsia="en-US"/>
              </w:rPr>
            </w:pPr>
            <w:r w:rsidRPr="00874532">
              <w:rPr>
                <w:rFonts w:eastAsia="Calibri"/>
                <w:sz w:val="20"/>
                <w:szCs w:val="20"/>
                <w:lang w:eastAsia="en-US"/>
              </w:rPr>
              <w:t>FUENTE: SHCP.</w:t>
            </w:r>
          </w:p>
        </w:tc>
      </w:tr>
    </w:tbl>
    <w:p w14:paraId="1A0BFDD0" w14:textId="77777777" w:rsidR="00874532" w:rsidRPr="00874532" w:rsidRDefault="00874532" w:rsidP="00874532">
      <w:pPr>
        <w:spacing w:after="360" w:line="360" w:lineRule="auto"/>
        <w:ind w:right="-159"/>
        <w:jc w:val="both"/>
        <w:rPr>
          <w:rFonts w:eastAsia="Calibri"/>
          <w:sz w:val="26"/>
          <w:szCs w:val="26"/>
          <w:lang w:eastAsia="en-US"/>
        </w:rPr>
      </w:pPr>
    </w:p>
    <w:p w14:paraId="5914C6D7" w14:textId="77777777" w:rsidR="00874532" w:rsidRPr="00874532" w:rsidRDefault="00874532" w:rsidP="00874532">
      <w:pPr>
        <w:spacing w:after="360" w:line="360" w:lineRule="auto"/>
        <w:ind w:right="-159"/>
        <w:jc w:val="both"/>
        <w:rPr>
          <w:rFonts w:eastAsia="Calibri"/>
          <w:sz w:val="26"/>
          <w:szCs w:val="26"/>
          <w:lang w:eastAsia="en-US"/>
        </w:rPr>
      </w:pPr>
    </w:p>
    <w:p w14:paraId="0D1CFB61" w14:textId="77777777" w:rsidR="00874532" w:rsidRPr="00874532" w:rsidRDefault="00874532" w:rsidP="00874532">
      <w:pPr>
        <w:spacing w:after="360" w:line="360" w:lineRule="auto"/>
        <w:ind w:right="-159"/>
        <w:jc w:val="both"/>
        <w:rPr>
          <w:rFonts w:eastAsia="Calibri"/>
          <w:sz w:val="26"/>
          <w:szCs w:val="26"/>
          <w:lang w:eastAsia="en-US"/>
        </w:rPr>
      </w:pPr>
    </w:p>
    <w:p w14:paraId="2BE4607A" w14:textId="77777777" w:rsidR="00874532" w:rsidRPr="00874532" w:rsidRDefault="00874532" w:rsidP="00874532">
      <w:pPr>
        <w:spacing w:after="360" w:line="360" w:lineRule="auto"/>
        <w:ind w:right="-159"/>
        <w:jc w:val="center"/>
        <w:rPr>
          <w:rFonts w:eastAsia="Calibri"/>
          <w:b/>
          <w:sz w:val="26"/>
          <w:szCs w:val="26"/>
          <w:lang w:eastAsia="en-US"/>
        </w:rPr>
      </w:pPr>
      <w:r w:rsidRPr="00874532">
        <w:rPr>
          <w:rFonts w:eastAsia="Calibri"/>
          <w:b/>
          <w:sz w:val="26"/>
          <w:szCs w:val="26"/>
          <w:lang w:eastAsia="en-US"/>
        </w:rPr>
        <w:lastRenderedPageBreak/>
        <w:t>Anexo II</w:t>
      </w:r>
    </w:p>
    <w:tbl>
      <w:tblPr>
        <w:tblW w:w="0" w:type="auto"/>
        <w:jc w:val="center"/>
        <w:tblLayout w:type="fixed"/>
        <w:tblLook w:val="04A0" w:firstRow="1" w:lastRow="0" w:firstColumn="1" w:lastColumn="0" w:noHBand="0" w:noVBand="1"/>
      </w:tblPr>
      <w:tblGrid>
        <w:gridCol w:w="3402"/>
        <w:gridCol w:w="1418"/>
        <w:gridCol w:w="1418"/>
        <w:gridCol w:w="851"/>
        <w:gridCol w:w="851"/>
        <w:gridCol w:w="851"/>
      </w:tblGrid>
      <w:tr w:rsidR="00874532" w:rsidRPr="00874532" w14:paraId="42FA2EF5" w14:textId="77777777" w:rsidTr="002B3A4F">
        <w:trPr>
          <w:jc w:val="center"/>
        </w:trPr>
        <w:tc>
          <w:tcPr>
            <w:tcW w:w="8791" w:type="dxa"/>
            <w:gridSpan w:val="6"/>
            <w:tcBorders>
              <w:top w:val="nil"/>
              <w:left w:val="nil"/>
              <w:bottom w:val="single" w:sz="4" w:space="0" w:color="auto"/>
              <w:right w:val="nil"/>
            </w:tcBorders>
          </w:tcPr>
          <w:p w14:paraId="7355F08C" w14:textId="77777777" w:rsidR="00874532" w:rsidRPr="00874532" w:rsidRDefault="00874532" w:rsidP="00874532">
            <w:pPr>
              <w:jc w:val="center"/>
              <w:rPr>
                <w:rFonts w:eastAsia="Calibri"/>
                <w:b/>
                <w:sz w:val="18"/>
                <w:szCs w:val="18"/>
                <w:lang w:eastAsia="en-US"/>
              </w:rPr>
            </w:pPr>
            <w:r w:rsidRPr="00874532">
              <w:rPr>
                <w:rFonts w:eastAsia="Calibri"/>
                <w:b/>
                <w:sz w:val="18"/>
                <w:szCs w:val="18"/>
                <w:lang w:eastAsia="en-US"/>
              </w:rPr>
              <w:t>ESTIMACIÓN DE LAS FINANZAS PÚBLICAS PARA 2015-2016</w:t>
            </w:r>
          </w:p>
        </w:tc>
      </w:tr>
      <w:tr w:rsidR="00874532" w:rsidRPr="00874532" w14:paraId="4F74D182" w14:textId="77777777" w:rsidTr="00464B48">
        <w:trPr>
          <w:jc w:val="center"/>
        </w:trPr>
        <w:tc>
          <w:tcPr>
            <w:tcW w:w="3402" w:type="dxa"/>
            <w:tcBorders>
              <w:top w:val="single" w:sz="4" w:space="0" w:color="auto"/>
              <w:left w:val="single" w:sz="4" w:space="0" w:color="auto"/>
              <w:bottom w:val="single" w:sz="4" w:space="0" w:color="auto"/>
              <w:right w:val="single" w:sz="4" w:space="0" w:color="auto"/>
            </w:tcBorders>
          </w:tcPr>
          <w:p w14:paraId="12E84FD6" w14:textId="77777777" w:rsidR="00874532" w:rsidRPr="00874532" w:rsidRDefault="00874532" w:rsidP="00874532">
            <w:pPr>
              <w:jc w:val="center"/>
              <w:rPr>
                <w:rFonts w:eastAsia="Calibri"/>
                <w:b/>
                <w:sz w:val="16"/>
                <w:szCs w:val="16"/>
                <w:lang w:eastAsia="en-US"/>
              </w:rPr>
            </w:pPr>
          </w:p>
        </w:tc>
        <w:tc>
          <w:tcPr>
            <w:tcW w:w="2836" w:type="dxa"/>
            <w:gridSpan w:val="2"/>
            <w:tcBorders>
              <w:top w:val="single" w:sz="4" w:space="0" w:color="auto"/>
              <w:left w:val="single" w:sz="4" w:space="0" w:color="auto"/>
              <w:bottom w:val="single" w:sz="4" w:space="0" w:color="auto"/>
              <w:right w:val="single" w:sz="4" w:space="0" w:color="auto"/>
            </w:tcBorders>
          </w:tcPr>
          <w:p w14:paraId="754B8E9E" w14:textId="32A41FD2" w:rsidR="00874532" w:rsidRPr="00874532" w:rsidRDefault="00464B48" w:rsidP="00874532">
            <w:pPr>
              <w:jc w:val="center"/>
              <w:rPr>
                <w:rFonts w:eastAsia="Calibri"/>
                <w:b/>
                <w:sz w:val="16"/>
                <w:szCs w:val="16"/>
                <w:lang w:eastAsia="en-US"/>
              </w:rPr>
            </w:pPr>
            <w:r>
              <w:rPr>
                <w:rFonts w:eastAsia="Calibri"/>
                <w:b/>
                <w:sz w:val="16"/>
                <w:szCs w:val="16"/>
                <w:lang w:eastAsia="en-US"/>
              </w:rPr>
              <w:t>-</w:t>
            </w:r>
            <w:r w:rsidR="00874532" w:rsidRPr="00874532">
              <w:rPr>
                <w:rFonts w:eastAsia="Calibri"/>
                <w:b/>
                <w:sz w:val="16"/>
                <w:szCs w:val="16"/>
                <w:lang w:eastAsia="en-US"/>
              </w:rPr>
              <w:t>Millones de pesos corrientes</w:t>
            </w:r>
            <w:r>
              <w:rPr>
                <w:rFonts w:eastAsia="Calibri"/>
                <w:b/>
                <w:sz w:val="16"/>
                <w:szCs w:val="16"/>
                <w:lang w:eastAsia="en-US"/>
              </w:rPr>
              <w:t>-</w:t>
            </w:r>
          </w:p>
        </w:tc>
        <w:tc>
          <w:tcPr>
            <w:tcW w:w="1702" w:type="dxa"/>
            <w:gridSpan w:val="2"/>
            <w:tcBorders>
              <w:top w:val="single" w:sz="4" w:space="0" w:color="auto"/>
              <w:left w:val="single" w:sz="4" w:space="0" w:color="auto"/>
              <w:bottom w:val="single" w:sz="4" w:space="0" w:color="auto"/>
              <w:right w:val="single" w:sz="4" w:space="0" w:color="auto"/>
            </w:tcBorders>
          </w:tcPr>
          <w:p w14:paraId="6EAB4758"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 del PIB</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3BDCF63A"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Crec.</w:t>
            </w:r>
          </w:p>
          <w:p w14:paraId="26DEE145"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real %</w:t>
            </w:r>
          </w:p>
        </w:tc>
      </w:tr>
      <w:tr w:rsidR="00874532" w:rsidRPr="00874532" w14:paraId="3974CAA3" w14:textId="77777777" w:rsidTr="00464B48">
        <w:trPr>
          <w:jc w:val="center"/>
        </w:trPr>
        <w:tc>
          <w:tcPr>
            <w:tcW w:w="3402" w:type="dxa"/>
            <w:tcBorders>
              <w:top w:val="single" w:sz="4" w:space="0" w:color="auto"/>
              <w:left w:val="single" w:sz="4" w:space="0" w:color="auto"/>
              <w:bottom w:val="single" w:sz="4" w:space="0" w:color="auto"/>
              <w:right w:val="single" w:sz="4" w:space="0" w:color="auto"/>
            </w:tcBorders>
          </w:tcPr>
          <w:p w14:paraId="4F963FF8" w14:textId="77777777" w:rsidR="00874532" w:rsidRPr="00874532" w:rsidRDefault="00874532" w:rsidP="00874532">
            <w:pPr>
              <w:jc w:val="center"/>
              <w:rPr>
                <w:rFonts w:eastAsia="Calibri"/>
                <w:b/>
                <w:sz w:val="16"/>
                <w:szCs w:val="16"/>
                <w:lang w:eastAsia="en-US"/>
              </w:rPr>
            </w:pPr>
          </w:p>
        </w:tc>
        <w:tc>
          <w:tcPr>
            <w:tcW w:w="1418" w:type="dxa"/>
            <w:tcBorders>
              <w:top w:val="single" w:sz="4" w:space="0" w:color="auto"/>
              <w:left w:val="single" w:sz="4" w:space="0" w:color="auto"/>
              <w:bottom w:val="single" w:sz="4" w:space="0" w:color="auto"/>
              <w:right w:val="single" w:sz="4" w:space="0" w:color="auto"/>
            </w:tcBorders>
          </w:tcPr>
          <w:p w14:paraId="5220DB78"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2015</w:t>
            </w:r>
          </w:p>
          <w:p w14:paraId="51906448"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Aprobado</w:t>
            </w:r>
          </w:p>
        </w:tc>
        <w:tc>
          <w:tcPr>
            <w:tcW w:w="1418" w:type="dxa"/>
            <w:tcBorders>
              <w:top w:val="single" w:sz="4" w:space="0" w:color="auto"/>
              <w:left w:val="single" w:sz="4" w:space="0" w:color="auto"/>
              <w:bottom w:val="single" w:sz="4" w:space="0" w:color="auto"/>
              <w:right w:val="single" w:sz="4" w:space="0" w:color="auto"/>
            </w:tcBorders>
          </w:tcPr>
          <w:p w14:paraId="2B640842"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2016</w:t>
            </w:r>
          </w:p>
          <w:p w14:paraId="379D873F"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Estimado</w:t>
            </w:r>
          </w:p>
        </w:tc>
        <w:tc>
          <w:tcPr>
            <w:tcW w:w="851" w:type="dxa"/>
            <w:tcBorders>
              <w:top w:val="single" w:sz="4" w:space="0" w:color="auto"/>
              <w:left w:val="single" w:sz="4" w:space="0" w:color="auto"/>
              <w:bottom w:val="single" w:sz="4" w:space="0" w:color="auto"/>
              <w:right w:val="single" w:sz="4" w:space="0" w:color="auto"/>
            </w:tcBorders>
          </w:tcPr>
          <w:p w14:paraId="315A495D"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2015</w:t>
            </w:r>
          </w:p>
          <w:p w14:paraId="6FBD4794"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Aprob.</w:t>
            </w:r>
          </w:p>
        </w:tc>
        <w:tc>
          <w:tcPr>
            <w:tcW w:w="851" w:type="dxa"/>
            <w:tcBorders>
              <w:top w:val="single" w:sz="4" w:space="0" w:color="auto"/>
              <w:left w:val="single" w:sz="4" w:space="0" w:color="auto"/>
              <w:bottom w:val="single" w:sz="4" w:space="0" w:color="auto"/>
              <w:right w:val="single" w:sz="4" w:space="0" w:color="auto"/>
            </w:tcBorders>
          </w:tcPr>
          <w:p w14:paraId="4B6FEDF4"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2016</w:t>
            </w:r>
          </w:p>
          <w:p w14:paraId="200886C7" w14:textId="77777777" w:rsidR="00874532" w:rsidRPr="00874532" w:rsidRDefault="00874532" w:rsidP="00874532">
            <w:pPr>
              <w:jc w:val="center"/>
              <w:rPr>
                <w:rFonts w:eastAsia="Calibri"/>
                <w:b/>
                <w:sz w:val="16"/>
                <w:szCs w:val="16"/>
                <w:lang w:eastAsia="en-US"/>
              </w:rPr>
            </w:pPr>
            <w:r w:rsidRPr="00874532">
              <w:rPr>
                <w:rFonts w:eastAsia="Calibri"/>
                <w:b/>
                <w:sz w:val="16"/>
                <w:szCs w:val="16"/>
                <w:lang w:eastAsia="en-US"/>
              </w:rPr>
              <w:t>Estim.</w:t>
            </w:r>
          </w:p>
        </w:tc>
        <w:tc>
          <w:tcPr>
            <w:tcW w:w="851" w:type="dxa"/>
            <w:vMerge/>
            <w:tcBorders>
              <w:top w:val="single" w:sz="4" w:space="0" w:color="auto"/>
              <w:left w:val="single" w:sz="4" w:space="0" w:color="auto"/>
              <w:bottom w:val="single" w:sz="4" w:space="0" w:color="auto"/>
              <w:right w:val="single" w:sz="4" w:space="0" w:color="auto"/>
            </w:tcBorders>
          </w:tcPr>
          <w:p w14:paraId="022751AB" w14:textId="77777777" w:rsidR="00874532" w:rsidRPr="00874532" w:rsidRDefault="00874532" w:rsidP="00874532">
            <w:pPr>
              <w:jc w:val="center"/>
              <w:rPr>
                <w:rFonts w:eastAsia="Calibri"/>
                <w:b/>
                <w:sz w:val="16"/>
                <w:szCs w:val="16"/>
                <w:lang w:eastAsia="en-US"/>
              </w:rPr>
            </w:pPr>
          </w:p>
        </w:tc>
      </w:tr>
      <w:tr w:rsidR="00874532" w:rsidRPr="00874532" w14:paraId="024CD0CE" w14:textId="77777777" w:rsidTr="00464B48">
        <w:trPr>
          <w:jc w:val="center"/>
        </w:trPr>
        <w:tc>
          <w:tcPr>
            <w:tcW w:w="3402" w:type="dxa"/>
            <w:tcBorders>
              <w:top w:val="single" w:sz="4" w:space="0" w:color="auto"/>
              <w:left w:val="single" w:sz="4" w:space="0" w:color="auto"/>
              <w:bottom w:val="nil"/>
              <w:right w:val="single" w:sz="4" w:space="0" w:color="auto"/>
            </w:tcBorders>
          </w:tcPr>
          <w:p w14:paraId="508EADED" w14:textId="77777777" w:rsidR="00874532" w:rsidRPr="00874532" w:rsidRDefault="00874532" w:rsidP="00874532">
            <w:pPr>
              <w:jc w:val="both"/>
              <w:rPr>
                <w:rFonts w:eastAsia="Calibri"/>
                <w:b/>
                <w:sz w:val="16"/>
                <w:szCs w:val="16"/>
                <w:lang w:eastAsia="en-US"/>
              </w:rPr>
            </w:pPr>
            <w:r w:rsidRPr="00874532">
              <w:rPr>
                <w:rFonts w:eastAsia="Calibri"/>
                <w:b/>
                <w:sz w:val="16"/>
                <w:szCs w:val="16"/>
                <w:lang w:eastAsia="en-US"/>
              </w:rPr>
              <w:t>Balance presupuestario</w:t>
            </w:r>
          </w:p>
        </w:tc>
        <w:tc>
          <w:tcPr>
            <w:tcW w:w="1418" w:type="dxa"/>
            <w:tcBorders>
              <w:top w:val="single" w:sz="4" w:space="0" w:color="auto"/>
              <w:left w:val="single" w:sz="4" w:space="0" w:color="auto"/>
              <w:bottom w:val="nil"/>
              <w:right w:val="single" w:sz="4" w:space="0" w:color="auto"/>
            </w:tcBorders>
          </w:tcPr>
          <w:p w14:paraId="0CB33E5C" w14:textId="77777777" w:rsidR="00874532" w:rsidRPr="00874532" w:rsidRDefault="00874532" w:rsidP="00874532">
            <w:pPr>
              <w:ind w:right="227"/>
              <w:jc w:val="right"/>
              <w:rPr>
                <w:rFonts w:eastAsia="Calibri"/>
                <w:b/>
                <w:sz w:val="16"/>
                <w:szCs w:val="16"/>
                <w:lang w:eastAsia="en-US"/>
              </w:rPr>
            </w:pPr>
            <w:r w:rsidRPr="00874532">
              <w:rPr>
                <w:rFonts w:eastAsia="Calibri"/>
                <w:b/>
                <w:sz w:val="16"/>
                <w:szCs w:val="16"/>
                <w:lang w:eastAsia="en-US"/>
              </w:rPr>
              <w:t>-183 569.9</w:t>
            </w:r>
          </w:p>
        </w:tc>
        <w:tc>
          <w:tcPr>
            <w:tcW w:w="1418" w:type="dxa"/>
            <w:tcBorders>
              <w:top w:val="single" w:sz="4" w:space="0" w:color="auto"/>
              <w:left w:val="single" w:sz="4" w:space="0" w:color="auto"/>
              <w:bottom w:val="nil"/>
              <w:right w:val="single" w:sz="4" w:space="0" w:color="auto"/>
            </w:tcBorders>
          </w:tcPr>
          <w:p w14:paraId="536BFA0E" w14:textId="77777777" w:rsidR="00874532" w:rsidRPr="00874532" w:rsidRDefault="00874532" w:rsidP="00874532">
            <w:pPr>
              <w:ind w:right="227"/>
              <w:jc w:val="right"/>
              <w:rPr>
                <w:rFonts w:eastAsia="Calibri"/>
                <w:b/>
                <w:sz w:val="16"/>
                <w:szCs w:val="16"/>
                <w:lang w:eastAsia="en-US"/>
              </w:rPr>
            </w:pPr>
            <w:r w:rsidRPr="00874532">
              <w:rPr>
                <w:rFonts w:eastAsia="Calibri"/>
                <w:b/>
                <w:sz w:val="16"/>
                <w:szCs w:val="16"/>
                <w:lang w:eastAsia="en-US"/>
              </w:rPr>
              <w:t>-97 666.5</w:t>
            </w:r>
          </w:p>
        </w:tc>
        <w:tc>
          <w:tcPr>
            <w:tcW w:w="851" w:type="dxa"/>
            <w:tcBorders>
              <w:top w:val="single" w:sz="4" w:space="0" w:color="auto"/>
              <w:left w:val="single" w:sz="4" w:space="0" w:color="auto"/>
              <w:bottom w:val="nil"/>
              <w:right w:val="single" w:sz="4" w:space="0" w:color="auto"/>
            </w:tcBorders>
          </w:tcPr>
          <w:p w14:paraId="7064D27C" w14:textId="77777777" w:rsidR="00874532" w:rsidRPr="00874532" w:rsidRDefault="00874532" w:rsidP="00874532">
            <w:pPr>
              <w:ind w:right="170"/>
              <w:jc w:val="right"/>
              <w:rPr>
                <w:rFonts w:eastAsia="Calibri"/>
                <w:b/>
                <w:sz w:val="16"/>
                <w:szCs w:val="16"/>
                <w:lang w:eastAsia="en-US"/>
              </w:rPr>
            </w:pPr>
            <w:r w:rsidRPr="00874532">
              <w:rPr>
                <w:rFonts w:eastAsia="Calibri"/>
                <w:b/>
                <w:sz w:val="16"/>
                <w:szCs w:val="16"/>
                <w:lang w:eastAsia="en-US"/>
              </w:rPr>
              <w:t>-1.0</w:t>
            </w:r>
          </w:p>
        </w:tc>
        <w:tc>
          <w:tcPr>
            <w:tcW w:w="851" w:type="dxa"/>
            <w:tcBorders>
              <w:top w:val="single" w:sz="4" w:space="0" w:color="auto"/>
              <w:left w:val="single" w:sz="4" w:space="0" w:color="auto"/>
              <w:bottom w:val="nil"/>
              <w:right w:val="single" w:sz="4" w:space="0" w:color="auto"/>
            </w:tcBorders>
          </w:tcPr>
          <w:p w14:paraId="66EBD25C" w14:textId="77777777" w:rsidR="00874532" w:rsidRPr="00874532" w:rsidRDefault="00874532" w:rsidP="00874532">
            <w:pPr>
              <w:ind w:right="170"/>
              <w:jc w:val="right"/>
              <w:rPr>
                <w:rFonts w:eastAsia="Calibri"/>
                <w:b/>
                <w:sz w:val="16"/>
                <w:szCs w:val="16"/>
                <w:lang w:eastAsia="en-US"/>
              </w:rPr>
            </w:pPr>
            <w:r w:rsidRPr="00874532">
              <w:rPr>
                <w:rFonts w:eastAsia="Calibri"/>
                <w:b/>
                <w:sz w:val="16"/>
                <w:szCs w:val="16"/>
                <w:lang w:eastAsia="en-US"/>
              </w:rPr>
              <w:t>-0.5</w:t>
            </w:r>
          </w:p>
        </w:tc>
        <w:tc>
          <w:tcPr>
            <w:tcW w:w="851" w:type="dxa"/>
            <w:tcBorders>
              <w:top w:val="single" w:sz="4" w:space="0" w:color="auto"/>
              <w:left w:val="single" w:sz="4" w:space="0" w:color="auto"/>
              <w:bottom w:val="nil"/>
              <w:right w:val="single" w:sz="4" w:space="0" w:color="auto"/>
            </w:tcBorders>
          </w:tcPr>
          <w:p w14:paraId="7FF2023D" w14:textId="77777777" w:rsidR="00874532" w:rsidRPr="00874532" w:rsidRDefault="00874532" w:rsidP="00874532">
            <w:pPr>
              <w:ind w:right="170"/>
              <w:jc w:val="right"/>
              <w:rPr>
                <w:rFonts w:eastAsia="Calibri"/>
                <w:b/>
                <w:sz w:val="16"/>
                <w:szCs w:val="16"/>
                <w:lang w:eastAsia="en-US"/>
              </w:rPr>
            </w:pPr>
            <w:r w:rsidRPr="00874532">
              <w:rPr>
                <w:rFonts w:eastAsia="Calibri"/>
                <w:b/>
                <w:sz w:val="16"/>
                <w:szCs w:val="16"/>
                <w:lang w:eastAsia="en-US"/>
              </w:rPr>
              <w:t>-48.6</w:t>
            </w:r>
          </w:p>
        </w:tc>
      </w:tr>
      <w:tr w:rsidR="00874532" w:rsidRPr="00874532" w14:paraId="2D596149" w14:textId="77777777" w:rsidTr="002B3A4F">
        <w:trPr>
          <w:jc w:val="center"/>
        </w:trPr>
        <w:tc>
          <w:tcPr>
            <w:tcW w:w="3402" w:type="dxa"/>
            <w:tcBorders>
              <w:top w:val="nil"/>
              <w:left w:val="single" w:sz="4" w:space="0" w:color="auto"/>
              <w:bottom w:val="nil"/>
              <w:right w:val="single" w:sz="4" w:space="0" w:color="auto"/>
            </w:tcBorders>
          </w:tcPr>
          <w:p w14:paraId="57F31F04" w14:textId="77777777" w:rsidR="00874532" w:rsidRPr="00874532" w:rsidRDefault="00874532" w:rsidP="00874532">
            <w:pPr>
              <w:ind w:left="113"/>
              <w:jc w:val="both"/>
              <w:rPr>
                <w:rFonts w:eastAsia="Calibri"/>
                <w:sz w:val="16"/>
                <w:szCs w:val="16"/>
                <w:lang w:eastAsia="en-US"/>
              </w:rPr>
            </w:pPr>
            <w:r w:rsidRPr="00874532">
              <w:rPr>
                <w:rFonts w:eastAsia="Calibri"/>
                <w:b/>
                <w:sz w:val="16"/>
                <w:szCs w:val="16"/>
                <w:lang w:eastAsia="en-US"/>
              </w:rPr>
              <w:t>(Con inversión)</w:t>
            </w:r>
          </w:p>
        </w:tc>
        <w:tc>
          <w:tcPr>
            <w:tcW w:w="1418" w:type="dxa"/>
            <w:tcBorders>
              <w:top w:val="nil"/>
              <w:left w:val="single" w:sz="4" w:space="0" w:color="auto"/>
              <w:bottom w:val="nil"/>
              <w:right w:val="single" w:sz="4" w:space="0" w:color="auto"/>
            </w:tcBorders>
          </w:tcPr>
          <w:p w14:paraId="24F9AE6E"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-641 510.0</w:t>
            </w:r>
          </w:p>
        </w:tc>
        <w:tc>
          <w:tcPr>
            <w:tcW w:w="1418" w:type="dxa"/>
            <w:tcBorders>
              <w:top w:val="nil"/>
              <w:left w:val="single" w:sz="4" w:space="0" w:color="auto"/>
              <w:bottom w:val="nil"/>
              <w:right w:val="single" w:sz="4" w:space="0" w:color="auto"/>
            </w:tcBorders>
          </w:tcPr>
          <w:p w14:paraId="19A57181"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-585 999.0</w:t>
            </w:r>
          </w:p>
        </w:tc>
        <w:tc>
          <w:tcPr>
            <w:tcW w:w="851" w:type="dxa"/>
            <w:tcBorders>
              <w:top w:val="nil"/>
              <w:left w:val="single" w:sz="4" w:space="0" w:color="auto"/>
              <w:bottom w:val="nil"/>
              <w:right w:val="single" w:sz="4" w:space="0" w:color="auto"/>
            </w:tcBorders>
          </w:tcPr>
          <w:p w14:paraId="7B001689"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-3.5</w:t>
            </w:r>
          </w:p>
        </w:tc>
        <w:tc>
          <w:tcPr>
            <w:tcW w:w="851" w:type="dxa"/>
            <w:tcBorders>
              <w:top w:val="nil"/>
              <w:left w:val="single" w:sz="4" w:space="0" w:color="auto"/>
              <w:bottom w:val="nil"/>
              <w:right w:val="single" w:sz="4" w:space="0" w:color="auto"/>
            </w:tcBorders>
          </w:tcPr>
          <w:p w14:paraId="4D6D7A3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-3.0</w:t>
            </w:r>
          </w:p>
        </w:tc>
        <w:tc>
          <w:tcPr>
            <w:tcW w:w="851" w:type="dxa"/>
            <w:tcBorders>
              <w:top w:val="nil"/>
              <w:left w:val="single" w:sz="4" w:space="0" w:color="auto"/>
              <w:bottom w:val="nil"/>
              <w:right w:val="single" w:sz="4" w:space="0" w:color="auto"/>
            </w:tcBorders>
          </w:tcPr>
          <w:p w14:paraId="7BF6279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-11.7</w:t>
            </w:r>
          </w:p>
        </w:tc>
      </w:tr>
      <w:tr w:rsidR="00874532" w:rsidRPr="00874532" w14:paraId="5DFACCB9" w14:textId="77777777" w:rsidTr="002B3A4F">
        <w:trPr>
          <w:jc w:val="center"/>
        </w:trPr>
        <w:tc>
          <w:tcPr>
            <w:tcW w:w="3402" w:type="dxa"/>
            <w:tcBorders>
              <w:top w:val="nil"/>
              <w:left w:val="single" w:sz="4" w:space="0" w:color="auto"/>
              <w:bottom w:val="nil"/>
              <w:right w:val="single" w:sz="4" w:space="0" w:color="auto"/>
            </w:tcBorders>
          </w:tcPr>
          <w:p w14:paraId="58F6058F" w14:textId="77777777" w:rsidR="00874532" w:rsidRPr="00874532" w:rsidRDefault="00874532" w:rsidP="00874532">
            <w:pPr>
              <w:ind w:left="113"/>
              <w:jc w:val="both"/>
              <w:rPr>
                <w:rFonts w:eastAsia="Calibri"/>
                <w:sz w:val="16"/>
                <w:szCs w:val="16"/>
                <w:lang w:eastAsia="en-US"/>
              </w:rPr>
            </w:pPr>
            <w:r w:rsidRPr="00874532">
              <w:rPr>
                <w:rFonts w:eastAsia="Calibri"/>
                <w:sz w:val="16"/>
                <w:szCs w:val="16"/>
                <w:lang w:eastAsia="en-US"/>
              </w:rPr>
              <w:t>Balance no presupuestario</w:t>
            </w:r>
          </w:p>
        </w:tc>
        <w:tc>
          <w:tcPr>
            <w:tcW w:w="1418" w:type="dxa"/>
            <w:tcBorders>
              <w:top w:val="nil"/>
              <w:left w:val="single" w:sz="4" w:space="0" w:color="auto"/>
              <w:bottom w:val="nil"/>
              <w:right w:val="single" w:sz="4" w:space="0" w:color="auto"/>
            </w:tcBorders>
          </w:tcPr>
          <w:p w14:paraId="71402932"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0.0</w:t>
            </w:r>
          </w:p>
        </w:tc>
        <w:tc>
          <w:tcPr>
            <w:tcW w:w="1418" w:type="dxa"/>
            <w:tcBorders>
              <w:top w:val="nil"/>
              <w:left w:val="single" w:sz="4" w:space="0" w:color="auto"/>
              <w:bottom w:val="nil"/>
              <w:right w:val="single" w:sz="4" w:space="0" w:color="auto"/>
            </w:tcBorders>
          </w:tcPr>
          <w:p w14:paraId="457952BB"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0.0</w:t>
            </w:r>
          </w:p>
        </w:tc>
        <w:tc>
          <w:tcPr>
            <w:tcW w:w="851" w:type="dxa"/>
            <w:tcBorders>
              <w:top w:val="nil"/>
              <w:left w:val="single" w:sz="4" w:space="0" w:color="auto"/>
              <w:bottom w:val="nil"/>
              <w:right w:val="single" w:sz="4" w:space="0" w:color="auto"/>
            </w:tcBorders>
          </w:tcPr>
          <w:p w14:paraId="5A67BB9B"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0.0</w:t>
            </w:r>
          </w:p>
        </w:tc>
        <w:tc>
          <w:tcPr>
            <w:tcW w:w="851" w:type="dxa"/>
            <w:tcBorders>
              <w:top w:val="nil"/>
              <w:left w:val="single" w:sz="4" w:space="0" w:color="auto"/>
              <w:bottom w:val="nil"/>
              <w:right w:val="single" w:sz="4" w:space="0" w:color="auto"/>
            </w:tcBorders>
          </w:tcPr>
          <w:p w14:paraId="589503D2"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0.0</w:t>
            </w:r>
          </w:p>
        </w:tc>
        <w:tc>
          <w:tcPr>
            <w:tcW w:w="851" w:type="dxa"/>
            <w:tcBorders>
              <w:top w:val="nil"/>
              <w:left w:val="single" w:sz="4" w:space="0" w:color="auto"/>
              <w:bottom w:val="nil"/>
              <w:right w:val="single" w:sz="4" w:space="0" w:color="auto"/>
            </w:tcBorders>
          </w:tcPr>
          <w:p w14:paraId="67C0794F"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n.s.</w:t>
            </w:r>
          </w:p>
        </w:tc>
      </w:tr>
      <w:tr w:rsidR="00874532" w:rsidRPr="00874532" w14:paraId="209B9E83" w14:textId="77777777" w:rsidTr="002B3A4F">
        <w:trPr>
          <w:jc w:val="center"/>
        </w:trPr>
        <w:tc>
          <w:tcPr>
            <w:tcW w:w="3402" w:type="dxa"/>
            <w:tcBorders>
              <w:top w:val="nil"/>
              <w:left w:val="single" w:sz="4" w:space="0" w:color="auto"/>
              <w:bottom w:val="nil"/>
              <w:right w:val="single" w:sz="4" w:space="0" w:color="auto"/>
            </w:tcBorders>
          </w:tcPr>
          <w:p w14:paraId="798CCD2A" w14:textId="77777777" w:rsidR="00874532" w:rsidRPr="00874532" w:rsidRDefault="00874532" w:rsidP="00874532">
            <w:pPr>
              <w:ind w:left="113"/>
              <w:jc w:val="both"/>
              <w:rPr>
                <w:rFonts w:eastAsia="Calibri"/>
                <w:sz w:val="16"/>
                <w:szCs w:val="16"/>
                <w:lang w:eastAsia="en-US"/>
              </w:rPr>
            </w:pPr>
            <w:r w:rsidRPr="00874532">
              <w:rPr>
                <w:rFonts w:eastAsia="Calibri"/>
                <w:sz w:val="16"/>
                <w:szCs w:val="16"/>
                <w:lang w:eastAsia="en-US"/>
              </w:rPr>
              <w:t>Balance presupuestario</w:t>
            </w:r>
          </w:p>
        </w:tc>
        <w:tc>
          <w:tcPr>
            <w:tcW w:w="1418" w:type="dxa"/>
            <w:tcBorders>
              <w:top w:val="nil"/>
              <w:left w:val="single" w:sz="4" w:space="0" w:color="auto"/>
              <w:bottom w:val="nil"/>
              <w:right w:val="single" w:sz="4" w:space="0" w:color="auto"/>
            </w:tcBorders>
          </w:tcPr>
          <w:p w14:paraId="29A7BD0B"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-641 510.0</w:t>
            </w:r>
          </w:p>
        </w:tc>
        <w:tc>
          <w:tcPr>
            <w:tcW w:w="1418" w:type="dxa"/>
            <w:tcBorders>
              <w:top w:val="nil"/>
              <w:left w:val="single" w:sz="4" w:space="0" w:color="auto"/>
              <w:bottom w:val="nil"/>
              <w:right w:val="single" w:sz="4" w:space="0" w:color="auto"/>
            </w:tcBorders>
          </w:tcPr>
          <w:p w14:paraId="230C2158"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-585 999.0</w:t>
            </w:r>
          </w:p>
        </w:tc>
        <w:tc>
          <w:tcPr>
            <w:tcW w:w="851" w:type="dxa"/>
            <w:tcBorders>
              <w:top w:val="nil"/>
              <w:left w:val="single" w:sz="4" w:space="0" w:color="auto"/>
              <w:bottom w:val="nil"/>
              <w:right w:val="single" w:sz="4" w:space="0" w:color="auto"/>
            </w:tcBorders>
          </w:tcPr>
          <w:p w14:paraId="2367F859"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-3.5</w:t>
            </w:r>
          </w:p>
        </w:tc>
        <w:tc>
          <w:tcPr>
            <w:tcW w:w="851" w:type="dxa"/>
            <w:tcBorders>
              <w:top w:val="nil"/>
              <w:left w:val="single" w:sz="4" w:space="0" w:color="auto"/>
              <w:bottom w:val="nil"/>
              <w:right w:val="single" w:sz="4" w:space="0" w:color="auto"/>
            </w:tcBorders>
          </w:tcPr>
          <w:p w14:paraId="66AF3DD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-3.0</w:t>
            </w:r>
          </w:p>
        </w:tc>
        <w:tc>
          <w:tcPr>
            <w:tcW w:w="851" w:type="dxa"/>
            <w:tcBorders>
              <w:top w:val="nil"/>
              <w:left w:val="single" w:sz="4" w:space="0" w:color="auto"/>
              <w:bottom w:val="nil"/>
              <w:right w:val="single" w:sz="4" w:space="0" w:color="auto"/>
            </w:tcBorders>
          </w:tcPr>
          <w:p w14:paraId="6BE3E380"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-11.7</w:t>
            </w:r>
          </w:p>
        </w:tc>
      </w:tr>
      <w:tr w:rsidR="00874532" w:rsidRPr="00874532" w14:paraId="120B38B6" w14:textId="77777777" w:rsidTr="002B3A4F">
        <w:trPr>
          <w:jc w:val="center"/>
        </w:trPr>
        <w:tc>
          <w:tcPr>
            <w:tcW w:w="3402" w:type="dxa"/>
            <w:tcBorders>
              <w:top w:val="nil"/>
              <w:left w:val="single" w:sz="4" w:space="0" w:color="auto"/>
              <w:bottom w:val="nil"/>
              <w:right w:val="single" w:sz="4" w:space="0" w:color="auto"/>
            </w:tcBorders>
          </w:tcPr>
          <w:p w14:paraId="0D1CC88E" w14:textId="77777777" w:rsidR="00874532" w:rsidRPr="00874532" w:rsidRDefault="00874532" w:rsidP="00874532">
            <w:pPr>
              <w:ind w:left="227"/>
              <w:jc w:val="both"/>
              <w:rPr>
                <w:rFonts w:eastAsia="Calibri"/>
                <w:sz w:val="16"/>
                <w:szCs w:val="16"/>
                <w:lang w:eastAsia="en-US"/>
              </w:rPr>
            </w:pPr>
            <w:r w:rsidRPr="00874532">
              <w:rPr>
                <w:rFonts w:eastAsia="Calibri"/>
                <w:sz w:val="16"/>
                <w:szCs w:val="16"/>
                <w:lang w:eastAsia="en-US"/>
              </w:rPr>
              <w:t>Ingresos presupuestarios</w:t>
            </w:r>
          </w:p>
        </w:tc>
        <w:tc>
          <w:tcPr>
            <w:tcW w:w="1418" w:type="dxa"/>
            <w:tcBorders>
              <w:top w:val="nil"/>
              <w:left w:val="single" w:sz="4" w:space="0" w:color="auto"/>
              <w:bottom w:val="nil"/>
              <w:right w:val="single" w:sz="4" w:space="0" w:color="auto"/>
            </w:tcBorders>
          </w:tcPr>
          <w:p w14:paraId="2446B592"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4 022 082.4</w:t>
            </w:r>
          </w:p>
        </w:tc>
        <w:tc>
          <w:tcPr>
            <w:tcW w:w="1418" w:type="dxa"/>
            <w:tcBorders>
              <w:top w:val="nil"/>
              <w:left w:val="single" w:sz="4" w:space="0" w:color="auto"/>
              <w:bottom w:val="nil"/>
              <w:right w:val="single" w:sz="4" w:space="0" w:color="auto"/>
            </w:tcBorders>
          </w:tcPr>
          <w:p w14:paraId="47B06E8A"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4 074 092.9</w:t>
            </w:r>
          </w:p>
        </w:tc>
        <w:tc>
          <w:tcPr>
            <w:tcW w:w="851" w:type="dxa"/>
            <w:tcBorders>
              <w:top w:val="nil"/>
              <w:left w:val="single" w:sz="4" w:space="0" w:color="auto"/>
              <w:bottom w:val="nil"/>
              <w:right w:val="single" w:sz="4" w:space="0" w:color="auto"/>
            </w:tcBorders>
          </w:tcPr>
          <w:p w14:paraId="568D8F6E"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22.1</w:t>
            </w:r>
          </w:p>
        </w:tc>
        <w:tc>
          <w:tcPr>
            <w:tcW w:w="851" w:type="dxa"/>
            <w:tcBorders>
              <w:top w:val="nil"/>
              <w:left w:val="single" w:sz="4" w:space="0" w:color="auto"/>
              <w:bottom w:val="nil"/>
              <w:right w:val="single" w:sz="4" w:space="0" w:color="auto"/>
            </w:tcBorders>
          </w:tcPr>
          <w:p w14:paraId="0FC44D00"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20.9</w:t>
            </w:r>
          </w:p>
        </w:tc>
        <w:tc>
          <w:tcPr>
            <w:tcW w:w="851" w:type="dxa"/>
            <w:tcBorders>
              <w:top w:val="nil"/>
              <w:left w:val="single" w:sz="4" w:space="0" w:color="auto"/>
              <w:bottom w:val="nil"/>
              <w:right w:val="single" w:sz="4" w:space="0" w:color="auto"/>
            </w:tcBorders>
          </w:tcPr>
          <w:p w14:paraId="78CAAAE6"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-2.1</w:t>
            </w:r>
          </w:p>
        </w:tc>
      </w:tr>
      <w:tr w:rsidR="00874532" w:rsidRPr="00874532" w14:paraId="1EE8138E" w14:textId="77777777" w:rsidTr="002B3A4F">
        <w:trPr>
          <w:jc w:val="center"/>
        </w:trPr>
        <w:tc>
          <w:tcPr>
            <w:tcW w:w="3402" w:type="dxa"/>
            <w:tcBorders>
              <w:top w:val="nil"/>
              <w:left w:val="single" w:sz="4" w:space="0" w:color="auto"/>
              <w:bottom w:val="nil"/>
              <w:right w:val="single" w:sz="4" w:space="0" w:color="auto"/>
            </w:tcBorders>
          </w:tcPr>
          <w:p w14:paraId="538B5B08" w14:textId="77777777" w:rsidR="00874532" w:rsidRPr="00874532" w:rsidRDefault="00874532" w:rsidP="00874532">
            <w:pPr>
              <w:ind w:left="340"/>
              <w:jc w:val="both"/>
              <w:rPr>
                <w:rFonts w:eastAsia="Calibri"/>
                <w:sz w:val="16"/>
                <w:szCs w:val="16"/>
                <w:lang w:eastAsia="en-US"/>
              </w:rPr>
            </w:pPr>
            <w:r w:rsidRPr="00874532">
              <w:rPr>
                <w:rFonts w:eastAsia="Calibri"/>
                <w:sz w:val="16"/>
                <w:szCs w:val="16"/>
                <w:lang w:eastAsia="en-US"/>
              </w:rPr>
              <w:t>Petroleros</w:t>
            </w:r>
          </w:p>
        </w:tc>
        <w:tc>
          <w:tcPr>
            <w:tcW w:w="1418" w:type="dxa"/>
            <w:tcBorders>
              <w:top w:val="nil"/>
              <w:left w:val="single" w:sz="4" w:space="0" w:color="auto"/>
              <w:bottom w:val="nil"/>
              <w:right w:val="single" w:sz="4" w:space="0" w:color="auto"/>
            </w:tcBorders>
          </w:tcPr>
          <w:p w14:paraId="24303599"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1 195 806.2</w:t>
            </w:r>
          </w:p>
        </w:tc>
        <w:tc>
          <w:tcPr>
            <w:tcW w:w="1418" w:type="dxa"/>
            <w:tcBorders>
              <w:top w:val="nil"/>
              <w:left w:val="single" w:sz="4" w:space="0" w:color="auto"/>
              <w:bottom w:val="nil"/>
              <w:right w:val="single" w:sz="4" w:space="0" w:color="auto"/>
            </w:tcBorders>
          </w:tcPr>
          <w:p w14:paraId="6884F370"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950 310.4</w:t>
            </w:r>
          </w:p>
        </w:tc>
        <w:tc>
          <w:tcPr>
            <w:tcW w:w="851" w:type="dxa"/>
            <w:tcBorders>
              <w:top w:val="nil"/>
              <w:left w:val="single" w:sz="4" w:space="0" w:color="auto"/>
              <w:bottom w:val="nil"/>
              <w:right w:val="single" w:sz="4" w:space="0" w:color="auto"/>
            </w:tcBorders>
          </w:tcPr>
          <w:p w14:paraId="4F7C0D1E"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6.6</w:t>
            </w:r>
          </w:p>
        </w:tc>
        <w:tc>
          <w:tcPr>
            <w:tcW w:w="851" w:type="dxa"/>
            <w:tcBorders>
              <w:top w:val="nil"/>
              <w:left w:val="single" w:sz="4" w:space="0" w:color="auto"/>
              <w:bottom w:val="nil"/>
              <w:right w:val="single" w:sz="4" w:space="0" w:color="auto"/>
            </w:tcBorders>
          </w:tcPr>
          <w:p w14:paraId="65101448"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4.9</w:t>
            </w:r>
          </w:p>
        </w:tc>
        <w:tc>
          <w:tcPr>
            <w:tcW w:w="851" w:type="dxa"/>
            <w:tcBorders>
              <w:top w:val="nil"/>
              <w:left w:val="single" w:sz="4" w:space="0" w:color="auto"/>
              <w:bottom w:val="nil"/>
              <w:right w:val="single" w:sz="4" w:space="0" w:color="auto"/>
            </w:tcBorders>
          </w:tcPr>
          <w:p w14:paraId="34E70CF0"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-23.2</w:t>
            </w:r>
          </w:p>
        </w:tc>
      </w:tr>
      <w:tr w:rsidR="00874532" w:rsidRPr="00874532" w14:paraId="7A8F5E1F" w14:textId="77777777" w:rsidTr="002B3A4F">
        <w:trPr>
          <w:jc w:val="center"/>
        </w:trPr>
        <w:tc>
          <w:tcPr>
            <w:tcW w:w="3402" w:type="dxa"/>
            <w:tcBorders>
              <w:top w:val="nil"/>
              <w:left w:val="single" w:sz="4" w:space="0" w:color="auto"/>
              <w:bottom w:val="nil"/>
              <w:right w:val="single" w:sz="4" w:space="0" w:color="auto"/>
            </w:tcBorders>
          </w:tcPr>
          <w:p w14:paraId="4842E32F" w14:textId="77777777" w:rsidR="00874532" w:rsidRPr="00874532" w:rsidRDefault="00874532" w:rsidP="00874532">
            <w:pPr>
              <w:ind w:left="340"/>
              <w:jc w:val="both"/>
              <w:rPr>
                <w:rFonts w:eastAsia="Calibri"/>
                <w:sz w:val="16"/>
                <w:szCs w:val="16"/>
                <w:lang w:eastAsia="en-US"/>
              </w:rPr>
            </w:pPr>
            <w:r w:rsidRPr="00874532">
              <w:rPr>
                <w:rFonts w:eastAsia="Calibri"/>
                <w:sz w:val="16"/>
                <w:szCs w:val="16"/>
                <w:lang w:eastAsia="en-US"/>
              </w:rPr>
              <w:t>No petroleros</w:t>
            </w:r>
          </w:p>
        </w:tc>
        <w:tc>
          <w:tcPr>
            <w:tcW w:w="1418" w:type="dxa"/>
            <w:tcBorders>
              <w:top w:val="nil"/>
              <w:left w:val="single" w:sz="4" w:space="0" w:color="auto"/>
              <w:bottom w:val="nil"/>
              <w:right w:val="single" w:sz="4" w:space="0" w:color="auto"/>
            </w:tcBorders>
          </w:tcPr>
          <w:p w14:paraId="49126F8B"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2 826 276.2</w:t>
            </w:r>
          </w:p>
        </w:tc>
        <w:tc>
          <w:tcPr>
            <w:tcW w:w="1418" w:type="dxa"/>
            <w:tcBorders>
              <w:top w:val="nil"/>
              <w:left w:val="single" w:sz="4" w:space="0" w:color="auto"/>
              <w:bottom w:val="nil"/>
              <w:right w:val="single" w:sz="4" w:space="0" w:color="auto"/>
            </w:tcBorders>
          </w:tcPr>
          <w:p w14:paraId="634E0FCB"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3 123 782.6</w:t>
            </w:r>
          </w:p>
        </w:tc>
        <w:tc>
          <w:tcPr>
            <w:tcW w:w="851" w:type="dxa"/>
            <w:tcBorders>
              <w:top w:val="nil"/>
              <w:left w:val="single" w:sz="4" w:space="0" w:color="auto"/>
              <w:bottom w:val="nil"/>
              <w:right w:val="single" w:sz="4" w:space="0" w:color="auto"/>
            </w:tcBorders>
          </w:tcPr>
          <w:p w14:paraId="44C0D8F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15.5</w:t>
            </w:r>
          </w:p>
        </w:tc>
        <w:tc>
          <w:tcPr>
            <w:tcW w:w="851" w:type="dxa"/>
            <w:tcBorders>
              <w:top w:val="nil"/>
              <w:left w:val="single" w:sz="4" w:space="0" w:color="auto"/>
              <w:bottom w:val="nil"/>
              <w:right w:val="single" w:sz="4" w:space="0" w:color="auto"/>
            </w:tcBorders>
          </w:tcPr>
          <w:p w14:paraId="354FEC4C"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16.0</w:t>
            </w:r>
          </w:p>
        </w:tc>
        <w:tc>
          <w:tcPr>
            <w:tcW w:w="851" w:type="dxa"/>
            <w:tcBorders>
              <w:top w:val="nil"/>
              <w:left w:val="single" w:sz="4" w:space="0" w:color="auto"/>
              <w:bottom w:val="nil"/>
              <w:right w:val="single" w:sz="4" w:space="0" w:color="auto"/>
            </w:tcBorders>
          </w:tcPr>
          <w:p w14:paraId="5628E96A"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6.8</w:t>
            </w:r>
          </w:p>
        </w:tc>
      </w:tr>
      <w:tr w:rsidR="00874532" w:rsidRPr="00874532" w14:paraId="4101D7EB" w14:textId="77777777" w:rsidTr="002B3A4F">
        <w:trPr>
          <w:jc w:val="center"/>
        </w:trPr>
        <w:tc>
          <w:tcPr>
            <w:tcW w:w="3402" w:type="dxa"/>
            <w:tcBorders>
              <w:top w:val="nil"/>
              <w:left w:val="single" w:sz="4" w:space="0" w:color="auto"/>
              <w:bottom w:val="nil"/>
              <w:right w:val="single" w:sz="4" w:space="0" w:color="auto"/>
            </w:tcBorders>
          </w:tcPr>
          <w:p w14:paraId="691ACA90" w14:textId="77777777" w:rsidR="00874532" w:rsidRPr="00874532" w:rsidRDefault="00874532" w:rsidP="00874532">
            <w:pPr>
              <w:ind w:left="454"/>
              <w:jc w:val="both"/>
              <w:rPr>
                <w:rFonts w:eastAsia="Calibri"/>
                <w:sz w:val="16"/>
                <w:szCs w:val="16"/>
                <w:lang w:eastAsia="en-US"/>
              </w:rPr>
            </w:pPr>
            <w:r w:rsidRPr="00874532">
              <w:rPr>
                <w:rFonts w:eastAsia="Calibri"/>
                <w:sz w:val="16"/>
                <w:szCs w:val="16"/>
                <w:lang w:eastAsia="en-US"/>
              </w:rPr>
              <w:t>Gobierno Federal</w:t>
            </w:r>
          </w:p>
        </w:tc>
        <w:tc>
          <w:tcPr>
            <w:tcW w:w="1418" w:type="dxa"/>
            <w:tcBorders>
              <w:top w:val="nil"/>
              <w:left w:val="single" w:sz="4" w:space="0" w:color="auto"/>
              <w:bottom w:val="nil"/>
              <w:right w:val="single" w:sz="4" w:space="0" w:color="auto"/>
            </w:tcBorders>
          </w:tcPr>
          <w:p w14:paraId="43D9E787"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2 147 912.5</w:t>
            </w:r>
          </w:p>
        </w:tc>
        <w:tc>
          <w:tcPr>
            <w:tcW w:w="1418" w:type="dxa"/>
            <w:tcBorders>
              <w:top w:val="nil"/>
              <w:left w:val="single" w:sz="4" w:space="0" w:color="auto"/>
              <w:bottom w:val="nil"/>
              <w:right w:val="single" w:sz="4" w:space="0" w:color="auto"/>
            </w:tcBorders>
          </w:tcPr>
          <w:p w14:paraId="1994117E"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2 438 706.8</w:t>
            </w:r>
          </w:p>
        </w:tc>
        <w:tc>
          <w:tcPr>
            <w:tcW w:w="851" w:type="dxa"/>
            <w:tcBorders>
              <w:top w:val="nil"/>
              <w:left w:val="single" w:sz="4" w:space="0" w:color="auto"/>
              <w:bottom w:val="nil"/>
              <w:right w:val="single" w:sz="4" w:space="0" w:color="auto"/>
            </w:tcBorders>
          </w:tcPr>
          <w:p w14:paraId="606FD461"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11.8</w:t>
            </w:r>
          </w:p>
        </w:tc>
        <w:tc>
          <w:tcPr>
            <w:tcW w:w="851" w:type="dxa"/>
            <w:tcBorders>
              <w:top w:val="nil"/>
              <w:left w:val="single" w:sz="4" w:space="0" w:color="auto"/>
              <w:bottom w:val="nil"/>
              <w:right w:val="single" w:sz="4" w:space="0" w:color="auto"/>
            </w:tcBorders>
          </w:tcPr>
          <w:p w14:paraId="3D3383A0"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12.5</w:t>
            </w:r>
          </w:p>
        </w:tc>
        <w:tc>
          <w:tcPr>
            <w:tcW w:w="851" w:type="dxa"/>
            <w:tcBorders>
              <w:top w:val="nil"/>
              <w:left w:val="single" w:sz="4" w:space="0" w:color="auto"/>
              <w:bottom w:val="nil"/>
              <w:right w:val="single" w:sz="4" w:space="0" w:color="auto"/>
            </w:tcBorders>
          </w:tcPr>
          <w:p w14:paraId="7C4D6AA9"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9.7</w:t>
            </w:r>
          </w:p>
        </w:tc>
      </w:tr>
      <w:tr w:rsidR="00874532" w:rsidRPr="00874532" w14:paraId="2B1E59D3" w14:textId="77777777" w:rsidTr="002B3A4F">
        <w:trPr>
          <w:jc w:val="center"/>
        </w:trPr>
        <w:tc>
          <w:tcPr>
            <w:tcW w:w="3402" w:type="dxa"/>
            <w:tcBorders>
              <w:top w:val="nil"/>
              <w:left w:val="single" w:sz="4" w:space="0" w:color="auto"/>
              <w:bottom w:val="nil"/>
              <w:right w:val="single" w:sz="4" w:space="0" w:color="auto"/>
            </w:tcBorders>
          </w:tcPr>
          <w:p w14:paraId="7EC53C64" w14:textId="77777777" w:rsidR="00874532" w:rsidRPr="00874532" w:rsidRDefault="00874532" w:rsidP="00874532">
            <w:pPr>
              <w:ind w:left="567"/>
              <w:jc w:val="both"/>
              <w:rPr>
                <w:rFonts w:eastAsia="Calibri"/>
                <w:sz w:val="16"/>
                <w:szCs w:val="16"/>
                <w:lang w:eastAsia="en-US"/>
              </w:rPr>
            </w:pPr>
            <w:r w:rsidRPr="00874532">
              <w:rPr>
                <w:rFonts w:eastAsia="Calibri"/>
                <w:sz w:val="16"/>
                <w:szCs w:val="16"/>
                <w:lang w:eastAsia="en-US"/>
              </w:rPr>
              <w:t>Tributarios</w:t>
            </w:r>
          </w:p>
        </w:tc>
        <w:tc>
          <w:tcPr>
            <w:tcW w:w="1418" w:type="dxa"/>
            <w:tcBorders>
              <w:top w:val="nil"/>
              <w:left w:val="single" w:sz="4" w:space="0" w:color="auto"/>
              <w:bottom w:val="nil"/>
              <w:right w:val="single" w:sz="4" w:space="0" w:color="auto"/>
            </w:tcBorders>
          </w:tcPr>
          <w:p w14:paraId="6FAAC95A"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1 967 980.6</w:t>
            </w:r>
          </w:p>
        </w:tc>
        <w:tc>
          <w:tcPr>
            <w:tcW w:w="1418" w:type="dxa"/>
            <w:tcBorders>
              <w:top w:val="nil"/>
              <w:left w:val="single" w:sz="4" w:space="0" w:color="auto"/>
              <w:bottom w:val="nil"/>
              <w:right w:val="single" w:sz="4" w:space="0" w:color="auto"/>
            </w:tcBorders>
          </w:tcPr>
          <w:p w14:paraId="05FB79CF"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2 245 400.6</w:t>
            </w:r>
          </w:p>
        </w:tc>
        <w:tc>
          <w:tcPr>
            <w:tcW w:w="851" w:type="dxa"/>
            <w:tcBorders>
              <w:top w:val="nil"/>
              <w:left w:val="single" w:sz="4" w:space="0" w:color="auto"/>
              <w:bottom w:val="nil"/>
              <w:right w:val="single" w:sz="4" w:space="0" w:color="auto"/>
            </w:tcBorders>
          </w:tcPr>
          <w:p w14:paraId="1B7CB44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10.8</w:t>
            </w:r>
          </w:p>
        </w:tc>
        <w:tc>
          <w:tcPr>
            <w:tcW w:w="851" w:type="dxa"/>
            <w:tcBorders>
              <w:top w:val="nil"/>
              <w:left w:val="single" w:sz="4" w:space="0" w:color="auto"/>
              <w:bottom w:val="nil"/>
              <w:right w:val="single" w:sz="4" w:space="0" w:color="auto"/>
            </w:tcBorders>
          </w:tcPr>
          <w:p w14:paraId="1A1C8C2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11.5</w:t>
            </w:r>
          </w:p>
        </w:tc>
        <w:tc>
          <w:tcPr>
            <w:tcW w:w="851" w:type="dxa"/>
            <w:tcBorders>
              <w:top w:val="nil"/>
              <w:left w:val="single" w:sz="4" w:space="0" w:color="auto"/>
              <w:bottom w:val="nil"/>
              <w:right w:val="single" w:sz="4" w:space="0" w:color="auto"/>
            </w:tcBorders>
          </w:tcPr>
          <w:p w14:paraId="5439091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10.2</w:t>
            </w:r>
          </w:p>
        </w:tc>
      </w:tr>
      <w:tr w:rsidR="00874532" w:rsidRPr="00874532" w14:paraId="3F033635" w14:textId="77777777" w:rsidTr="002B3A4F">
        <w:trPr>
          <w:jc w:val="center"/>
        </w:trPr>
        <w:tc>
          <w:tcPr>
            <w:tcW w:w="3402" w:type="dxa"/>
            <w:tcBorders>
              <w:top w:val="nil"/>
              <w:left w:val="single" w:sz="4" w:space="0" w:color="auto"/>
              <w:bottom w:val="nil"/>
              <w:right w:val="single" w:sz="4" w:space="0" w:color="auto"/>
            </w:tcBorders>
          </w:tcPr>
          <w:p w14:paraId="4668BC68" w14:textId="77777777" w:rsidR="00874532" w:rsidRPr="00874532" w:rsidRDefault="00874532" w:rsidP="00874532">
            <w:pPr>
              <w:ind w:left="567"/>
              <w:jc w:val="both"/>
              <w:rPr>
                <w:rFonts w:eastAsia="Calibri"/>
                <w:sz w:val="16"/>
                <w:szCs w:val="16"/>
                <w:lang w:eastAsia="en-US"/>
              </w:rPr>
            </w:pPr>
            <w:r w:rsidRPr="00874532">
              <w:rPr>
                <w:rFonts w:eastAsia="Calibri"/>
                <w:sz w:val="16"/>
                <w:szCs w:val="16"/>
                <w:lang w:eastAsia="en-US"/>
              </w:rPr>
              <w:t>No tributarios</w:t>
            </w:r>
          </w:p>
        </w:tc>
        <w:tc>
          <w:tcPr>
            <w:tcW w:w="1418" w:type="dxa"/>
            <w:tcBorders>
              <w:top w:val="nil"/>
              <w:left w:val="single" w:sz="4" w:space="0" w:color="auto"/>
              <w:bottom w:val="nil"/>
              <w:right w:val="single" w:sz="4" w:space="0" w:color="auto"/>
            </w:tcBorders>
          </w:tcPr>
          <w:p w14:paraId="3B10C9EF"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179 931.9</w:t>
            </w:r>
          </w:p>
        </w:tc>
        <w:tc>
          <w:tcPr>
            <w:tcW w:w="1418" w:type="dxa"/>
            <w:tcBorders>
              <w:top w:val="nil"/>
              <w:left w:val="single" w:sz="4" w:space="0" w:color="auto"/>
              <w:bottom w:val="nil"/>
              <w:right w:val="single" w:sz="4" w:space="0" w:color="auto"/>
            </w:tcBorders>
          </w:tcPr>
          <w:p w14:paraId="0E1F9BBC"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193 306.2</w:t>
            </w:r>
          </w:p>
        </w:tc>
        <w:tc>
          <w:tcPr>
            <w:tcW w:w="851" w:type="dxa"/>
            <w:tcBorders>
              <w:top w:val="nil"/>
              <w:left w:val="single" w:sz="4" w:space="0" w:color="auto"/>
              <w:bottom w:val="nil"/>
              <w:right w:val="single" w:sz="4" w:space="0" w:color="auto"/>
            </w:tcBorders>
          </w:tcPr>
          <w:p w14:paraId="6DA640D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1.0</w:t>
            </w:r>
          </w:p>
        </w:tc>
        <w:tc>
          <w:tcPr>
            <w:tcW w:w="851" w:type="dxa"/>
            <w:tcBorders>
              <w:top w:val="nil"/>
              <w:left w:val="single" w:sz="4" w:space="0" w:color="auto"/>
              <w:bottom w:val="nil"/>
              <w:right w:val="single" w:sz="4" w:space="0" w:color="auto"/>
            </w:tcBorders>
          </w:tcPr>
          <w:p w14:paraId="1E11F470"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1.0</w:t>
            </w:r>
          </w:p>
        </w:tc>
        <w:tc>
          <w:tcPr>
            <w:tcW w:w="851" w:type="dxa"/>
            <w:tcBorders>
              <w:top w:val="nil"/>
              <w:left w:val="single" w:sz="4" w:space="0" w:color="auto"/>
              <w:bottom w:val="nil"/>
              <w:right w:val="single" w:sz="4" w:space="0" w:color="auto"/>
            </w:tcBorders>
          </w:tcPr>
          <w:p w14:paraId="31DB2410"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3.8</w:t>
            </w:r>
          </w:p>
        </w:tc>
      </w:tr>
      <w:tr w:rsidR="00874532" w:rsidRPr="00874532" w14:paraId="63761C53" w14:textId="77777777" w:rsidTr="002B3A4F">
        <w:trPr>
          <w:jc w:val="center"/>
        </w:trPr>
        <w:tc>
          <w:tcPr>
            <w:tcW w:w="3402" w:type="dxa"/>
            <w:tcBorders>
              <w:top w:val="nil"/>
              <w:left w:val="single" w:sz="4" w:space="0" w:color="auto"/>
              <w:bottom w:val="nil"/>
              <w:right w:val="single" w:sz="4" w:space="0" w:color="auto"/>
            </w:tcBorders>
          </w:tcPr>
          <w:p w14:paraId="79435229" w14:textId="77777777" w:rsidR="00874532" w:rsidRPr="00874532" w:rsidRDefault="00874532" w:rsidP="00874532">
            <w:pPr>
              <w:ind w:left="454"/>
              <w:jc w:val="both"/>
              <w:rPr>
                <w:rFonts w:eastAsia="Calibri"/>
                <w:sz w:val="16"/>
                <w:szCs w:val="16"/>
                <w:lang w:eastAsia="en-US"/>
              </w:rPr>
            </w:pPr>
            <w:r w:rsidRPr="00874532">
              <w:rPr>
                <w:rFonts w:eastAsia="Calibri"/>
                <w:sz w:val="16"/>
                <w:szCs w:val="16"/>
                <w:lang w:eastAsia="en-US"/>
              </w:rPr>
              <w:t>Organismos y empresas</w:t>
            </w:r>
          </w:p>
        </w:tc>
        <w:tc>
          <w:tcPr>
            <w:tcW w:w="1418" w:type="dxa"/>
            <w:tcBorders>
              <w:top w:val="nil"/>
              <w:left w:val="single" w:sz="4" w:space="0" w:color="auto"/>
              <w:bottom w:val="nil"/>
              <w:right w:val="single" w:sz="4" w:space="0" w:color="auto"/>
            </w:tcBorders>
          </w:tcPr>
          <w:p w14:paraId="26B3F6F7"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678 363.7</w:t>
            </w:r>
          </w:p>
        </w:tc>
        <w:tc>
          <w:tcPr>
            <w:tcW w:w="1418" w:type="dxa"/>
            <w:tcBorders>
              <w:top w:val="nil"/>
              <w:left w:val="single" w:sz="4" w:space="0" w:color="auto"/>
              <w:bottom w:val="nil"/>
              <w:right w:val="single" w:sz="4" w:space="0" w:color="auto"/>
            </w:tcBorders>
          </w:tcPr>
          <w:p w14:paraId="6116362C"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685 075.7</w:t>
            </w:r>
          </w:p>
        </w:tc>
        <w:tc>
          <w:tcPr>
            <w:tcW w:w="851" w:type="dxa"/>
            <w:tcBorders>
              <w:top w:val="nil"/>
              <w:left w:val="single" w:sz="4" w:space="0" w:color="auto"/>
              <w:bottom w:val="nil"/>
              <w:right w:val="single" w:sz="4" w:space="0" w:color="auto"/>
            </w:tcBorders>
          </w:tcPr>
          <w:p w14:paraId="2C292B06"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3.7</w:t>
            </w:r>
          </w:p>
        </w:tc>
        <w:tc>
          <w:tcPr>
            <w:tcW w:w="851" w:type="dxa"/>
            <w:tcBorders>
              <w:top w:val="nil"/>
              <w:left w:val="single" w:sz="4" w:space="0" w:color="auto"/>
              <w:bottom w:val="nil"/>
              <w:right w:val="single" w:sz="4" w:space="0" w:color="auto"/>
            </w:tcBorders>
          </w:tcPr>
          <w:p w14:paraId="42645461"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3.5</w:t>
            </w:r>
          </w:p>
        </w:tc>
        <w:tc>
          <w:tcPr>
            <w:tcW w:w="851" w:type="dxa"/>
            <w:tcBorders>
              <w:top w:val="nil"/>
              <w:left w:val="single" w:sz="4" w:space="0" w:color="auto"/>
              <w:bottom w:val="nil"/>
              <w:right w:val="single" w:sz="4" w:space="0" w:color="auto"/>
            </w:tcBorders>
          </w:tcPr>
          <w:p w14:paraId="1E05E6DB"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-2.4</w:t>
            </w:r>
          </w:p>
        </w:tc>
      </w:tr>
      <w:tr w:rsidR="00874532" w:rsidRPr="00874532" w14:paraId="439746AF" w14:textId="77777777" w:rsidTr="002B3A4F">
        <w:trPr>
          <w:jc w:val="center"/>
        </w:trPr>
        <w:tc>
          <w:tcPr>
            <w:tcW w:w="3402" w:type="dxa"/>
            <w:tcBorders>
              <w:top w:val="nil"/>
              <w:left w:val="single" w:sz="4" w:space="0" w:color="auto"/>
              <w:bottom w:val="nil"/>
              <w:right w:val="single" w:sz="4" w:space="0" w:color="auto"/>
            </w:tcBorders>
          </w:tcPr>
          <w:p w14:paraId="452981E8" w14:textId="77777777" w:rsidR="00874532" w:rsidRPr="00874532" w:rsidRDefault="00874532" w:rsidP="00874532">
            <w:pPr>
              <w:ind w:left="227"/>
              <w:jc w:val="both"/>
              <w:rPr>
                <w:rFonts w:eastAsia="Calibri"/>
                <w:sz w:val="16"/>
                <w:szCs w:val="16"/>
                <w:lang w:eastAsia="en-US"/>
              </w:rPr>
            </w:pPr>
            <w:r w:rsidRPr="00874532">
              <w:rPr>
                <w:rFonts w:eastAsia="Calibri"/>
                <w:sz w:val="16"/>
                <w:szCs w:val="16"/>
                <w:lang w:eastAsia="en-US"/>
              </w:rPr>
              <w:t>Gasto neto pagado</w:t>
            </w:r>
          </w:p>
        </w:tc>
        <w:tc>
          <w:tcPr>
            <w:tcW w:w="1418" w:type="dxa"/>
            <w:tcBorders>
              <w:top w:val="nil"/>
              <w:left w:val="single" w:sz="4" w:space="0" w:color="auto"/>
              <w:bottom w:val="nil"/>
              <w:right w:val="single" w:sz="4" w:space="0" w:color="auto"/>
            </w:tcBorders>
          </w:tcPr>
          <w:p w14:paraId="64696E61"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4 663 592.4</w:t>
            </w:r>
          </w:p>
        </w:tc>
        <w:tc>
          <w:tcPr>
            <w:tcW w:w="1418" w:type="dxa"/>
            <w:tcBorders>
              <w:top w:val="nil"/>
              <w:left w:val="single" w:sz="4" w:space="0" w:color="auto"/>
              <w:bottom w:val="nil"/>
              <w:right w:val="single" w:sz="4" w:space="0" w:color="auto"/>
            </w:tcBorders>
          </w:tcPr>
          <w:p w14:paraId="3BBC7BEB"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4 660 091.9</w:t>
            </w:r>
          </w:p>
        </w:tc>
        <w:tc>
          <w:tcPr>
            <w:tcW w:w="851" w:type="dxa"/>
            <w:tcBorders>
              <w:top w:val="nil"/>
              <w:left w:val="single" w:sz="4" w:space="0" w:color="auto"/>
              <w:bottom w:val="nil"/>
              <w:right w:val="single" w:sz="4" w:space="0" w:color="auto"/>
            </w:tcBorders>
          </w:tcPr>
          <w:p w14:paraId="48EAC9CD"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25.7</w:t>
            </w:r>
          </w:p>
        </w:tc>
        <w:tc>
          <w:tcPr>
            <w:tcW w:w="851" w:type="dxa"/>
            <w:tcBorders>
              <w:top w:val="nil"/>
              <w:left w:val="single" w:sz="4" w:space="0" w:color="auto"/>
              <w:bottom w:val="nil"/>
              <w:right w:val="single" w:sz="4" w:space="0" w:color="auto"/>
            </w:tcBorders>
          </w:tcPr>
          <w:p w14:paraId="724C98BC"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23.9</w:t>
            </w:r>
          </w:p>
        </w:tc>
        <w:tc>
          <w:tcPr>
            <w:tcW w:w="851" w:type="dxa"/>
            <w:tcBorders>
              <w:top w:val="nil"/>
              <w:left w:val="single" w:sz="4" w:space="0" w:color="auto"/>
              <w:bottom w:val="nil"/>
              <w:right w:val="single" w:sz="4" w:space="0" w:color="auto"/>
            </w:tcBorders>
          </w:tcPr>
          <w:p w14:paraId="7F8C4746"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-3.5</w:t>
            </w:r>
          </w:p>
        </w:tc>
      </w:tr>
      <w:tr w:rsidR="00874532" w:rsidRPr="00874532" w14:paraId="334050DA" w14:textId="77777777" w:rsidTr="002B3A4F">
        <w:trPr>
          <w:jc w:val="center"/>
        </w:trPr>
        <w:tc>
          <w:tcPr>
            <w:tcW w:w="3402" w:type="dxa"/>
            <w:tcBorders>
              <w:top w:val="nil"/>
              <w:left w:val="single" w:sz="4" w:space="0" w:color="auto"/>
              <w:bottom w:val="nil"/>
              <w:right w:val="single" w:sz="4" w:space="0" w:color="auto"/>
            </w:tcBorders>
          </w:tcPr>
          <w:p w14:paraId="1D7F83F7" w14:textId="77777777" w:rsidR="00874532" w:rsidRPr="00874532" w:rsidRDefault="00874532" w:rsidP="00874532">
            <w:pPr>
              <w:ind w:left="340"/>
              <w:jc w:val="both"/>
              <w:rPr>
                <w:rFonts w:eastAsia="Calibri"/>
                <w:sz w:val="16"/>
                <w:szCs w:val="16"/>
                <w:lang w:eastAsia="en-US"/>
              </w:rPr>
            </w:pPr>
            <w:r w:rsidRPr="00874532">
              <w:rPr>
                <w:rFonts w:eastAsia="Calibri"/>
                <w:sz w:val="16"/>
                <w:szCs w:val="16"/>
                <w:lang w:eastAsia="en-US"/>
              </w:rPr>
              <w:t>Programable pagado</w:t>
            </w:r>
          </w:p>
        </w:tc>
        <w:tc>
          <w:tcPr>
            <w:tcW w:w="1418" w:type="dxa"/>
            <w:tcBorders>
              <w:top w:val="nil"/>
              <w:left w:val="single" w:sz="4" w:space="0" w:color="auto"/>
              <w:bottom w:val="nil"/>
              <w:right w:val="single" w:sz="4" w:space="0" w:color="auto"/>
            </w:tcBorders>
          </w:tcPr>
          <w:p w14:paraId="3FF64CC8"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3 638 730.6</w:t>
            </w:r>
          </w:p>
        </w:tc>
        <w:tc>
          <w:tcPr>
            <w:tcW w:w="1418" w:type="dxa"/>
            <w:tcBorders>
              <w:top w:val="nil"/>
              <w:left w:val="single" w:sz="4" w:space="0" w:color="auto"/>
              <w:bottom w:val="nil"/>
              <w:right w:val="single" w:sz="4" w:space="0" w:color="auto"/>
            </w:tcBorders>
          </w:tcPr>
          <w:p w14:paraId="66EC7B62"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3 516 667.2</w:t>
            </w:r>
          </w:p>
        </w:tc>
        <w:tc>
          <w:tcPr>
            <w:tcW w:w="851" w:type="dxa"/>
            <w:tcBorders>
              <w:top w:val="nil"/>
              <w:left w:val="single" w:sz="4" w:space="0" w:color="auto"/>
              <w:bottom w:val="nil"/>
              <w:right w:val="single" w:sz="4" w:space="0" w:color="auto"/>
            </w:tcBorders>
          </w:tcPr>
          <w:p w14:paraId="19463991"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20.0</w:t>
            </w:r>
          </w:p>
        </w:tc>
        <w:tc>
          <w:tcPr>
            <w:tcW w:w="851" w:type="dxa"/>
            <w:tcBorders>
              <w:top w:val="nil"/>
              <w:left w:val="single" w:sz="4" w:space="0" w:color="auto"/>
              <w:bottom w:val="nil"/>
              <w:right w:val="single" w:sz="4" w:space="0" w:color="auto"/>
            </w:tcBorders>
          </w:tcPr>
          <w:p w14:paraId="361B36C9"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18.0</w:t>
            </w:r>
          </w:p>
        </w:tc>
        <w:tc>
          <w:tcPr>
            <w:tcW w:w="851" w:type="dxa"/>
            <w:tcBorders>
              <w:top w:val="nil"/>
              <w:left w:val="single" w:sz="4" w:space="0" w:color="auto"/>
              <w:bottom w:val="nil"/>
              <w:right w:val="single" w:sz="4" w:space="0" w:color="auto"/>
            </w:tcBorders>
          </w:tcPr>
          <w:p w14:paraId="4D117EF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-6.6</w:t>
            </w:r>
          </w:p>
        </w:tc>
      </w:tr>
      <w:tr w:rsidR="00874532" w:rsidRPr="00874532" w14:paraId="781DEB46" w14:textId="77777777" w:rsidTr="002B3A4F">
        <w:trPr>
          <w:jc w:val="center"/>
        </w:trPr>
        <w:tc>
          <w:tcPr>
            <w:tcW w:w="3402" w:type="dxa"/>
            <w:tcBorders>
              <w:top w:val="nil"/>
              <w:left w:val="single" w:sz="4" w:space="0" w:color="auto"/>
              <w:bottom w:val="nil"/>
              <w:right w:val="single" w:sz="4" w:space="0" w:color="auto"/>
            </w:tcBorders>
          </w:tcPr>
          <w:p w14:paraId="456A787D" w14:textId="77777777" w:rsidR="00874532" w:rsidRPr="00874532" w:rsidRDefault="00874532" w:rsidP="00874532">
            <w:pPr>
              <w:ind w:left="454"/>
              <w:jc w:val="both"/>
              <w:rPr>
                <w:rFonts w:eastAsia="Calibri"/>
                <w:sz w:val="16"/>
                <w:szCs w:val="16"/>
                <w:lang w:eastAsia="en-US"/>
              </w:rPr>
            </w:pPr>
            <w:r w:rsidRPr="00874532">
              <w:rPr>
                <w:rFonts w:eastAsia="Calibri"/>
                <w:sz w:val="16"/>
                <w:szCs w:val="16"/>
                <w:lang w:eastAsia="en-US"/>
              </w:rPr>
              <w:t>Diferimiento de pagos</w:t>
            </w:r>
          </w:p>
        </w:tc>
        <w:tc>
          <w:tcPr>
            <w:tcW w:w="1418" w:type="dxa"/>
            <w:tcBorders>
              <w:top w:val="nil"/>
              <w:left w:val="single" w:sz="4" w:space="0" w:color="auto"/>
              <w:bottom w:val="nil"/>
              <w:right w:val="single" w:sz="4" w:space="0" w:color="auto"/>
            </w:tcBorders>
          </w:tcPr>
          <w:p w14:paraId="209D1D37"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-31 085.0</w:t>
            </w:r>
          </w:p>
        </w:tc>
        <w:tc>
          <w:tcPr>
            <w:tcW w:w="1418" w:type="dxa"/>
            <w:tcBorders>
              <w:top w:val="nil"/>
              <w:left w:val="single" w:sz="4" w:space="0" w:color="auto"/>
              <w:bottom w:val="nil"/>
              <w:right w:val="single" w:sz="4" w:space="0" w:color="auto"/>
            </w:tcBorders>
          </w:tcPr>
          <w:p w14:paraId="46769D99"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-32 172.4</w:t>
            </w:r>
          </w:p>
        </w:tc>
        <w:tc>
          <w:tcPr>
            <w:tcW w:w="851" w:type="dxa"/>
            <w:tcBorders>
              <w:top w:val="nil"/>
              <w:left w:val="single" w:sz="4" w:space="0" w:color="auto"/>
              <w:bottom w:val="nil"/>
              <w:right w:val="single" w:sz="4" w:space="0" w:color="auto"/>
            </w:tcBorders>
          </w:tcPr>
          <w:p w14:paraId="4F88CF8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-0.2</w:t>
            </w:r>
          </w:p>
        </w:tc>
        <w:tc>
          <w:tcPr>
            <w:tcW w:w="851" w:type="dxa"/>
            <w:tcBorders>
              <w:top w:val="nil"/>
              <w:left w:val="single" w:sz="4" w:space="0" w:color="auto"/>
              <w:bottom w:val="nil"/>
              <w:right w:val="single" w:sz="4" w:space="0" w:color="auto"/>
            </w:tcBorders>
          </w:tcPr>
          <w:p w14:paraId="4E8E127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-0.2</w:t>
            </w:r>
          </w:p>
        </w:tc>
        <w:tc>
          <w:tcPr>
            <w:tcW w:w="851" w:type="dxa"/>
            <w:tcBorders>
              <w:top w:val="nil"/>
              <w:left w:val="single" w:sz="4" w:space="0" w:color="auto"/>
              <w:bottom w:val="nil"/>
              <w:right w:val="single" w:sz="4" w:space="0" w:color="auto"/>
            </w:tcBorders>
          </w:tcPr>
          <w:p w14:paraId="3B66F6FC"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0.0</w:t>
            </w:r>
          </w:p>
        </w:tc>
      </w:tr>
      <w:tr w:rsidR="00874532" w:rsidRPr="00874532" w14:paraId="3FB561F7" w14:textId="77777777" w:rsidTr="002B3A4F">
        <w:trPr>
          <w:jc w:val="center"/>
        </w:trPr>
        <w:tc>
          <w:tcPr>
            <w:tcW w:w="3402" w:type="dxa"/>
            <w:tcBorders>
              <w:top w:val="nil"/>
              <w:left w:val="single" w:sz="4" w:space="0" w:color="auto"/>
              <w:bottom w:val="nil"/>
              <w:right w:val="single" w:sz="4" w:space="0" w:color="auto"/>
            </w:tcBorders>
          </w:tcPr>
          <w:p w14:paraId="2ED7D271" w14:textId="77777777" w:rsidR="00874532" w:rsidRPr="00874532" w:rsidRDefault="00874532" w:rsidP="00874532">
            <w:pPr>
              <w:ind w:left="454"/>
              <w:jc w:val="both"/>
              <w:rPr>
                <w:rFonts w:eastAsia="Calibri"/>
                <w:sz w:val="16"/>
                <w:szCs w:val="16"/>
                <w:lang w:eastAsia="en-US"/>
              </w:rPr>
            </w:pPr>
            <w:r w:rsidRPr="00874532">
              <w:rPr>
                <w:rFonts w:eastAsia="Calibri"/>
                <w:sz w:val="16"/>
                <w:szCs w:val="16"/>
                <w:lang w:eastAsia="en-US"/>
              </w:rPr>
              <w:t>Programable devengado</w:t>
            </w:r>
          </w:p>
        </w:tc>
        <w:tc>
          <w:tcPr>
            <w:tcW w:w="1418" w:type="dxa"/>
            <w:tcBorders>
              <w:top w:val="nil"/>
              <w:left w:val="single" w:sz="4" w:space="0" w:color="auto"/>
              <w:bottom w:val="nil"/>
              <w:right w:val="single" w:sz="4" w:space="0" w:color="auto"/>
            </w:tcBorders>
          </w:tcPr>
          <w:p w14:paraId="28B11630"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3 669 815.6</w:t>
            </w:r>
          </w:p>
        </w:tc>
        <w:tc>
          <w:tcPr>
            <w:tcW w:w="1418" w:type="dxa"/>
            <w:tcBorders>
              <w:top w:val="nil"/>
              <w:left w:val="single" w:sz="4" w:space="0" w:color="auto"/>
              <w:bottom w:val="nil"/>
              <w:right w:val="single" w:sz="4" w:space="0" w:color="auto"/>
            </w:tcBorders>
          </w:tcPr>
          <w:p w14:paraId="2CAD00D0"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3 548 839.6</w:t>
            </w:r>
          </w:p>
        </w:tc>
        <w:tc>
          <w:tcPr>
            <w:tcW w:w="851" w:type="dxa"/>
            <w:tcBorders>
              <w:top w:val="nil"/>
              <w:left w:val="single" w:sz="4" w:space="0" w:color="auto"/>
              <w:bottom w:val="nil"/>
              <w:right w:val="single" w:sz="4" w:space="0" w:color="auto"/>
            </w:tcBorders>
          </w:tcPr>
          <w:p w14:paraId="0404E91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20.2</w:t>
            </w:r>
          </w:p>
        </w:tc>
        <w:tc>
          <w:tcPr>
            <w:tcW w:w="851" w:type="dxa"/>
            <w:tcBorders>
              <w:top w:val="nil"/>
              <w:left w:val="single" w:sz="4" w:space="0" w:color="auto"/>
              <w:bottom w:val="nil"/>
              <w:right w:val="single" w:sz="4" w:space="0" w:color="auto"/>
            </w:tcBorders>
          </w:tcPr>
          <w:p w14:paraId="4B6E82FA"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18.2</w:t>
            </w:r>
          </w:p>
        </w:tc>
        <w:tc>
          <w:tcPr>
            <w:tcW w:w="851" w:type="dxa"/>
            <w:tcBorders>
              <w:top w:val="nil"/>
              <w:left w:val="single" w:sz="4" w:space="0" w:color="auto"/>
              <w:bottom w:val="nil"/>
              <w:right w:val="single" w:sz="4" w:space="0" w:color="auto"/>
            </w:tcBorders>
          </w:tcPr>
          <w:p w14:paraId="69A37B12"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-6.6</w:t>
            </w:r>
          </w:p>
        </w:tc>
      </w:tr>
      <w:tr w:rsidR="00874532" w:rsidRPr="00874532" w14:paraId="3B29DAC3" w14:textId="77777777" w:rsidTr="002B3A4F">
        <w:trPr>
          <w:jc w:val="center"/>
        </w:trPr>
        <w:tc>
          <w:tcPr>
            <w:tcW w:w="3402" w:type="dxa"/>
            <w:tcBorders>
              <w:top w:val="nil"/>
              <w:left w:val="single" w:sz="4" w:space="0" w:color="auto"/>
              <w:bottom w:val="nil"/>
              <w:right w:val="single" w:sz="4" w:space="0" w:color="auto"/>
            </w:tcBorders>
          </w:tcPr>
          <w:p w14:paraId="2C7C274F" w14:textId="77777777" w:rsidR="00874532" w:rsidRPr="00874532" w:rsidRDefault="00874532" w:rsidP="00874532">
            <w:pPr>
              <w:ind w:left="340"/>
              <w:jc w:val="both"/>
              <w:rPr>
                <w:rFonts w:eastAsia="Calibri"/>
                <w:sz w:val="16"/>
                <w:szCs w:val="16"/>
                <w:lang w:eastAsia="en-US"/>
              </w:rPr>
            </w:pPr>
            <w:r w:rsidRPr="00874532">
              <w:rPr>
                <w:rFonts w:eastAsia="Calibri"/>
                <w:sz w:val="16"/>
                <w:szCs w:val="16"/>
                <w:lang w:eastAsia="en-US"/>
              </w:rPr>
              <w:t>No programable</w:t>
            </w:r>
          </w:p>
        </w:tc>
        <w:tc>
          <w:tcPr>
            <w:tcW w:w="1418" w:type="dxa"/>
            <w:tcBorders>
              <w:top w:val="nil"/>
              <w:left w:val="single" w:sz="4" w:space="0" w:color="auto"/>
              <w:bottom w:val="nil"/>
              <w:right w:val="single" w:sz="4" w:space="0" w:color="auto"/>
            </w:tcBorders>
          </w:tcPr>
          <w:p w14:paraId="31FCCEBA"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1 024 861.8</w:t>
            </w:r>
          </w:p>
        </w:tc>
        <w:tc>
          <w:tcPr>
            <w:tcW w:w="1418" w:type="dxa"/>
            <w:tcBorders>
              <w:top w:val="nil"/>
              <w:left w:val="single" w:sz="4" w:space="0" w:color="auto"/>
              <w:bottom w:val="nil"/>
              <w:right w:val="single" w:sz="4" w:space="0" w:color="auto"/>
            </w:tcBorders>
          </w:tcPr>
          <w:p w14:paraId="4A9384EB"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1 143 424.7</w:t>
            </w:r>
          </w:p>
        </w:tc>
        <w:tc>
          <w:tcPr>
            <w:tcW w:w="851" w:type="dxa"/>
            <w:tcBorders>
              <w:top w:val="nil"/>
              <w:left w:val="single" w:sz="4" w:space="0" w:color="auto"/>
              <w:bottom w:val="nil"/>
              <w:right w:val="single" w:sz="4" w:space="0" w:color="auto"/>
            </w:tcBorders>
          </w:tcPr>
          <w:p w14:paraId="185F12ED"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5.6</w:t>
            </w:r>
          </w:p>
        </w:tc>
        <w:tc>
          <w:tcPr>
            <w:tcW w:w="851" w:type="dxa"/>
            <w:tcBorders>
              <w:top w:val="nil"/>
              <w:left w:val="single" w:sz="4" w:space="0" w:color="auto"/>
              <w:bottom w:val="nil"/>
              <w:right w:val="single" w:sz="4" w:space="0" w:color="auto"/>
            </w:tcBorders>
          </w:tcPr>
          <w:p w14:paraId="1265C2A0"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5.9</w:t>
            </w:r>
          </w:p>
        </w:tc>
        <w:tc>
          <w:tcPr>
            <w:tcW w:w="851" w:type="dxa"/>
            <w:tcBorders>
              <w:top w:val="nil"/>
              <w:left w:val="single" w:sz="4" w:space="0" w:color="auto"/>
              <w:bottom w:val="nil"/>
              <w:right w:val="single" w:sz="4" w:space="0" w:color="auto"/>
            </w:tcBorders>
          </w:tcPr>
          <w:p w14:paraId="64E83443"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7.8</w:t>
            </w:r>
          </w:p>
        </w:tc>
      </w:tr>
      <w:tr w:rsidR="00874532" w:rsidRPr="00874532" w14:paraId="3399BA00" w14:textId="77777777" w:rsidTr="002B3A4F">
        <w:trPr>
          <w:jc w:val="center"/>
        </w:trPr>
        <w:tc>
          <w:tcPr>
            <w:tcW w:w="3402" w:type="dxa"/>
            <w:tcBorders>
              <w:top w:val="nil"/>
              <w:left w:val="single" w:sz="4" w:space="0" w:color="auto"/>
              <w:bottom w:val="nil"/>
              <w:right w:val="single" w:sz="4" w:space="0" w:color="auto"/>
            </w:tcBorders>
          </w:tcPr>
          <w:p w14:paraId="4FBA3E4F" w14:textId="77777777" w:rsidR="00874532" w:rsidRPr="00874532" w:rsidRDefault="00874532" w:rsidP="00874532">
            <w:pPr>
              <w:ind w:left="454"/>
              <w:jc w:val="both"/>
              <w:rPr>
                <w:rFonts w:eastAsia="Calibri"/>
                <w:sz w:val="16"/>
                <w:szCs w:val="16"/>
                <w:lang w:eastAsia="en-US"/>
              </w:rPr>
            </w:pPr>
            <w:r w:rsidRPr="00874532">
              <w:rPr>
                <w:rFonts w:eastAsia="Calibri"/>
                <w:sz w:val="16"/>
                <w:szCs w:val="16"/>
                <w:lang w:eastAsia="en-US"/>
              </w:rPr>
              <w:t>Costo financiero</w:t>
            </w:r>
          </w:p>
        </w:tc>
        <w:tc>
          <w:tcPr>
            <w:tcW w:w="1418" w:type="dxa"/>
            <w:tcBorders>
              <w:top w:val="nil"/>
              <w:left w:val="single" w:sz="4" w:space="0" w:color="auto"/>
              <w:bottom w:val="nil"/>
              <w:right w:val="single" w:sz="4" w:space="0" w:color="auto"/>
            </w:tcBorders>
          </w:tcPr>
          <w:p w14:paraId="36F543E0"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401 477.2</w:t>
            </w:r>
          </w:p>
        </w:tc>
        <w:tc>
          <w:tcPr>
            <w:tcW w:w="1418" w:type="dxa"/>
            <w:tcBorders>
              <w:top w:val="nil"/>
              <w:left w:val="single" w:sz="4" w:space="0" w:color="auto"/>
              <w:bottom w:val="nil"/>
              <w:right w:val="single" w:sz="4" w:space="0" w:color="auto"/>
            </w:tcBorders>
          </w:tcPr>
          <w:p w14:paraId="7A39C6C8"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476 581.3</w:t>
            </w:r>
          </w:p>
        </w:tc>
        <w:tc>
          <w:tcPr>
            <w:tcW w:w="851" w:type="dxa"/>
            <w:tcBorders>
              <w:top w:val="nil"/>
              <w:left w:val="single" w:sz="4" w:space="0" w:color="auto"/>
              <w:bottom w:val="nil"/>
              <w:right w:val="single" w:sz="4" w:space="0" w:color="auto"/>
            </w:tcBorders>
          </w:tcPr>
          <w:p w14:paraId="158BE1C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2.2</w:t>
            </w:r>
          </w:p>
        </w:tc>
        <w:tc>
          <w:tcPr>
            <w:tcW w:w="851" w:type="dxa"/>
            <w:tcBorders>
              <w:top w:val="nil"/>
              <w:left w:val="single" w:sz="4" w:space="0" w:color="auto"/>
              <w:bottom w:val="nil"/>
              <w:right w:val="single" w:sz="4" w:space="0" w:color="auto"/>
            </w:tcBorders>
          </w:tcPr>
          <w:p w14:paraId="3260E077"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2.4</w:t>
            </w:r>
          </w:p>
        </w:tc>
        <w:tc>
          <w:tcPr>
            <w:tcW w:w="851" w:type="dxa"/>
            <w:tcBorders>
              <w:top w:val="nil"/>
              <w:left w:val="single" w:sz="4" w:space="0" w:color="auto"/>
              <w:bottom w:val="nil"/>
              <w:right w:val="single" w:sz="4" w:space="0" w:color="auto"/>
            </w:tcBorders>
          </w:tcPr>
          <w:p w14:paraId="498FFAEA"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14.7</w:t>
            </w:r>
          </w:p>
        </w:tc>
      </w:tr>
      <w:tr w:rsidR="00874532" w:rsidRPr="00874532" w14:paraId="0FFFF722" w14:textId="77777777" w:rsidTr="002B3A4F">
        <w:trPr>
          <w:jc w:val="center"/>
        </w:trPr>
        <w:tc>
          <w:tcPr>
            <w:tcW w:w="3402" w:type="dxa"/>
            <w:tcBorders>
              <w:top w:val="nil"/>
              <w:left w:val="single" w:sz="4" w:space="0" w:color="auto"/>
              <w:bottom w:val="nil"/>
              <w:right w:val="single" w:sz="4" w:space="0" w:color="auto"/>
            </w:tcBorders>
          </w:tcPr>
          <w:p w14:paraId="2B81676B" w14:textId="77777777" w:rsidR="00874532" w:rsidRPr="00874532" w:rsidRDefault="00874532" w:rsidP="00874532">
            <w:pPr>
              <w:ind w:left="454"/>
              <w:jc w:val="both"/>
              <w:rPr>
                <w:rFonts w:eastAsia="Calibri"/>
                <w:sz w:val="16"/>
                <w:szCs w:val="16"/>
                <w:lang w:eastAsia="en-US"/>
              </w:rPr>
            </w:pPr>
            <w:r w:rsidRPr="00874532">
              <w:rPr>
                <w:rFonts w:eastAsia="Calibri"/>
                <w:sz w:val="16"/>
                <w:szCs w:val="16"/>
                <w:lang w:eastAsia="en-US"/>
              </w:rPr>
              <w:t>Participaciones</w:t>
            </w:r>
          </w:p>
        </w:tc>
        <w:tc>
          <w:tcPr>
            <w:tcW w:w="1418" w:type="dxa"/>
            <w:tcBorders>
              <w:top w:val="nil"/>
              <w:left w:val="single" w:sz="4" w:space="0" w:color="auto"/>
              <w:bottom w:val="nil"/>
              <w:right w:val="single" w:sz="4" w:space="0" w:color="auto"/>
            </w:tcBorders>
          </w:tcPr>
          <w:p w14:paraId="1E695069"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607 130.1</w:t>
            </w:r>
          </w:p>
        </w:tc>
        <w:tc>
          <w:tcPr>
            <w:tcW w:w="1418" w:type="dxa"/>
            <w:tcBorders>
              <w:top w:val="nil"/>
              <w:left w:val="single" w:sz="4" w:space="0" w:color="auto"/>
              <w:bottom w:val="nil"/>
              <w:right w:val="single" w:sz="4" w:space="0" w:color="auto"/>
            </w:tcBorders>
          </w:tcPr>
          <w:p w14:paraId="493E8C22" w14:textId="4C38205D" w:rsidR="00874532" w:rsidRPr="00874532" w:rsidRDefault="00874532" w:rsidP="004F5993">
            <w:pPr>
              <w:ind w:right="227"/>
              <w:jc w:val="right"/>
              <w:rPr>
                <w:rFonts w:eastAsia="Calibri"/>
                <w:sz w:val="16"/>
                <w:szCs w:val="16"/>
                <w:lang w:eastAsia="en-US"/>
              </w:rPr>
            </w:pPr>
            <w:r w:rsidRPr="00874532">
              <w:rPr>
                <w:rFonts w:eastAsia="Calibri"/>
                <w:sz w:val="16"/>
                <w:szCs w:val="16"/>
                <w:lang w:eastAsia="en-US"/>
              </w:rPr>
              <w:t>63</w:t>
            </w:r>
            <w:r w:rsidR="004F5993">
              <w:rPr>
                <w:rFonts w:eastAsia="Calibri"/>
                <w:sz w:val="16"/>
                <w:szCs w:val="16"/>
                <w:lang w:eastAsia="en-US"/>
              </w:rPr>
              <w:t>4</w:t>
            </w:r>
            <w:r w:rsidRPr="00874532">
              <w:rPr>
                <w:rFonts w:eastAsia="Calibri"/>
                <w:sz w:val="16"/>
                <w:szCs w:val="16"/>
                <w:lang w:eastAsia="en-US"/>
              </w:rPr>
              <w:t xml:space="preserve"> 671.0</w:t>
            </w:r>
          </w:p>
        </w:tc>
        <w:tc>
          <w:tcPr>
            <w:tcW w:w="851" w:type="dxa"/>
            <w:tcBorders>
              <w:top w:val="nil"/>
              <w:left w:val="single" w:sz="4" w:space="0" w:color="auto"/>
              <w:bottom w:val="nil"/>
              <w:right w:val="single" w:sz="4" w:space="0" w:color="auto"/>
            </w:tcBorders>
          </w:tcPr>
          <w:p w14:paraId="7F92D2D5"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3.3</w:t>
            </w:r>
          </w:p>
        </w:tc>
        <w:tc>
          <w:tcPr>
            <w:tcW w:w="851" w:type="dxa"/>
            <w:tcBorders>
              <w:top w:val="nil"/>
              <w:left w:val="single" w:sz="4" w:space="0" w:color="auto"/>
              <w:bottom w:val="nil"/>
              <w:right w:val="single" w:sz="4" w:space="0" w:color="auto"/>
            </w:tcBorders>
          </w:tcPr>
          <w:p w14:paraId="3EAF377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3.2</w:t>
            </w:r>
          </w:p>
        </w:tc>
        <w:tc>
          <w:tcPr>
            <w:tcW w:w="851" w:type="dxa"/>
            <w:tcBorders>
              <w:top w:val="nil"/>
              <w:left w:val="single" w:sz="4" w:space="0" w:color="auto"/>
              <w:bottom w:val="nil"/>
              <w:right w:val="single" w:sz="4" w:space="0" w:color="auto"/>
            </w:tcBorders>
          </w:tcPr>
          <w:p w14:paraId="62EF4391"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1.0</w:t>
            </w:r>
          </w:p>
        </w:tc>
      </w:tr>
      <w:tr w:rsidR="00874532" w:rsidRPr="00874532" w14:paraId="7C19EE50" w14:textId="77777777" w:rsidTr="002B3A4F">
        <w:trPr>
          <w:jc w:val="center"/>
        </w:trPr>
        <w:tc>
          <w:tcPr>
            <w:tcW w:w="3402" w:type="dxa"/>
            <w:tcBorders>
              <w:top w:val="nil"/>
              <w:left w:val="single" w:sz="4" w:space="0" w:color="auto"/>
              <w:bottom w:val="nil"/>
              <w:right w:val="single" w:sz="4" w:space="0" w:color="auto"/>
            </w:tcBorders>
          </w:tcPr>
          <w:p w14:paraId="69B88494" w14:textId="77777777" w:rsidR="00874532" w:rsidRPr="00874532" w:rsidRDefault="00874532" w:rsidP="00874532">
            <w:pPr>
              <w:ind w:left="454"/>
              <w:jc w:val="both"/>
              <w:rPr>
                <w:rFonts w:eastAsia="Calibri"/>
                <w:sz w:val="16"/>
                <w:szCs w:val="16"/>
                <w:lang w:eastAsia="en-US"/>
              </w:rPr>
            </w:pPr>
            <w:r w:rsidRPr="00874532">
              <w:rPr>
                <w:rFonts w:eastAsia="Calibri"/>
                <w:sz w:val="16"/>
                <w:szCs w:val="16"/>
                <w:lang w:eastAsia="en-US"/>
              </w:rPr>
              <w:t>Adefas</w:t>
            </w:r>
          </w:p>
        </w:tc>
        <w:tc>
          <w:tcPr>
            <w:tcW w:w="1418" w:type="dxa"/>
            <w:tcBorders>
              <w:top w:val="nil"/>
              <w:left w:val="single" w:sz="4" w:space="0" w:color="auto"/>
              <w:bottom w:val="nil"/>
              <w:right w:val="single" w:sz="4" w:space="0" w:color="auto"/>
            </w:tcBorders>
          </w:tcPr>
          <w:p w14:paraId="66C30891"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16 254.6</w:t>
            </w:r>
          </w:p>
        </w:tc>
        <w:tc>
          <w:tcPr>
            <w:tcW w:w="1418" w:type="dxa"/>
            <w:tcBorders>
              <w:top w:val="nil"/>
              <w:left w:val="single" w:sz="4" w:space="0" w:color="auto"/>
              <w:bottom w:val="nil"/>
              <w:right w:val="single" w:sz="4" w:space="0" w:color="auto"/>
            </w:tcBorders>
          </w:tcPr>
          <w:p w14:paraId="632C849B" w14:textId="77777777" w:rsidR="00874532" w:rsidRPr="00874532" w:rsidRDefault="00874532" w:rsidP="00874532">
            <w:pPr>
              <w:ind w:right="227"/>
              <w:jc w:val="right"/>
              <w:rPr>
                <w:rFonts w:eastAsia="Calibri"/>
                <w:sz w:val="16"/>
                <w:szCs w:val="16"/>
                <w:lang w:eastAsia="en-US"/>
              </w:rPr>
            </w:pPr>
            <w:r w:rsidRPr="00874532">
              <w:rPr>
                <w:rFonts w:eastAsia="Calibri"/>
                <w:sz w:val="16"/>
                <w:szCs w:val="16"/>
                <w:lang w:eastAsia="en-US"/>
              </w:rPr>
              <w:t>32 172.4</w:t>
            </w:r>
          </w:p>
        </w:tc>
        <w:tc>
          <w:tcPr>
            <w:tcW w:w="851" w:type="dxa"/>
            <w:tcBorders>
              <w:top w:val="nil"/>
              <w:left w:val="single" w:sz="4" w:space="0" w:color="auto"/>
              <w:bottom w:val="nil"/>
              <w:right w:val="single" w:sz="4" w:space="0" w:color="auto"/>
            </w:tcBorders>
          </w:tcPr>
          <w:p w14:paraId="3DE817A9"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0.1</w:t>
            </w:r>
          </w:p>
        </w:tc>
        <w:tc>
          <w:tcPr>
            <w:tcW w:w="851" w:type="dxa"/>
            <w:tcBorders>
              <w:top w:val="nil"/>
              <w:left w:val="single" w:sz="4" w:space="0" w:color="auto"/>
              <w:bottom w:val="nil"/>
              <w:right w:val="single" w:sz="4" w:space="0" w:color="auto"/>
            </w:tcBorders>
          </w:tcPr>
          <w:p w14:paraId="0BE070B6"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0.2</w:t>
            </w:r>
          </w:p>
        </w:tc>
        <w:tc>
          <w:tcPr>
            <w:tcW w:w="851" w:type="dxa"/>
            <w:tcBorders>
              <w:top w:val="nil"/>
              <w:left w:val="single" w:sz="4" w:space="0" w:color="auto"/>
              <w:bottom w:val="nil"/>
              <w:right w:val="single" w:sz="4" w:space="0" w:color="auto"/>
            </w:tcBorders>
          </w:tcPr>
          <w:p w14:paraId="3C50A014" w14:textId="77777777" w:rsidR="00874532" w:rsidRPr="00874532" w:rsidRDefault="00874532" w:rsidP="00874532">
            <w:pPr>
              <w:ind w:right="170"/>
              <w:jc w:val="right"/>
              <w:rPr>
                <w:rFonts w:eastAsia="Calibri"/>
                <w:sz w:val="16"/>
                <w:szCs w:val="16"/>
                <w:lang w:eastAsia="en-US"/>
              </w:rPr>
            </w:pPr>
            <w:r w:rsidRPr="00874532">
              <w:rPr>
                <w:rFonts w:eastAsia="Calibri"/>
                <w:sz w:val="16"/>
                <w:szCs w:val="16"/>
                <w:lang w:eastAsia="en-US"/>
              </w:rPr>
              <w:t>91.2</w:t>
            </w:r>
          </w:p>
        </w:tc>
      </w:tr>
      <w:tr w:rsidR="00874532" w:rsidRPr="00874532" w14:paraId="446C3282" w14:textId="77777777" w:rsidTr="002B3A4F">
        <w:trPr>
          <w:jc w:val="center"/>
        </w:trPr>
        <w:tc>
          <w:tcPr>
            <w:tcW w:w="3402" w:type="dxa"/>
            <w:tcBorders>
              <w:top w:val="nil"/>
              <w:left w:val="single" w:sz="4" w:space="0" w:color="auto"/>
              <w:bottom w:val="single" w:sz="4" w:space="0" w:color="auto"/>
              <w:right w:val="single" w:sz="4" w:space="0" w:color="auto"/>
            </w:tcBorders>
          </w:tcPr>
          <w:p w14:paraId="09D8651B" w14:textId="77777777" w:rsidR="00874532" w:rsidRPr="00874532" w:rsidRDefault="00874532" w:rsidP="00874532">
            <w:pPr>
              <w:jc w:val="both"/>
              <w:rPr>
                <w:rFonts w:eastAsia="Calibri"/>
                <w:b/>
                <w:sz w:val="16"/>
                <w:szCs w:val="16"/>
                <w:lang w:eastAsia="en-US"/>
              </w:rPr>
            </w:pPr>
            <w:r w:rsidRPr="00874532">
              <w:rPr>
                <w:rFonts w:eastAsia="Calibri"/>
                <w:b/>
                <w:sz w:val="16"/>
                <w:szCs w:val="16"/>
                <w:lang w:eastAsia="en-US"/>
              </w:rPr>
              <w:t>Superávit económico primario</w:t>
            </w:r>
          </w:p>
        </w:tc>
        <w:tc>
          <w:tcPr>
            <w:tcW w:w="1418" w:type="dxa"/>
            <w:tcBorders>
              <w:top w:val="nil"/>
              <w:left w:val="single" w:sz="4" w:space="0" w:color="auto"/>
              <w:bottom w:val="single" w:sz="4" w:space="0" w:color="auto"/>
              <w:right w:val="single" w:sz="4" w:space="0" w:color="auto"/>
            </w:tcBorders>
          </w:tcPr>
          <w:p w14:paraId="4DAB81F8" w14:textId="77777777" w:rsidR="00874532" w:rsidRPr="00874532" w:rsidRDefault="00874532" w:rsidP="00874532">
            <w:pPr>
              <w:ind w:right="227"/>
              <w:jc w:val="right"/>
              <w:rPr>
                <w:rFonts w:eastAsia="Calibri"/>
                <w:b/>
                <w:sz w:val="16"/>
                <w:szCs w:val="16"/>
                <w:lang w:eastAsia="en-US"/>
              </w:rPr>
            </w:pPr>
            <w:r w:rsidRPr="00874532">
              <w:rPr>
                <w:rFonts w:eastAsia="Calibri"/>
                <w:b/>
                <w:sz w:val="16"/>
                <w:szCs w:val="16"/>
                <w:lang w:eastAsia="en-US"/>
              </w:rPr>
              <w:t>-239 532.8</w:t>
            </w:r>
          </w:p>
        </w:tc>
        <w:tc>
          <w:tcPr>
            <w:tcW w:w="1418" w:type="dxa"/>
            <w:tcBorders>
              <w:top w:val="nil"/>
              <w:left w:val="single" w:sz="4" w:space="0" w:color="auto"/>
              <w:bottom w:val="single" w:sz="4" w:space="0" w:color="auto"/>
              <w:right w:val="single" w:sz="4" w:space="0" w:color="auto"/>
            </w:tcBorders>
          </w:tcPr>
          <w:p w14:paraId="47A5D3AC" w14:textId="77777777" w:rsidR="00874532" w:rsidRPr="00874532" w:rsidRDefault="00874532" w:rsidP="00874532">
            <w:pPr>
              <w:ind w:right="227"/>
              <w:jc w:val="right"/>
              <w:rPr>
                <w:rFonts w:eastAsia="Calibri"/>
                <w:b/>
                <w:sz w:val="16"/>
                <w:szCs w:val="16"/>
                <w:lang w:eastAsia="en-US"/>
              </w:rPr>
            </w:pPr>
            <w:r w:rsidRPr="00874532">
              <w:rPr>
                <w:rFonts w:eastAsia="Calibri"/>
                <w:b/>
                <w:sz w:val="16"/>
                <w:szCs w:val="16"/>
                <w:lang w:eastAsia="en-US"/>
              </w:rPr>
              <w:t>-108 917.7</w:t>
            </w:r>
          </w:p>
        </w:tc>
        <w:tc>
          <w:tcPr>
            <w:tcW w:w="851" w:type="dxa"/>
            <w:tcBorders>
              <w:top w:val="nil"/>
              <w:left w:val="single" w:sz="4" w:space="0" w:color="auto"/>
              <w:bottom w:val="single" w:sz="4" w:space="0" w:color="auto"/>
              <w:right w:val="single" w:sz="4" w:space="0" w:color="auto"/>
            </w:tcBorders>
          </w:tcPr>
          <w:p w14:paraId="3FB63963" w14:textId="77777777" w:rsidR="00874532" w:rsidRPr="00874532" w:rsidRDefault="00874532" w:rsidP="00874532">
            <w:pPr>
              <w:ind w:right="170"/>
              <w:jc w:val="right"/>
              <w:rPr>
                <w:rFonts w:eastAsia="Calibri"/>
                <w:b/>
                <w:sz w:val="16"/>
                <w:szCs w:val="16"/>
                <w:lang w:eastAsia="en-US"/>
              </w:rPr>
            </w:pPr>
            <w:r w:rsidRPr="00874532">
              <w:rPr>
                <w:rFonts w:eastAsia="Calibri"/>
                <w:b/>
                <w:sz w:val="16"/>
                <w:szCs w:val="16"/>
                <w:lang w:eastAsia="en-US"/>
              </w:rPr>
              <w:t>-1.3</w:t>
            </w:r>
          </w:p>
        </w:tc>
        <w:tc>
          <w:tcPr>
            <w:tcW w:w="851" w:type="dxa"/>
            <w:tcBorders>
              <w:top w:val="nil"/>
              <w:left w:val="single" w:sz="4" w:space="0" w:color="auto"/>
              <w:bottom w:val="single" w:sz="4" w:space="0" w:color="auto"/>
              <w:right w:val="single" w:sz="4" w:space="0" w:color="auto"/>
            </w:tcBorders>
          </w:tcPr>
          <w:p w14:paraId="4CC464E1" w14:textId="77777777" w:rsidR="00874532" w:rsidRPr="00874532" w:rsidRDefault="00874532" w:rsidP="00874532">
            <w:pPr>
              <w:ind w:right="170"/>
              <w:jc w:val="right"/>
              <w:rPr>
                <w:rFonts w:eastAsia="Calibri"/>
                <w:b/>
                <w:sz w:val="16"/>
                <w:szCs w:val="16"/>
                <w:lang w:eastAsia="en-US"/>
              </w:rPr>
            </w:pPr>
            <w:r w:rsidRPr="00874532">
              <w:rPr>
                <w:rFonts w:eastAsia="Calibri"/>
                <w:b/>
                <w:sz w:val="16"/>
                <w:szCs w:val="16"/>
                <w:lang w:eastAsia="en-US"/>
              </w:rPr>
              <w:t>-0.6</w:t>
            </w:r>
          </w:p>
        </w:tc>
        <w:tc>
          <w:tcPr>
            <w:tcW w:w="851" w:type="dxa"/>
            <w:tcBorders>
              <w:top w:val="nil"/>
              <w:left w:val="single" w:sz="4" w:space="0" w:color="auto"/>
              <w:bottom w:val="single" w:sz="4" w:space="0" w:color="auto"/>
              <w:right w:val="single" w:sz="4" w:space="0" w:color="auto"/>
            </w:tcBorders>
          </w:tcPr>
          <w:p w14:paraId="255EE461" w14:textId="77777777" w:rsidR="00874532" w:rsidRPr="00874532" w:rsidRDefault="00874532" w:rsidP="00874532">
            <w:pPr>
              <w:ind w:right="170"/>
              <w:jc w:val="right"/>
              <w:rPr>
                <w:rFonts w:eastAsia="Calibri"/>
                <w:b/>
                <w:sz w:val="16"/>
                <w:szCs w:val="16"/>
                <w:lang w:eastAsia="en-US"/>
              </w:rPr>
            </w:pPr>
            <w:r w:rsidRPr="00874532">
              <w:rPr>
                <w:rFonts w:eastAsia="Calibri"/>
                <w:b/>
                <w:sz w:val="16"/>
                <w:szCs w:val="16"/>
                <w:lang w:eastAsia="en-US"/>
              </w:rPr>
              <w:t>-56.1</w:t>
            </w:r>
          </w:p>
        </w:tc>
      </w:tr>
      <w:tr w:rsidR="00874532" w:rsidRPr="00874532" w14:paraId="289A5440" w14:textId="77777777" w:rsidTr="002B3A4F">
        <w:trPr>
          <w:jc w:val="center"/>
        </w:trPr>
        <w:tc>
          <w:tcPr>
            <w:tcW w:w="8791" w:type="dxa"/>
            <w:gridSpan w:val="6"/>
            <w:tcBorders>
              <w:top w:val="single" w:sz="4" w:space="0" w:color="auto"/>
              <w:left w:val="nil"/>
              <w:bottom w:val="nil"/>
              <w:right w:val="nil"/>
            </w:tcBorders>
          </w:tcPr>
          <w:p w14:paraId="05DA73D5" w14:textId="77777777" w:rsidR="00874532" w:rsidRPr="00874532" w:rsidRDefault="00874532" w:rsidP="00874532">
            <w:pPr>
              <w:jc w:val="both"/>
              <w:rPr>
                <w:rFonts w:eastAsia="Calibri"/>
                <w:sz w:val="16"/>
                <w:szCs w:val="16"/>
                <w:lang w:eastAsia="en-US"/>
              </w:rPr>
            </w:pPr>
            <w:r w:rsidRPr="00874532">
              <w:rPr>
                <w:rFonts w:eastAsia="Calibri"/>
                <w:sz w:val="16"/>
                <w:szCs w:val="16"/>
                <w:lang w:eastAsia="en-US"/>
              </w:rPr>
              <w:t>FUENTE: SHCP.</w:t>
            </w:r>
          </w:p>
        </w:tc>
      </w:tr>
    </w:tbl>
    <w:p w14:paraId="439ED29F" w14:textId="77777777" w:rsidR="00874532" w:rsidRPr="00874532" w:rsidRDefault="00874532" w:rsidP="00874532">
      <w:pPr>
        <w:spacing w:after="360" w:line="360" w:lineRule="auto"/>
        <w:ind w:right="-159"/>
        <w:jc w:val="both"/>
        <w:rPr>
          <w:rFonts w:eastAsia="Calibri"/>
          <w:sz w:val="26"/>
          <w:szCs w:val="26"/>
          <w:lang w:eastAsia="en-US"/>
        </w:rPr>
      </w:pPr>
    </w:p>
    <w:p w14:paraId="3F030085" w14:textId="77777777" w:rsidR="00874532" w:rsidRPr="00874532" w:rsidRDefault="00874532" w:rsidP="00874532">
      <w:pPr>
        <w:ind w:right="-159"/>
        <w:jc w:val="both"/>
        <w:rPr>
          <w:rFonts w:eastAsia="Calibri"/>
          <w:b/>
          <w:sz w:val="20"/>
          <w:szCs w:val="20"/>
          <w:lang w:eastAsia="en-US"/>
        </w:rPr>
      </w:pPr>
      <w:r w:rsidRPr="00874532">
        <w:rPr>
          <w:rFonts w:eastAsia="Calibri"/>
          <w:b/>
          <w:sz w:val="20"/>
          <w:szCs w:val="20"/>
          <w:lang w:eastAsia="en-US"/>
        </w:rPr>
        <w:t>Fuente de información:</w:t>
      </w:r>
    </w:p>
    <w:p w14:paraId="7137B13A" w14:textId="77777777" w:rsidR="00874532" w:rsidRPr="00A303E8" w:rsidRDefault="003C2C71" w:rsidP="00A303E8">
      <w:pPr>
        <w:spacing w:after="720"/>
        <w:ind w:right="-159"/>
        <w:jc w:val="both"/>
        <w:rPr>
          <w:rFonts w:eastAsia="Calibri"/>
          <w:color w:val="0000FF"/>
          <w:sz w:val="20"/>
          <w:szCs w:val="20"/>
          <w:lang w:eastAsia="en-US"/>
        </w:rPr>
      </w:pPr>
      <w:hyperlink r:id="rId8" w:history="1">
        <w:r w:rsidR="00874532" w:rsidRPr="00A303E8">
          <w:rPr>
            <w:rFonts w:eastAsia="Calibri"/>
            <w:color w:val="0000FF"/>
            <w:sz w:val="20"/>
            <w:szCs w:val="20"/>
            <w:u w:val="single"/>
            <w:lang w:eastAsia="en-US"/>
          </w:rPr>
          <w:t>http://www.shcp.gob.mx/Biblioteca_noticias_home/comunicado_029_2015.pdf</w:t>
        </w:r>
      </w:hyperlink>
    </w:p>
    <w:p w14:paraId="35CE21C6" w14:textId="77777777" w:rsidR="00F37DD3" w:rsidRPr="00F37DD3" w:rsidRDefault="00F37DD3" w:rsidP="00F37DD3">
      <w:pPr>
        <w:spacing w:after="360" w:line="360" w:lineRule="auto"/>
        <w:ind w:right="-159"/>
        <w:jc w:val="both"/>
        <w:rPr>
          <w:rFonts w:eastAsia="Calibri"/>
          <w:b/>
          <w:sz w:val="26"/>
          <w:szCs w:val="26"/>
          <w:lang w:eastAsia="en-US"/>
        </w:rPr>
      </w:pPr>
      <w:r w:rsidRPr="00F37DD3">
        <w:rPr>
          <w:rFonts w:eastAsia="Calibri"/>
          <w:b/>
          <w:sz w:val="26"/>
          <w:szCs w:val="26"/>
          <w:lang w:eastAsia="en-US"/>
        </w:rPr>
        <w:t>Análisis Económico Ejecutivo (CEESP)</w:t>
      </w:r>
    </w:p>
    <w:p w14:paraId="3FF26B17"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El 13 de abril de 2015, el Centro de Estudios Económicos del Sector Privado A.C. (CEESP) dio a conocer su “Análisis Económico Ejecutivo”</w:t>
      </w:r>
      <w:r w:rsidRPr="00F37DD3">
        <w:rPr>
          <w:rFonts w:eastAsia="Calibri"/>
          <w:i/>
          <w:sz w:val="26"/>
          <w:szCs w:val="26"/>
          <w:lang w:val="es-ES" w:eastAsia="en-US"/>
        </w:rPr>
        <w:t>,</w:t>
      </w:r>
      <w:r w:rsidRPr="00F37DD3">
        <w:rPr>
          <w:rFonts w:eastAsia="Calibri"/>
          <w:sz w:val="26"/>
          <w:szCs w:val="26"/>
          <w:lang w:val="es-ES" w:eastAsia="en-US"/>
        </w:rPr>
        <w:t xml:space="preserve"> el cual se presenta a continuación.</w:t>
      </w:r>
    </w:p>
    <w:p w14:paraId="52033A1B" w14:textId="77777777" w:rsidR="00F37DD3" w:rsidRPr="00F37DD3" w:rsidRDefault="00F37DD3" w:rsidP="00F37DD3">
      <w:pPr>
        <w:spacing w:after="360" w:line="360" w:lineRule="auto"/>
        <w:ind w:right="-159"/>
        <w:jc w:val="both"/>
        <w:rPr>
          <w:rFonts w:eastAsia="Calibri"/>
          <w:b/>
          <w:sz w:val="26"/>
          <w:szCs w:val="26"/>
          <w:lang w:val="es-ES" w:eastAsia="en-US"/>
        </w:rPr>
      </w:pPr>
      <w:r w:rsidRPr="00F37DD3">
        <w:rPr>
          <w:rFonts w:eastAsia="Calibri"/>
          <w:b/>
          <w:sz w:val="26"/>
          <w:szCs w:val="26"/>
          <w:lang w:val="es-ES" w:eastAsia="en-US"/>
        </w:rPr>
        <w:t>Panorama General</w:t>
      </w:r>
    </w:p>
    <w:p w14:paraId="60D8F519" w14:textId="77777777" w:rsidR="00F37DD3" w:rsidRPr="00F37DD3" w:rsidRDefault="00F37DD3" w:rsidP="00F37DD3">
      <w:pPr>
        <w:spacing w:after="360" w:line="360" w:lineRule="auto"/>
        <w:ind w:right="-159"/>
        <w:jc w:val="both"/>
        <w:rPr>
          <w:rFonts w:eastAsia="Calibri"/>
          <w:b/>
          <w:sz w:val="26"/>
          <w:szCs w:val="26"/>
          <w:lang w:val="es-ES" w:eastAsia="en-US"/>
        </w:rPr>
      </w:pPr>
      <w:r w:rsidRPr="00F37DD3">
        <w:rPr>
          <w:rFonts w:eastAsia="Calibri"/>
          <w:b/>
          <w:sz w:val="26"/>
          <w:szCs w:val="26"/>
          <w:lang w:val="es-ES" w:eastAsia="en-US"/>
        </w:rPr>
        <w:t>Precriterios 2016</w:t>
      </w:r>
    </w:p>
    <w:p w14:paraId="7E3FB15F"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 xml:space="preserve">La presentación de los Precriterios 2016 propició en lo general, una opinión favorable en el actuar del Gobierno Federal en cuanto a su posición para fortalecer las finanzas del país, sobre todo en un entorno en el que los ingresos petroleros disminuyen </w:t>
      </w:r>
      <w:r w:rsidRPr="00F37DD3">
        <w:rPr>
          <w:rFonts w:eastAsia="Calibri"/>
          <w:sz w:val="26"/>
          <w:szCs w:val="26"/>
          <w:lang w:val="es-ES" w:eastAsia="en-US"/>
        </w:rPr>
        <w:lastRenderedPageBreak/>
        <w:t>drásticamente por el desplome de los precios internacionales del crudo y de la necesidad de hacer verdaderamente eficiente la asignación de los recursos mediante una estrategia de presupuesto “base cero”.</w:t>
      </w:r>
    </w:p>
    <w:p w14:paraId="6C847BED"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Por el lado de los ingresos, las autoridades anticipan que en 2016 estos serán 88 mil 686.4 millones de pesos inferiores a lo previsto en la</w:t>
      </w:r>
      <w:r w:rsidRPr="00F37DD3">
        <w:rPr>
          <w:rFonts w:ascii="Calibri" w:eastAsia="Calibri" w:hAnsi="Calibri"/>
          <w:sz w:val="22"/>
          <w:szCs w:val="22"/>
          <w:lang w:eastAsia="en-US"/>
        </w:rPr>
        <w:t xml:space="preserve"> </w:t>
      </w:r>
      <w:r w:rsidRPr="00F37DD3">
        <w:rPr>
          <w:rFonts w:eastAsia="Calibri"/>
          <w:sz w:val="26"/>
          <w:szCs w:val="26"/>
          <w:lang w:val="es-ES" w:eastAsia="en-US"/>
        </w:rPr>
        <w:t>Ley de Ingresos de la Federación (LIF) 2015, principalmente por la reducción de 287 mil 326.5 millones de pesos en los ingresos petroleros como consecuencia del efecto proveniente de la disminución en los precios internacionales del crudo. En el caso de los ingresos no petroleros se espera un aumento de 198 mil 640.1 millones de pesos, en especial por el alza de los ingresos tributarios, con lo que llegarían a representar el 11.5% del Producto Interno Bruto (PIB), el porcentaje históricamente más alto.</w:t>
      </w:r>
    </w:p>
    <w:p w14:paraId="31931B06" w14:textId="3BEA5A78"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Al ajustar las cifras del 2015, con el nuevo marco macroeconómico que considera un precio del barril de crudo de 50 dólares y un crecimiento puntual del Producto Interno Bruto (PIB) de 3.2%, que es el nivel más bajo del rango previsto por las autoridades hacendarias y utilizado para la estimación de las finanzas públicas, se observa que para el 2016 los ingresos presupuesta</w:t>
      </w:r>
      <w:r w:rsidR="00DE3D51">
        <w:rPr>
          <w:rFonts w:eastAsia="Calibri"/>
          <w:sz w:val="26"/>
          <w:szCs w:val="26"/>
          <w:lang w:val="es-ES" w:eastAsia="en-US"/>
        </w:rPr>
        <w:t>rios</w:t>
      </w:r>
      <w:r w:rsidRPr="00F37DD3">
        <w:rPr>
          <w:rFonts w:eastAsia="Calibri"/>
          <w:sz w:val="26"/>
          <w:szCs w:val="26"/>
          <w:lang w:val="es-ES" w:eastAsia="en-US"/>
        </w:rPr>
        <w:t xml:space="preserve"> tendrían un incremento de 45 mil 581.8 millones de pesos. Sin embargo, la falta de información puntual sobre el comportamiento de los diferentes rubros de ingresos, lleva a inferir que el aumento en los recursos del sector público será más por la ganancia proveniente del diferencial de precios de importación del combustible, que por otros impuestos como el Impuesto sobre la Renta (ISR) y el impuesto sobre el valor agregado (IVA), sobre todo cuando el mercado interno se mantiene débil y la inversión pública no da señales de incidir positivamente en el crecimiento económico.</w:t>
      </w:r>
    </w:p>
    <w:p w14:paraId="73808C9E"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 xml:space="preserve">En cuanto al gasto público, se prevé una disminución de 181 mil 11.3 millones de pesos si se compara con el aprobado en el Presupuesto de Egresos de la Federación (PEF) 2015 o de una reducción de 46 mil 743.2 millones de pesos si la comparación es con la </w:t>
      </w:r>
      <w:r w:rsidRPr="00F37DD3">
        <w:rPr>
          <w:rFonts w:eastAsia="Calibri"/>
          <w:sz w:val="26"/>
          <w:szCs w:val="26"/>
          <w:lang w:val="es-ES" w:eastAsia="en-US"/>
        </w:rPr>
        <w:lastRenderedPageBreak/>
        <w:t>cifra del gasto ajustado en 2015 con el recorte anunciado de 124 mil 300 millones de pesos.</w:t>
      </w:r>
    </w:p>
    <w:p w14:paraId="259F88A1"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En este caso, el gasto programable pagado tendría que ser 263 mil 723.4 millones de pesos menor al compararlo con la cifra aprobada para el 2015. No obstante, el efecto del recorte hará que la necesidad de ajuste de este rubro sea de 135 mil 111.5 millones de pesos, cerca de la mitad de lo que se habría requerido de no haber anunciado el ajuste precautorio a principios de este año, según lo comentado por las autoridades.</w:t>
      </w:r>
    </w:p>
    <w:tbl>
      <w:tblPr>
        <w:tblW w:w="0" w:type="auto"/>
        <w:jc w:val="center"/>
        <w:tblLook w:val="04A0" w:firstRow="1" w:lastRow="0" w:firstColumn="1" w:lastColumn="0" w:noHBand="0" w:noVBand="1"/>
      </w:tblPr>
      <w:tblGrid>
        <w:gridCol w:w="3828"/>
        <w:gridCol w:w="2410"/>
        <w:gridCol w:w="2268"/>
      </w:tblGrid>
      <w:tr w:rsidR="00F37DD3" w:rsidRPr="00F37DD3" w14:paraId="28A40BC7" w14:textId="77777777" w:rsidTr="00464B48">
        <w:trPr>
          <w:jc w:val="center"/>
        </w:trPr>
        <w:tc>
          <w:tcPr>
            <w:tcW w:w="8506" w:type="dxa"/>
            <w:gridSpan w:val="3"/>
            <w:tcBorders>
              <w:top w:val="nil"/>
              <w:left w:val="nil"/>
              <w:bottom w:val="single" w:sz="4" w:space="0" w:color="auto"/>
              <w:right w:val="nil"/>
            </w:tcBorders>
          </w:tcPr>
          <w:p w14:paraId="74494C72" w14:textId="77777777" w:rsidR="00F37DD3" w:rsidRPr="00F37DD3" w:rsidRDefault="00F37DD3" w:rsidP="00464B48">
            <w:pPr>
              <w:jc w:val="center"/>
              <w:rPr>
                <w:rFonts w:eastAsia="Calibri"/>
                <w:b/>
                <w:sz w:val="22"/>
                <w:szCs w:val="22"/>
                <w:lang w:eastAsia="en-US"/>
              </w:rPr>
            </w:pPr>
            <w:r w:rsidRPr="00F37DD3">
              <w:rPr>
                <w:rFonts w:eastAsia="Calibri"/>
                <w:b/>
                <w:sz w:val="22"/>
                <w:szCs w:val="22"/>
                <w:lang w:eastAsia="en-US"/>
              </w:rPr>
              <w:t>DISMINUCIÓN DEL DÉFICIT PRESUPUESTARIO EN 2016</w:t>
            </w:r>
          </w:p>
          <w:p w14:paraId="3B06A7F4" w14:textId="77777777" w:rsidR="00F37DD3" w:rsidRPr="00F37DD3" w:rsidRDefault="00F37DD3" w:rsidP="00464B48">
            <w:pPr>
              <w:jc w:val="center"/>
              <w:rPr>
                <w:rFonts w:eastAsia="Calibri"/>
                <w:b/>
                <w:sz w:val="22"/>
                <w:szCs w:val="22"/>
                <w:lang w:eastAsia="en-US"/>
              </w:rPr>
            </w:pPr>
            <w:r w:rsidRPr="00F37DD3">
              <w:rPr>
                <w:rFonts w:eastAsia="Calibri"/>
                <w:b/>
                <w:sz w:val="22"/>
                <w:szCs w:val="22"/>
                <w:lang w:eastAsia="en-US"/>
              </w:rPr>
              <w:t xml:space="preserve"> SIN CONSIDERAR LA INVERSIÓN DE ALTO IMPACTO </w:t>
            </w:r>
          </w:p>
          <w:p w14:paraId="0965FCE8" w14:textId="77777777" w:rsidR="00F37DD3" w:rsidRPr="00F37DD3" w:rsidRDefault="00F37DD3" w:rsidP="00464B48">
            <w:pPr>
              <w:jc w:val="center"/>
              <w:rPr>
                <w:rFonts w:eastAsia="Calibri"/>
                <w:b/>
                <w:sz w:val="22"/>
                <w:szCs w:val="22"/>
                <w:lang w:eastAsia="en-US"/>
              </w:rPr>
            </w:pPr>
            <w:r w:rsidRPr="00F37DD3">
              <w:rPr>
                <w:rFonts w:eastAsia="Calibri"/>
                <w:b/>
                <w:sz w:val="22"/>
                <w:szCs w:val="22"/>
                <w:lang w:eastAsia="en-US"/>
              </w:rPr>
              <w:t>-Millones de pesos de 2016-</w:t>
            </w:r>
          </w:p>
        </w:tc>
      </w:tr>
      <w:tr w:rsidR="00F37DD3" w:rsidRPr="00F37DD3" w14:paraId="1A387291" w14:textId="77777777" w:rsidTr="00464B48">
        <w:trPr>
          <w:jc w:val="center"/>
        </w:trPr>
        <w:tc>
          <w:tcPr>
            <w:tcW w:w="3828" w:type="dxa"/>
            <w:tcBorders>
              <w:top w:val="single" w:sz="4" w:space="0" w:color="auto"/>
              <w:left w:val="single" w:sz="4" w:space="0" w:color="auto"/>
              <w:bottom w:val="single" w:sz="4" w:space="0" w:color="auto"/>
              <w:right w:val="single" w:sz="4" w:space="0" w:color="auto"/>
            </w:tcBorders>
            <w:vAlign w:val="center"/>
          </w:tcPr>
          <w:p w14:paraId="38648D50" w14:textId="77777777" w:rsidR="00F37DD3" w:rsidRPr="00F37DD3" w:rsidRDefault="00F37DD3" w:rsidP="00464B48">
            <w:pPr>
              <w:jc w:val="both"/>
              <w:rPr>
                <w:rFonts w:eastAsia="Calibri"/>
                <w:sz w:val="18"/>
                <w:szCs w:val="18"/>
                <w:highlight w:val="yellow"/>
                <w:lang w:val="es-ES"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48DFC80"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Respecto a LIF y PEF 2015</w:t>
            </w:r>
          </w:p>
        </w:tc>
        <w:tc>
          <w:tcPr>
            <w:tcW w:w="2268" w:type="dxa"/>
            <w:tcBorders>
              <w:top w:val="single" w:sz="4" w:space="0" w:color="auto"/>
              <w:left w:val="single" w:sz="4" w:space="0" w:color="auto"/>
              <w:bottom w:val="single" w:sz="4" w:space="0" w:color="auto"/>
              <w:right w:val="single" w:sz="4" w:space="0" w:color="auto"/>
            </w:tcBorders>
            <w:vAlign w:val="center"/>
          </w:tcPr>
          <w:p w14:paraId="561C6416"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Respecto a 2015 Estimado</w:t>
            </w:r>
          </w:p>
        </w:tc>
      </w:tr>
      <w:tr w:rsidR="00F37DD3" w:rsidRPr="00F37DD3" w14:paraId="5BA2F4CD" w14:textId="77777777" w:rsidTr="00464B48">
        <w:trPr>
          <w:jc w:val="center"/>
        </w:trPr>
        <w:tc>
          <w:tcPr>
            <w:tcW w:w="3828" w:type="dxa"/>
            <w:tcBorders>
              <w:top w:val="single" w:sz="4" w:space="0" w:color="auto"/>
              <w:left w:val="single" w:sz="4" w:space="0" w:color="auto"/>
              <w:bottom w:val="nil"/>
              <w:right w:val="single" w:sz="4" w:space="0" w:color="auto"/>
            </w:tcBorders>
            <w:vAlign w:val="center"/>
          </w:tcPr>
          <w:p w14:paraId="028FDE99" w14:textId="77777777" w:rsidR="00F37DD3" w:rsidRPr="00F37DD3" w:rsidRDefault="00F37DD3" w:rsidP="00464B48">
            <w:pPr>
              <w:rPr>
                <w:rFonts w:eastAsia="Calibri"/>
                <w:b/>
                <w:sz w:val="18"/>
                <w:szCs w:val="18"/>
                <w:lang w:val="es-ES" w:eastAsia="en-US"/>
              </w:rPr>
            </w:pPr>
            <w:r w:rsidRPr="00F37DD3">
              <w:rPr>
                <w:rFonts w:eastAsia="Calibri"/>
                <w:b/>
                <w:sz w:val="18"/>
                <w:szCs w:val="18"/>
                <w:lang w:val="es-ES" w:eastAsia="en-US"/>
              </w:rPr>
              <w:t xml:space="preserve">Variación de los ingresos presupuestarios </w:t>
            </w:r>
          </w:p>
        </w:tc>
        <w:tc>
          <w:tcPr>
            <w:tcW w:w="2410" w:type="dxa"/>
            <w:tcBorders>
              <w:top w:val="single" w:sz="4" w:space="0" w:color="auto"/>
              <w:left w:val="single" w:sz="4" w:space="0" w:color="auto"/>
              <w:bottom w:val="nil"/>
              <w:right w:val="single" w:sz="4" w:space="0" w:color="auto"/>
            </w:tcBorders>
            <w:vAlign w:val="center"/>
          </w:tcPr>
          <w:p w14:paraId="645B56B7" w14:textId="77777777" w:rsidR="00F37DD3" w:rsidRPr="00F37DD3" w:rsidRDefault="00F37DD3" w:rsidP="00464B48">
            <w:pPr>
              <w:ind w:right="743"/>
              <w:jc w:val="right"/>
              <w:rPr>
                <w:rFonts w:eastAsia="Calibri"/>
                <w:b/>
                <w:sz w:val="18"/>
                <w:szCs w:val="18"/>
                <w:lang w:val="es-ES" w:eastAsia="en-US"/>
              </w:rPr>
            </w:pPr>
            <w:r w:rsidRPr="00F37DD3">
              <w:rPr>
                <w:rFonts w:eastAsia="Calibri"/>
                <w:b/>
                <w:sz w:val="18"/>
                <w:szCs w:val="18"/>
                <w:lang w:val="es-ES" w:eastAsia="en-US"/>
              </w:rPr>
              <w:t>-88 686.4</w:t>
            </w:r>
          </w:p>
        </w:tc>
        <w:tc>
          <w:tcPr>
            <w:tcW w:w="2268" w:type="dxa"/>
            <w:tcBorders>
              <w:top w:val="single" w:sz="4" w:space="0" w:color="auto"/>
              <w:left w:val="single" w:sz="4" w:space="0" w:color="auto"/>
              <w:bottom w:val="nil"/>
              <w:right w:val="single" w:sz="4" w:space="0" w:color="auto"/>
            </w:tcBorders>
            <w:vAlign w:val="center"/>
          </w:tcPr>
          <w:p w14:paraId="1F1AA119" w14:textId="77777777" w:rsidR="00F37DD3" w:rsidRPr="00F37DD3" w:rsidRDefault="00F37DD3" w:rsidP="00464B48">
            <w:pPr>
              <w:ind w:right="743"/>
              <w:jc w:val="right"/>
              <w:rPr>
                <w:rFonts w:eastAsia="Calibri"/>
                <w:b/>
                <w:sz w:val="18"/>
                <w:szCs w:val="18"/>
                <w:lang w:val="es-ES" w:eastAsia="en-US"/>
              </w:rPr>
            </w:pPr>
            <w:r w:rsidRPr="00F37DD3">
              <w:rPr>
                <w:rFonts w:eastAsia="Calibri"/>
                <w:b/>
                <w:sz w:val="18"/>
                <w:szCs w:val="18"/>
                <w:lang w:val="es-ES" w:eastAsia="en-US"/>
              </w:rPr>
              <w:t>45 581.8</w:t>
            </w:r>
          </w:p>
        </w:tc>
      </w:tr>
      <w:tr w:rsidR="00F37DD3" w:rsidRPr="00F37DD3" w14:paraId="70174F45" w14:textId="77777777" w:rsidTr="00464B48">
        <w:trPr>
          <w:jc w:val="center"/>
        </w:trPr>
        <w:tc>
          <w:tcPr>
            <w:tcW w:w="3828" w:type="dxa"/>
            <w:tcBorders>
              <w:top w:val="nil"/>
              <w:left w:val="single" w:sz="4" w:space="0" w:color="auto"/>
              <w:bottom w:val="nil"/>
              <w:right w:val="single" w:sz="4" w:space="0" w:color="auto"/>
            </w:tcBorders>
            <w:vAlign w:val="center"/>
          </w:tcPr>
          <w:p w14:paraId="15964992" w14:textId="77777777" w:rsidR="00F37DD3" w:rsidRPr="00F37DD3" w:rsidRDefault="00F37DD3" w:rsidP="00464B48">
            <w:pPr>
              <w:rPr>
                <w:rFonts w:eastAsia="Calibri"/>
                <w:sz w:val="18"/>
                <w:szCs w:val="18"/>
                <w:lang w:val="es-ES" w:eastAsia="en-US"/>
              </w:rPr>
            </w:pPr>
            <w:r w:rsidRPr="00F37DD3">
              <w:rPr>
                <w:rFonts w:eastAsia="Calibri"/>
                <w:sz w:val="18"/>
                <w:szCs w:val="18"/>
                <w:lang w:val="es-ES" w:eastAsia="en-US"/>
              </w:rPr>
              <w:t xml:space="preserve">  Ingresos petroleros</w:t>
            </w:r>
          </w:p>
        </w:tc>
        <w:tc>
          <w:tcPr>
            <w:tcW w:w="2410" w:type="dxa"/>
            <w:tcBorders>
              <w:top w:val="nil"/>
              <w:left w:val="single" w:sz="4" w:space="0" w:color="auto"/>
              <w:bottom w:val="nil"/>
              <w:right w:val="single" w:sz="4" w:space="0" w:color="auto"/>
            </w:tcBorders>
            <w:vAlign w:val="center"/>
          </w:tcPr>
          <w:p w14:paraId="41912B7F"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-287 326.5</w:t>
            </w:r>
          </w:p>
        </w:tc>
        <w:tc>
          <w:tcPr>
            <w:tcW w:w="2268" w:type="dxa"/>
            <w:tcBorders>
              <w:top w:val="nil"/>
              <w:left w:val="single" w:sz="4" w:space="0" w:color="auto"/>
              <w:bottom w:val="nil"/>
              <w:right w:val="single" w:sz="4" w:space="0" w:color="auto"/>
            </w:tcBorders>
            <w:vAlign w:val="center"/>
          </w:tcPr>
          <w:p w14:paraId="793E8F95"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-10 333.0</w:t>
            </w:r>
          </w:p>
        </w:tc>
      </w:tr>
      <w:tr w:rsidR="00F37DD3" w:rsidRPr="00F37DD3" w14:paraId="3E54A54D" w14:textId="77777777" w:rsidTr="00464B48">
        <w:trPr>
          <w:jc w:val="center"/>
        </w:trPr>
        <w:tc>
          <w:tcPr>
            <w:tcW w:w="3828" w:type="dxa"/>
            <w:tcBorders>
              <w:top w:val="nil"/>
              <w:left w:val="single" w:sz="4" w:space="0" w:color="auto"/>
              <w:bottom w:val="nil"/>
              <w:right w:val="single" w:sz="4" w:space="0" w:color="auto"/>
            </w:tcBorders>
            <w:vAlign w:val="center"/>
          </w:tcPr>
          <w:p w14:paraId="49490BEB" w14:textId="77777777" w:rsidR="00F37DD3" w:rsidRPr="00F37DD3" w:rsidRDefault="00F37DD3" w:rsidP="00464B48">
            <w:pPr>
              <w:rPr>
                <w:rFonts w:eastAsia="Calibri"/>
                <w:sz w:val="18"/>
                <w:szCs w:val="18"/>
                <w:lang w:val="es-ES" w:eastAsia="en-US"/>
              </w:rPr>
            </w:pPr>
            <w:r w:rsidRPr="00F37DD3">
              <w:rPr>
                <w:rFonts w:eastAsia="Calibri"/>
                <w:sz w:val="18"/>
                <w:szCs w:val="18"/>
                <w:lang w:val="es-ES" w:eastAsia="en-US"/>
              </w:rPr>
              <w:t xml:space="preserve">  Ingresos industriales no petroleros</w:t>
            </w:r>
          </w:p>
        </w:tc>
        <w:tc>
          <w:tcPr>
            <w:tcW w:w="2410" w:type="dxa"/>
            <w:tcBorders>
              <w:top w:val="nil"/>
              <w:left w:val="single" w:sz="4" w:space="0" w:color="auto"/>
              <w:bottom w:val="nil"/>
              <w:right w:val="single" w:sz="4" w:space="0" w:color="auto"/>
            </w:tcBorders>
            <w:vAlign w:val="center"/>
          </w:tcPr>
          <w:p w14:paraId="125B07F9"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208 577.8</w:t>
            </w:r>
          </w:p>
        </w:tc>
        <w:tc>
          <w:tcPr>
            <w:tcW w:w="2268" w:type="dxa"/>
            <w:tcBorders>
              <w:top w:val="nil"/>
              <w:left w:val="single" w:sz="4" w:space="0" w:color="auto"/>
              <w:bottom w:val="nil"/>
              <w:right w:val="single" w:sz="4" w:space="0" w:color="auto"/>
            </w:tcBorders>
            <w:vAlign w:val="center"/>
          </w:tcPr>
          <w:p w14:paraId="494D8784"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33 848.1</w:t>
            </w:r>
          </w:p>
        </w:tc>
      </w:tr>
      <w:tr w:rsidR="00F37DD3" w:rsidRPr="00F37DD3" w14:paraId="0506EC88" w14:textId="77777777" w:rsidTr="00464B48">
        <w:trPr>
          <w:jc w:val="center"/>
        </w:trPr>
        <w:tc>
          <w:tcPr>
            <w:tcW w:w="3828" w:type="dxa"/>
            <w:tcBorders>
              <w:top w:val="nil"/>
              <w:left w:val="single" w:sz="4" w:space="0" w:color="auto"/>
              <w:bottom w:val="nil"/>
              <w:right w:val="single" w:sz="4" w:space="0" w:color="auto"/>
            </w:tcBorders>
            <w:vAlign w:val="center"/>
          </w:tcPr>
          <w:p w14:paraId="5056465A" w14:textId="77777777" w:rsidR="00F37DD3" w:rsidRPr="00F37DD3" w:rsidRDefault="00F37DD3" w:rsidP="00464B48">
            <w:pPr>
              <w:rPr>
                <w:rFonts w:eastAsia="Calibri"/>
                <w:sz w:val="18"/>
                <w:szCs w:val="18"/>
                <w:lang w:val="es-ES" w:eastAsia="en-US"/>
              </w:rPr>
            </w:pPr>
            <w:r w:rsidRPr="00F37DD3">
              <w:rPr>
                <w:rFonts w:eastAsia="Calibri"/>
                <w:sz w:val="18"/>
                <w:szCs w:val="18"/>
                <w:lang w:val="es-ES" w:eastAsia="en-US"/>
              </w:rPr>
              <w:t xml:space="preserve">  Ingresos de org. y empresas distinta de Pemex</w:t>
            </w:r>
          </w:p>
        </w:tc>
        <w:tc>
          <w:tcPr>
            <w:tcW w:w="2410" w:type="dxa"/>
            <w:tcBorders>
              <w:top w:val="nil"/>
              <w:left w:val="single" w:sz="4" w:space="0" w:color="auto"/>
              <w:bottom w:val="nil"/>
              <w:right w:val="single" w:sz="4" w:space="0" w:color="auto"/>
            </w:tcBorders>
            <w:vAlign w:val="center"/>
          </w:tcPr>
          <w:p w14:paraId="18D5BA32"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-17 057.9</w:t>
            </w:r>
          </w:p>
        </w:tc>
        <w:tc>
          <w:tcPr>
            <w:tcW w:w="2268" w:type="dxa"/>
            <w:tcBorders>
              <w:top w:val="nil"/>
              <w:left w:val="single" w:sz="4" w:space="0" w:color="auto"/>
              <w:bottom w:val="nil"/>
              <w:right w:val="single" w:sz="4" w:space="0" w:color="auto"/>
            </w:tcBorders>
            <w:vAlign w:val="center"/>
          </w:tcPr>
          <w:p w14:paraId="5A54DF49"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14 938.8</w:t>
            </w:r>
          </w:p>
        </w:tc>
      </w:tr>
      <w:tr w:rsidR="00F37DD3" w:rsidRPr="00F37DD3" w14:paraId="3662D42E" w14:textId="77777777" w:rsidTr="00464B48">
        <w:trPr>
          <w:jc w:val="center"/>
        </w:trPr>
        <w:tc>
          <w:tcPr>
            <w:tcW w:w="3828" w:type="dxa"/>
            <w:tcBorders>
              <w:top w:val="nil"/>
              <w:left w:val="single" w:sz="4" w:space="0" w:color="auto"/>
              <w:bottom w:val="nil"/>
              <w:right w:val="single" w:sz="4" w:space="0" w:color="auto"/>
            </w:tcBorders>
            <w:vAlign w:val="center"/>
          </w:tcPr>
          <w:p w14:paraId="75ACDE4B" w14:textId="77777777" w:rsidR="00F37DD3" w:rsidRPr="00F37DD3" w:rsidRDefault="00F37DD3" w:rsidP="00464B48">
            <w:pPr>
              <w:rPr>
                <w:rFonts w:eastAsia="Calibri"/>
                <w:sz w:val="18"/>
                <w:szCs w:val="18"/>
                <w:lang w:val="es-ES" w:eastAsia="en-US"/>
              </w:rPr>
            </w:pPr>
            <w:r w:rsidRPr="00F37DD3">
              <w:rPr>
                <w:rFonts w:eastAsia="Calibri"/>
                <w:sz w:val="18"/>
                <w:szCs w:val="18"/>
                <w:lang w:val="es-ES" w:eastAsia="en-US"/>
              </w:rPr>
              <w:t xml:space="preserve">  Ingresos no tributarios</w:t>
            </w:r>
          </w:p>
        </w:tc>
        <w:tc>
          <w:tcPr>
            <w:tcW w:w="2410" w:type="dxa"/>
            <w:tcBorders>
              <w:top w:val="nil"/>
              <w:left w:val="single" w:sz="4" w:space="0" w:color="auto"/>
              <w:bottom w:val="nil"/>
              <w:right w:val="single" w:sz="4" w:space="0" w:color="auto"/>
            </w:tcBorders>
            <w:vAlign w:val="center"/>
          </w:tcPr>
          <w:p w14:paraId="03D8C8A1"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7 080.1</w:t>
            </w:r>
          </w:p>
        </w:tc>
        <w:tc>
          <w:tcPr>
            <w:tcW w:w="2268" w:type="dxa"/>
            <w:tcBorders>
              <w:top w:val="nil"/>
              <w:left w:val="single" w:sz="4" w:space="0" w:color="auto"/>
              <w:bottom w:val="nil"/>
              <w:right w:val="single" w:sz="4" w:space="0" w:color="auto"/>
            </w:tcBorders>
            <w:vAlign w:val="center"/>
          </w:tcPr>
          <w:p w14:paraId="2E9572D3"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7 080.1</w:t>
            </w:r>
          </w:p>
        </w:tc>
      </w:tr>
      <w:tr w:rsidR="00F37DD3" w:rsidRPr="00F37DD3" w14:paraId="3CEF3A16" w14:textId="77777777" w:rsidTr="00464B48">
        <w:trPr>
          <w:jc w:val="center"/>
        </w:trPr>
        <w:tc>
          <w:tcPr>
            <w:tcW w:w="3828" w:type="dxa"/>
            <w:tcBorders>
              <w:top w:val="nil"/>
              <w:left w:val="single" w:sz="4" w:space="0" w:color="auto"/>
              <w:bottom w:val="nil"/>
              <w:right w:val="single" w:sz="4" w:space="0" w:color="auto"/>
            </w:tcBorders>
            <w:vAlign w:val="center"/>
          </w:tcPr>
          <w:p w14:paraId="0872C626" w14:textId="77777777" w:rsidR="00F37DD3" w:rsidRPr="00F37DD3" w:rsidRDefault="00F37DD3" w:rsidP="00464B48">
            <w:pPr>
              <w:rPr>
                <w:rFonts w:eastAsia="Calibri"/>
                <w:b/>
                <w:sz w:val="18"/>
                <w:szCs w:val="18"/>
                <w:lang w:val="es-ES" w:eastAsia="en-US"/>
              </w:rPr>
            </w:pPr>
            <w:r w:rsidRPr="00F37DD3">
              <w:rPr>
                <w:rFonts w:eastAsia="Calibri"/>
                <w:b/>
                <w:sz w:val="18"/>
                <w:szCs w:val="18"/>
                <w:lang w:val="es-ES" w:eastAsia="en-US"/>
              </w:rPr>
              <w:t>Variación del gasto neto total pagado</w:t>
            </w:r>
          </w:p>
        </w:tc>
        <w:tc>
          <w:tcPr>
            <w:tcW w:w="2410" w:type="dxa"/>
            <w:tcBorders>
              <w:top w:val="nil"/>
              <w:left w:val="single" w:sz="4" w:space="0" w:color="auto"/>
              <w:bottom w:val="nil"/>
              <w:right w:val="single" w:sz="4" w:space="0" w:color="auto"/>
            </w:tcBorders>
            <w:vAlign w:val="center"/>
          </w:tcPr>
          <w:p w14:paraId="362866B0" w14:textId="77777777" w:rsidR="00F37DD3" w:rsidRPr="00F37DD3" w:rsidRDefault="00F37DD3" w:rsidP="00464B48">
            <w:pPr>
              <w:ind w:right="743"/>
              <w:jc w:val="right"/>
              <w:rPr>
                <w:rFonts w:eastAsia="Calibri"/>
                <w:b/>
                <w:sz w:val="18"/>
                <w:szCs w:val="18"/>
                <w:lang w:val="es-ES" w:eastAsia="en-US"/>
              </w:rPr>
            </w:pPr>
            <w:r w:rsidRPr="00F37DD3">
              <w:rPr>
                <w:rFonts w:eastAsia="Calibri"/>
                <w:b/>
                <w:sz w:val="18"/>
                <w:szCs w:val="18"/>
                <w:lang w:val="es-ES" w:eastAsia="en-US"/>
              </w:rPr>
              <w:t>-181 011.3</w:t>
            </w:r>
          </w:p>
        </w:tc>
        <w:tc>
          <w:tcPr>
            <w:tcW w:w="2268" w:type="dxa"/>
            <w:tcBorders>
              <w:top w:val="nil"/>
              <w:left w:val="single" w:sz="4" w:space="0" w:color="auto"/>
              <w:bottom w:val="nil"/>
              <w:right w:val="single" w:sz="4" w:space="0" w:color="auto"/>
            </w:tcBorders>
            <w:vAlign w:val="center"/>
          </w:tcPr>
          <w:p w14:paraId="46F84155" w14:textId="77777777" w:rsidR="00F37DD3" w:rsidRPr="00F37DD3" w:rsidRDefault="00F37DD3" w:rsidP="00464B48">
            <w:pPr>
              <w:ind w:right="743"/>
              <w:jc w:val="right"/>
              <w:rPr>
                <w:rFonts w:eastAsia="Calibri"/>
                <w:b/>
                <w:sz w:val="18"/>
                <w:szCs w:val="18"/>
                <w:lang w:val="es-ES" w:eastAsia="en-US"/>
              </w:rPr>
            </w:pPr>
            <w:r w:rsidRPr="00F37DD3">
              <w:rPr>
                <w:rFonts w:eastAsia="Calibri"/>
                <w:b/>
                <w:sz w:val="18"/>
                <w:szCs w:val="18"/>
                <w:lang w:val="es-ES" w:eastAsia="en-US"/>
              </w:rPr>
              <w:t>-46 743.2</w:t>
            </w:r>
          </w:p>
        </w:tc>
      </w:tr>
      <w:tr w:rsidR="00F37DD3" w:rsidRPr="00F37DD3" w14:paraId="63D41248" w14:textId="77777777" w:rsidTr="00464B48">
        <w:trPr>
          <w:jc w:val="center"/>
        </w:trPr>
        <w:tc>
          <w:tcPr>
            <w:tcW w:w="3828" w:type="dxa"/>
            <w:tcBorders>
              <w:top w:val="nil"/>
              <w:left w:val="single" w:sz="4" w:space="0" w:color="auto"/>
              <w:bottom w:val="nil"/>
              <w:right w:val="single" w:sz="4" w:space="0" w:color="auto"/>
            </w:tcBorders>
            <w:vAlign w:val="center"/>
          </w:tcPr>
          <w:p w14:paraId="40944086" w14:textId="77777777" w:rsidR="00F37DD3" w:rsidRPr="00F37DD3" w:rsidRDefault="00F37DD3" w:rsidP="00464B48">
            <w:pPr>
              <w:rPr>
                <w:rFonts w:eastAsia="Calibri"/>
                <w:sz w:val="18"/>
                <w:szCs w:val="18"/>
                <w:lang w:val="es-ES" w:eastAsia="en-US"/>
              </w:rPr>
            </w:pPr>
            <w:r w:rsidRPr="00F37DD3">
              <w:rPr>
                <w:rFonts w:eastAsia="Calibri"/>
                <w:sz w:val="18"/>
                <w:szCs w:val="18"/>
                <w:lang w:val="es-ES" w:eastAsia="en-US"/>
              </w:rPr>
              <w:t xml:space="preserve">  Gasto programable pagado</w:t>
            </w:r>
          </w:p>
        </w:tc>
        <w:tc>
          <w:tcPr>
            <w:tcW w:w="2410" w:type="dxa"/>
            <w:tcBorders>
              <w:top w:val="nil"/>
              <w:left w:val="single" w:sz="4" w:space="0" w:color="auto"/>
              <w:bottom w:val="nil"/>
              <w:right w:val="single" w:sz="4" w:space="0" w:color="auto"/>
            </w:tcBorders>
            <w:vAlign w:val="center"/>
          </w:tcPr>
          <w:p w14:paraId="127C290D"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-283 723.4</w:t>
            </w:r>
          </w:p>
        </w:tc>
        <w:tc>
          <w:tcPr>
            <w:tcW w:w="2268" w:type="dxa"/>
            <w:tcBorders>
              <w:top w:val="nil"/>
              <w:left w:val="single" w:sz="4" w:space="0" w:color="auto"/>
              <w:bottom w:val="nil"/>
              <w:right w:val="single" w:sz="4" w:space="0" w:color="auto"/>
            </w:tcBorders>
            <w:vAlign w:val="center"/>
          </w:tcPr>
          <w:p w14:paraId="403F9F6E"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-135 111.5</w:t>
            </w:r>
          </w:p>
        </w:tc>
      </w:tr>
      <w:tr w:rsidR="00F37DD3" w:rsidRPr="00F37DD3" w14:paraId="6DEDD7F5" w14:textId="77777777" w:rsidTr="00464B48">
        <w:trPr>
          <w:jc w:val="center"/>
        </w:trPr>
        <w:tc>
          <w:tcPr>
            <w:tcW w:w="3828" w:type="dxa"/>
            <w:tcBorders>
              <w:top w:val="nil"/>
              <w:left w:val="single" w:sz="4" w:space="0" w:color="auto"/>
              <w:bottom w:val="nil"/>
              <w:right w:val="single" w:sz="4" w:space="0" w:color="auto"/>
            </w:tcBorders>
            <w:vAlign w:val="center"/>
          </w:tcPr>
          <w:p w14:paraId="59CE2D65" w14:textId="77777777" w:rsidR="00F37DD3" w:rsidRPr="00F37DD3" w:rsidRDefault="00F37DD3" w:rsidP="00464B48">
            <w:pPr>
              <w:rPr>
                <w:rFonts w:eastAsia="Calibri"/>
                <w:sz w:val="18"/>
                <w:szCs w:val="18"/>
                <w:lang w:val="es-ES" w:eastAsia="en-US"/>
              </w:rPr>
            </w:pPr>
            <w:r w:rsidRPr="00F37DD3">
              <w:rPr>
                <w:rFonts w:eastAsia="Calibri"/>
                <w:sz w:val="18"/>
                <w:szCs w:val="18"/>
                <w:lang w:val="es-ES" w:eastAsia="en-US"/>
              </w:rPr>
              <w:t xml:space="preserve">  Gasto no programable</w:t>
            </w:r>
          </w:p>
        </w:tc>
        <w:tc>
          <w:tcPr>
            <w:tcW w:w="2410" w:type="dxa"/>
            <w:tcBorders>
              <w:top w:val="nil"/>
              <w:left w:val="single" w:sz="4" w:space="0" w:color="auto"/>
              <w:bottom w:val="nil"/>
              <w:right w:val="single" w:sz="4" w:space="0" w:color="auto"/>
            </w:tcBorders>
            <w:vAlign w:val="center"/>
          </w:tcPr>
          <w:p w14:paraId="55B06258"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82 712.1</w:t>
            </w:r>
          </w:p>
        </w:tc>
        <w:tc>
          <w:tcPr>
            <w:tcW w:w="2268" w:type="dxa"/>
            <w:tcBorders>
              <w:top w:val="nil"/>
              <w:left w:val="single" w:sz="4" w:space="0" w:color="auto"/>
              <w:bottom w:val="nil"/>
              <w:right w:val="single" w:sz="4" w:space="0" w:color="auto"/>
            </w:tcBorders>
            <w:vAlign w:val="center"/>
          </w:tcPr>
          <w:p w14:paraId="6AB99DF6" w14:textId="77777777" w:rsidR="00F37DD3" w:rsidRPr="00F37DD3" w:rsidRDefault="00F37DD3" w:rsidP="00464B48">
            <w:pPr>
              <w:ind w:right="743"/>
              <w:jc w:val="right"/>
              <w:rPr>
                <w:rFonts w:eastAsia="Calibri"/>
                <w:sz w:val="18"/>
                <w:szCs w:val="18"/>
                <w:lang w:val="es-ES" w:eastAsia="en-US"/>
              </w:rPr>
            </w:pPr>
            <w:r w:rsidRPr="00F37DD3">
              <w:rPr>
                <w:rFonts w:eastAsia="Calibri"/>
                <w:sz w:val="18"/>
                <w:szCs w:val="18"/>
                <w:lang w:val="es-ES" w:eastAsia="en-US"/>
              </w:rPr>
              <w:t>88 388.3</w:t>
            </w:r>
          </w:p>
        </w:tc>
      </w:tr>
      <w:tr w:rsidR="00F37DD3" w:rsidRPr="00F37DD3" w14:paraId="4454A6D4" w14:textId="77777777" w:rsidTr="00464B48">
        <w:trPr>
          <w:jc w:val="center"/>
        </w:trPr>
        <w:tc>
          <w:tcPr>
            <w:tcW w:w="3828" w:type="dxa"/>
            <w:tcBorders>
              <w:top w:val="nil"/>
              <w:left w:val="single" w:sz="4" w:space="0" w:color="auto"/>
              <w:bottom w:val="single" w:sz="4" w:space="0" w:color="auto"/>
              <w:right w:val="single" w:sz="4" w:space="0" w:color="auto"/>
            </w:tcBorders>
            <w:vAlign w:val="center"/>
          </w:tcPr>
          <w:p w14:paraId="5882B9EE" w14:textId="77777777" w:rsidR="00F37DD3" w:rsidRPr="00F37DD3" w:rsidRDefault="00F37DD3" w:rsidP="00464B48">
            <w:pPr>
              <w:rPr>
                <w:rFonts w:eastAsia="Calibri"/>
                <w:b/>
                <w:sz w:val="18"/>
                <w:szCs w:val="18"/>
                <w:lang w:val="es-ES" w:eastAsia="en-US"/>
              </w:rPr>
            </w:pPr>
            <w:r w:rsidRPr="00F37DD3">
              <w:rPr>
                <w:rFonts w:eastAsia="Calibri"/>
                <w:b/>
                <w:sz w:val="18"/>
                <w:szCs w:val="18"/>
                <w:lang w:val="es-ES" w:eastAsia="en-US"/>
              </w:rPr>
              <w:t>Reducción del déficit presupuestario 2016</w:t>
            </w:r>
          </w:p>
        </w:tc>
        <w:tc>
          <w:tcPr>
            <w:tcW w:w="2410" w:type="dxa"/>
            <w:tcBorders>
              <w:top w:val="nil"/>
              <w:left w:val="single" w:sz="4" w:space="0" w:color="auto"/>
              <w:bottom w:val="single" w:sz="4" w:space="0" w:color="auto"/>
              <w:right w:val="single" w:sz="4" w:space="0" w:color="auto"/>
            </w:tcBorders>
            <w:vAlign w:val="center"/>
          </w:tcPr>
          <w:p w14:paraId="2A23B6E7" w14:textId="77777777" w:rsidR="00F37DD3" w:rsidRPr="00F37DD3" w:rsidRDefault="00F37DD3" w:rsidP="00464B48">
            <w:pPr>
              <w:ind w:right="743"/>
              <w:jc w:val="right"/>
              <w:rPr>
                <w:rFonts w:eastAsia="Calibri"/>
                <w:b/>
                <w:sz w:val="18"/>
                <w:szCs w:val="18"/>
                <w:lang w:val="es-ES" w:eastAsia="en-US"/>
              </w:rPr>
            </w:pPr>
            <w:r w:rsidRPr="00F37DD3">
              <w:rPr>
                <w:rFonts w:eastAsia="Calibri"/>
                <w:b/>
                <w:sz w:val="18"/>
                <w:szCs w:val="18"/>
                <w:lang w:val="es-ES" w:eastAsia="en-US"/>
              </w:rPr>
              <w:t>92 325.0</w:t>
            </w:r>
          </w:p>
        </w:tc>
        <w:tc>
          <w:tcPr>
            <w:tcW w:w="2268" w:type="dxa"/>
            <w:tcBorders>
              <w:top w:val="nil"/>
              <w:left w:val="single" w:sz="4" w:space="0" w:color="auto"/>
              <w:bottom w:val="single" w:sz="4" w:space="0" w:color="auto"/>
              <w:right w:val="single" w:sz="4" w:space="0" w:color="auto"/>
            </w:tcBorders>
            <w:vAlign w:val="center"/>
          </w:tcPr>
          <w:p w14:paraId="372C94C9" w14:textId="77777777" w:rsidR="00F37DD3" w:rsidRPr="00F37DD3" w:rsidRDefault="00F37DD3" w:rsidP="00464B48">
            <w:pPr>
              <w:ind w:right="743"/>
              <w:jc w:val="right"/>
              <w:rPr>
                <w:rFonts w:eastAsia="Calibri"/>
                <w:b/>
                <w:sz w:val="18"/>
                <w:szCs w:val="18"/>
                <w:lang w:val="es-ES" w:eastAsia="en-US"/>
              </w:rPr>
            </w:pPr>
            <w:r w:rsidRPr="00F37DD3">
              <w:rPr>
                <w:rFonts w:eastAsia="Calibri"/>
                <w:b/>
                <w:sz w:val="18"/>
                <w:szCs w:val="18"/>
                <w:lang w:val="es-ES" w:eastAsia="en-US"/>
              </w:rPr>
              <w:t>92 325.0</w:t>
            </w:r>
          </w:p>
        </w:tc>
      </w:tr>
      <w:tr w:rsidR="00F37DD3" w:rsidRPr="00F37DD3" w14:paraId="1B11A5C1" w14:textId="77777777" w:rsidTr="00786917">
        <w:trPr>
          <w:jc w:val="center"/>
        </w:trPr>
        <w:tc>
          <w:tcPr>
            <w:tcW w:w="8506" w:type="dxa"/>
            <w:gridSpan w:val="3"/>
            <w:tcBorders>
              <w:top w:val="single" w:sz="4" w:space="0" w:color="auto"/>
              <w:left w:val="nil"/>
              <w:bottom w:val="nil"/>
              <w:right w:val="nil"/>
            </w:tcBorders>
            <w:vAlign w:val="center"/>
          </w:tcPr>
          <w:p w14:paraId="7E90FB9D" w14:textId="77777777" w:rsidR="00F37DD3" w:rsidRPr="00F37DD3" w:rsidRDefault="00F37DD3" w:rsidP="00464B48">
            <w:pPr>
              <w:ind w:hanging="914"/>
              <w:jc w:val="both"/>
              <w:rPr>
                <w:rFonts w:eastAsia="Calibri"/>
                <w:sz w:val="20"/>
                <w:szCs w:val="20"/>
                <w:lang w:val="es-ES" w:eastAsia="en-US"/>
              </w:rPr>
            </w:pPr>
            <w:r w:rsidRPr="00F37DD3">
              <w:rPr>
                <w:rFonts w:eastAsia="Calibri"/>
                <w:sz w:val="20"/>
                <w:szCs w:val="20"/>
                <w:lang w:val="es-ES" w:eastAsia="en-US"/>
              </w:rPr>
              <w:t>FUENTE: Elaborado por el CEESP con datos de la Ley de Ingresos de la Federación (LIF) y el Presupuesto de Egresos de la Federación (PEF).</w:t>
            </w:r>
          </w:p>
        </w:tc>
      </w:tr>
    </w:tbl>
    <w:p w14:paraId="0F10B05D" w14:textId="77777777" w:rsidR="00F37DD3" w:rsidRPr="00F37DD3" w:rsidRDefault="00F37DD3" w:rsidP="00F37DD3">
      <w:pPr>
        <w:spacing w:after="360" w:line="360" w:lineRule="auto"/>
        <w:ind w:right="-159"/>
        <w:jc w:val="both"/>
        <w:rPr>
          <w:rFonts w:eastAsia="Calibri"/>
          <w:sz w:val="26"/>
          <w:szCs w:val="26"/>
          <w:highlight w:val="green"/>
          <w:lang w:val="es-ES" w:eastAsia="en-US"/>
        </w:rPr>
      </w:pPr>
    </w:p>
    <w:p w14:paraId="0E4A8BB2"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Es importante señalar que para el cálculo de las finanzas públicas del 2016 se utilizó una estimación puntual de crecimiento del PIB de 3.8%, dentro del rango de 3.3 a 4.3% propuesto en el marco macroeconómico, así como de un precio de 55 dólares por barril de crudo de exportación.</w:t>
      </w:r>
    </w:p>
    <w:p w14:paraId="5CDDF012"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Es evidente que en este contexto la evolución de los ingresos totales no será suficiente para compensar los efectos que se prevén por concepto de los bajos ingresos petroleros y de la necesidad de reducir el endeudamiento del sector público, por lo que será a través de la revisión del gasto público como se podría compensar los faltantes.</w:t>
      </w:r>
    </w:p>
    <w:p w14:paraId="494FDC86"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lastRenderedPageBreak/>
        <w:t>La responsabilidad de una revisión de todos aquellos programas que no reflejen una probada rentabilidad social y económica es fundamental si lo que se quiere es lograr un presupuesto “base cero”.</w:t>
      </w:r>
    </w:p>
    <w:tbl>
      <w:tblPr>
        <w:tblW w:w="9209" w:type="dxa"/>
        <w:tblLook w:val="04A0" w:firstRow="1" w:lastRow="0" w:firstColumn="1" w:lastColumn="0" w:noHBand="0" w:noVBand="1"/>
      </w:tblPr>
      <w:tblGrid>
        <w:gridCol w:w="9209"/>
      </w:tblGrid>
      <w:tr w:rsidR="00F37DD3" w:rsidRPr="00F37DD3" w14:paraId="00E18522" w14:textId="77777777" w:rsidTr="00786917">
        <w:tc>
          <w:tcPr>
            <w:tcW w:w="9209" w:type="dxa"/>
          </w:tcPr>
          <w:p w14:paraId="17CBCF6F" w14:textId="3B5F21A8" w:rsidR="00F37DD3" w:rsidRPr="00F37DD3" w:rsidRDefault="00F37DD3" w:rsidP="00DE3D51">
            <w:pPr>
              <w:jc w:val="center"/>
              <w:rPr>
                <w:rFonts w:eastAsia="Calibri"/>
                <w:b/>
                <w:sz w:val="22"/>
                <w:szCs w:val="26"/>
                <w:lang w:val="es-ES" w:eastAsia="en-US"/>
              </w:rPr>
            </w:pPr>
            <w:r w:rsidRPr="00F37DD3">
              <w:rPr>
                <w:rFonts w:eastAsia="Calibri"/>
                <w:b/>
                <w:sz w:val="22"/>
                <w:szCs w:val="26"/>
                <w:lang w:val="es-ES" w:eastAsia="en-US"/>
              </w:rPr>
              <w:t xml:space="preserve">POSICIONES EN </w:t>
            </w:r>
            <w:r w:rsidR="00DE3D51">
              <w:rPr>
                <w:rFonts w:eastAsia="Calibri"/>
                <w:b/>
                <w:sz w:val="22"/>
                <w:szCs w:val="26"/>
                <w:lang w:val="es-ES" w:eastAsia="en-US"/>
              </w:rPr>
              <w:t>E</w:t>
            </w:r>
            <w:r w:rsidRPr="00F37DD3">
              <w:rPr>
                <w:rFonts w:eastAsia="Calibri"/>
                <w:b/>
                <w:sz w:val="22"/>
                <w:szCs w:val="26"/>
                <w:lang w:val="es-ES" w:eastAsia="en-US"/>
              </w:rPr>
              <w:t>L SUB PILAR DESPILFARRO DEL GASTO PÚBLICO, SEGÚN REPORTE DE COMPETITIVIDAD GLOBAL DEL FORO ECONÓMICO MUNDIAL</w:t>
            </w:r>
          </w:p>
        </w:tc>
      </w:tr>
      <w:tr w:rsidR="00F37DD3" w:rsidRPr="00F37DD3" w14:paraId="7F610A30" w14:textId="77777777" w:rsidTr="00786917">
        <w:tc>
          <w:tcPr>
            <w:tcW w:w="9209" w:type="dxa"/>
          </w:tcPr>
          <w:p w14:paraId="66BD187B" w14:textId="77777777" w:rsidR="00F37DD3" w:rsidRPr="00F37DD3" w:rsidRDefault="00F37DD3" w:rsidP="00464B48">
            <w:pPr>
              <w:jc w:val="center"/>
              <w:rPr>
                <w:rFonts w:eastAsia="Calibri"/>
                <w:sz w:val="22"/>
                <w:szCs w:val="26"/>
                <w:lang w:val="es-ES" w:eastAsia="en-US"/>
              </w:rPr>
            </w:pPr>
            <w:r w:rsidRPr="00F37DD3">
              <w:rPr>
                <w:rFonts w:eastAsia="Calibri"/>
                <w:noProof/>
                <w:sz w:val="22"/>
                <w:szCs w:val="26"/>
                <w:lang w:eastAsia="es-MX"/>
              </w:rPr>
              <w:drawing>
                <wp:inline distT="0" distB="0" distL="0" distR="0" wp14:anchorId="6CBA0E8C" wp14:editId="38CD090C">
                  <wp:extent cx="4681580" cy="3060000"/>
                  <wp:effectExtent l="0" t="0" r="0" b="7620"/>
                  <wp:docPr id="1531" name="Imagen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951"/>
                          <a:stretch/>
                        </pic:blipFill>
                        <pic:spPr bwMode="auto">
                          <a:xfrm>
                            <a:off x="0" y="0"/>
                            <a:ext cx="4681580"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7DD3" w:rsidRPr="00F37DD3" w14:paraId="0B8E0C32" w14:textId="77777777" w:rsidTr="00786917">
        <w:tc>
          <w:tcPr>
            <w:tcW w:w="9209" w:type="dxa"/>
          </w:tcPr>
          <w:p w14:paraId="48D0C122" w14:textId="77777777" w:rsidR="00F37DD3" w:rsidRPr="00F37DD3" w:rsidRDefault="00F37DD3" w:rsidP="00464B48">
            <w:pPr>
              <w:ind w:firstLine="880"/>
              <w:jc w:val="both"/>
              <w:rPr>
                <w:rFonts w:eastAsia="Calibri"/>
                <w:sz w:val="20"/>
                <w:szCs w:val="26"/>
                <w:lang w:val="es-ES" w:eastAsia="en-US"/>
              </w:rPr>
            </w:pPr>
            <w:r w:rsidRPr="00F37DD3">
              <w:rPr>
                <w:rFonts w:eastAsia="Calibri"/>
                <w:sz w:val="20"/>
                <w:szCs w:val="20"/>
                <w:lang w:val="es-ES" w:eastAsia="en-US"/>
              </w:rPr>
              <w:t>FUENTE: Elaborado por el CEESP.</w:t>
            </w:r>
          </w:p>
        </w:tc>
      </w:tr>
    </w:tbl>
    <w:p w14:paraId="6376A1A5" w14:textId="77777777" w:rsidR="00F37DD3" w:rsidRPr="00F37DD3" w:rsidRDefault="00F37DD3" w:rsidP="00F37DD3">
      <w:pPr>
        <w:spacing w:after="360" w:line="360" w:lineRule="auto"/>
        <w:ind w:right="-159"/>
        <w:jc w:val="both"/>
        <w:rPr>
          <w:rFonts w:eastAsia="Calibri"/>
          <w:sz w:val="26"/>
          <w:szCs w:val="26"/>
          <w:lang w:val="es-ES" w:eastAsia="en-US"/>
        </w:rPr>
      </w:pPr>
    </w:p>
    <w:p w14:paraId="59241BB8" w14:textId="77777777" w:rsid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La revisión del gasto programable, donde se centrará el trabajo de identificar todos aquellos programas que sean lo suficientemente eficientes para contribuir al crecimiento del país y bienestar de la población, deberá hacerse con tal meticulosidad que redunde en la posibilidad de lograr una disminución del déficit y de los niveles de deuda en el mediano y largo plazos. El despilfarro de recursos es tal que la asignación del gasto no se refleja ni en un estímulo para la actividad productiva del país, ni en un entorno que permita a las personas y empresas desarrollarse de la mejor manera.</w:t>
      </w:r>
    </w:p>
    <w:p w14:paraId="28B7C319" w14:textId="77777777" w:rsidR="001E7CBA" w:rsidRDefault="001E7CBA" w:rsidP="00F37DD3">
      <w:pPr>
        <w:spacing w:after="360" w:line="360" w:lineRule="auto"/>
        <w:ind w:right="-159"/>
        <w:jc w:val="both"/>
        <w:rPr>
          <w:rFonts w:eastAsia="Calibri"/>
          <w:sz w:val="26"/>
          <w:szCs w:val="26"/>
          <w:lang w:val="es-ES" w:eastAsia="en-US"/>
        </w:rPr>
      </w:pPr>
    </w:p>
    <w:p w14:paraId="2CC45C5E" w14:textId="77777777" w:rsidR="001E7CBA" w:rsidRPr="00F37DD3" w:rsidRDefault="001E7CBA" w:rsidP="00F37DD3">
      <w:pPr>
        <w:spacing w:after="360" w:line="360" w:lineRule="auto"/>
        <w:ind w:right="-159"/>
        <w:jc w:val="both"/>
        <w:rPr>
          <w:rFonts w:eastAsia="Calibri"/>
          <w:sz w:val="26"/>
          <w:szCs w:val="26"/>
          <w:lang w:val="es-ES" w:eastAsia="en-US"/>
        </w:rPr>
      </w:pPr>
    </w:p>
    <w:p w14:paraId="59484772"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lastRenderedPageBreak/>
        <w:t>El objetivo de las autoridades es que el Presupuesto de Egresos para el 2016 refleje:</w:t>
      </w:r>
    </w:p>
    <w:p w14:paraId="44E9C5F1" w14:textId="77777777" w:rsidR="00F37DD3" w:rsidRPr="00F37DD3" w:rsidRDefault="00F37DD3" w:rsidP="003518F4">
      <w:pPr>
        <w:numPr>
          <w:ilvl w:val="0"/>
          <w:numId w:val="130"/>
        </w:numPr>
        <w:spacing w:after="360" w:line="360" w:lineRule="auto"/>
        <w:ind w:left="568" w:right="-159" w:hanging="284"/>
        <w:jc w:val="both"/>
        <w:rPr>
          <w:rFonts w:eastAsia="Calibri"/>
          <w:sz w:val="26"/>
          <w:szCs w:val="26"/>
          <w:lang w:val="es-ES" w:eastAsia="en-US"/>
        </w:rPr>
      </w:pPr>
      <w:r w:rsidRPr="00F37DD3">
        <w:rPr>
          <w:rFonts w:eastAsia="Calibri"/>
          <w:sz w:val="26"/>
          <w:szCs w:val="26"/>
          <w:lang w:val="es-ES" w:eastAsia="en-US"/>
        </w:rPr>
        <w:t>La eliminación o modificación de programas en términos de su vinculación a los objetivos del Plan Nacional de Desarrollo (PND), así como de programas con bajo desempeño de acuerdo con el sistema de Evaluación del Desempeño.</w:t>
      </w:r>
    </w:p>
    <w:p w14:paraId="575B8D1C" w14:textId="77777777" w:rsidR="00F37DD3" w:rsidRPr="00F37DD3" w:rsidRDefault="00F37DD3" w:rsidP="003518F4">
      <w:pPr>
        <w:numPr>
          <w:ilvl w:val="0"/>
          <w:numId w:val="130"/>
        </w:numPr>
        <w:spacing w:after="360" w:line="360" w:lineRule="auto"/>
        <w:ind w:left="568" w:right="-159" w:hanging="284"/>
        <w:jc w:val="both"/>
        <w:rPr>
          <w:rFonts w:eastAsia="Calibri"/>
          <w:sz w:val="26"/>
          <w:szCs w:val="26"/>
          <w:lang w:val="es-ES" w:eastAsia="en-US"/>
        </w:rPr>
      </w:pPr>
      <w:r w:rsidRPr="00F37DD3">
        <w:rPr>
          <w:rFonts w:eastAsia="Calibri"/>
          <w:sz w:val="26"/>
          <w:szCs w:val="26"/>
          <w:lang w:val="es-ES" w:eastAsia="en-US"/>
        </w:rPr>
        <w:t>Fusión de programas complementarios o duplicados.</w:t>
      </w:r>
    </w:p>
    <w:p w14:paraId="6E414DDA" w14:textId="77777777" w:rsidR="00F37DD3" w:rsidRPr="00F37DD3" w:rsidRDefault="00F37DD3" w:rsidP="003518F4">
      <w:pPr>
        <w:numPr>
          <w:ilvl w:val="0"/>
          <w:numId w:val="130"/>
        </w:numPr>
        <w:spacing w:after="360" w:line="360" w:lineRule="auto"/>
        <w:ind w:left="568" w:right="-159" w:hanging="284"/>
        <w:jc w:val="both"/>
        <w:rPr>
          <w:rFonts w:eastAsia="Calibri"/>
          <w:sz w:val="26"/>
          <w:szCs w:val="26"/>
          <w:lang w:val="es-ES" w:eastAsia="en-US"/>
        </w:rPr>
      </w:pPr>
      <w:r w:rsidRPr="00F37DD3">
        <w:rPr>
          <w:rFonts w:eastAsia="Calibri"/>
          <w:sz w:val="26"/>
          <w:szCs w:val="26"/>
          <w:lang w:val="es-ES" w:eastAsia="en-US"/>
        </w:rPr>
        <w:t>Resectorización de programas y estructuras para una mejor vinculación institucional y administrativa.</w:t>
      </w:r>
    </w:p>
    <w:p w14:paraId="5A548680" w14:textId="77777777" w:rsidR="00F37DD3" w:rsidRPr="00F37DD3" w:rsidRDefault="00F37DD3" w:rsidP="003518F4">
      <w:pPr>
        <w:numPr>
          <w:ilvl w:val="0"/>
          <w:numId w:val="130"/>
        </w:numPr>
        <w:spacing w:after="360" w:line="360" w:lineRule="auto"/>
        <w:ind w:left="568" w:right="-159" w:hanging="284"/>
        <w:jc w:val="both"/>
        <w:rPr>
          <w:rFonts w:eastAsia="Calibri"/>
          <w:sz w:val="26"/>
          <w:szCs w:val="26"/>
          <w:lang w:val="es-ES" w:eastAsia="en-US"/>
        </w:rPr>
      </w:pPr>
      <w:r w:rsidRPr="00F37DD3">
        <w:rPr>
          <w:rFonts w:eastAsia="Calibri"/>
          <w:sz w:val="26"/>
          <w:szCs w:val="26"/>
          <w:lang w:val="es-ES" w:eastAsia="en-US"/>
        </w:rPr>
        <w:t>Eliminación de estructuras organizacionales cuyas funciones sean similares o complementarias con otras estructuras.</w:t>
      </w:r>
    </w:p>
    <w:p w14:paraId="77B8C253" w14:textId="77777777" w:rsidR="00F37DD3" w:rsidRPr="00F37DD3" w:rsidRDefault="00F37DD3" w:rsidP="003518F4">
      <w:pPr>
        <w:numPr>
          <w:ilvl w:val="0"/>
          <w:numId w:val="130"/>
        </w:numPr>
        <w:spacing w:after="360" w:line="360" w:lineRule="auto"/>
        <w:ind w:left="568" w:right="-159" w:hanging="284"/>
        <w:jc w:val="both"/>
        <w:rPr>
          <w:rFonts w:eastAsia="Calibri"/>
          <w:sz w:val="26"/>
          <w:szCs w:val="26"/>
          <w:lang w:val="es-ES" w:eastAsia="en-US"/>
        </w:rPr>
      </w:pPr>
      <w:r w:rsidRPr="00F37DD3">
        <w:rPr>
          <w:rFonts w:eastAsia="Calibri"/>
          <w:sz w:val="26"/>
          <w:szCs w:val="26"/>
          <w:lang w:val="es-ES" w:eastAsia="en-US"/>
        </w:rPr>
        <w:t>Asignación del gasto de operación y administrativo estrictamente necesario.</w:t>
      </w:r>
    </w:p>
    <w:p w14:paraId="0603E497"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Si bien es cierto que revisar a fondo todos los programas de gasto es fundamental para hacer más eficiente la asignación de recursos, también lo es identificar cual es el verdadero margen de maniobra que se tiene en este sentido.</w:t>
      </w:r>
    </w:p>
    <w:p w14:paraId="5E6520D6"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De acuerdo con la clasificación de las finanzas públicas, el gasto total se divide en dos partes; el Gasto No Programable, que es donde se concentra el pago de intereses de la deuda y otros compromisos que son ineludibles como las participaciones a entidades federativas, que representa casi el 25% del gasto total programado para el 2016. Además se debe considerar a las pensiones y jubilaciones, que representan cerca de 15% del gasto programable, y aproximadamente el 11.0% del gasto total, rubro sobre el cual tampoco se puede hacer mucho. Esto nos indica que casi el 65% del gasto total estaría en posibilidades de ser revisado.</w:t>
      </w:r>
    </w:p>
    <w:p w14:paraId="68A9A37B"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lastRenderedPageBreak/>
        <w:t>La posibilidad de concretar un presupuesto “base cero” es muy compleja, y puede llevarse mucho más tiempo, por lo que podría ser más eficiente plantear un presupuesto basado en un tope de gasto en función de los ingresos disponibles y permitiendo que ocupe un espacio importante el desarrollo de infraestructura, que en la actualidad representa un importante freno para el crecimiento de nuestro país y la creación de empleo.</w:t>
      </w:r>
    </w:p>
    <w:p w14:paraId="4EF19B8C" w14:textId="77777777" w:rsidR="00F37DD3" w:rsidRPr="00F37DD3" w:rsidRDefault="00F37DD3" w:rsidP="00F37DD3">
      <w:pPr>
        <w:spacing w:after="360" w:line="360" w:lineRule="auto"/>
        <w:ind w:right="-159"/>
        <w:jc w:val="both"/>
        <w:rPr>
          <w:rFonts w:eastAsia="Calibri"/>
          <w:b/>
          <w:sz w:val="26"/>
          <w:szCs w:val="26"/>
          <w:lang w:val="es-ES" w:eastAsia="en-US"/>
        </w:rPr>
      </w:pPr>
      <w:r w:rsidRPr="00F37DD3">
        <w:rPr>
          <w:rFonts w:eastAsia="Calibri"/>
          <w:b/>
          <w:sz w:val="26"/>
          <w:szCs w:val="26"/>
          <w:lang w:val="es-ES" w:eastAsia="en-US"/>
        </w:rPr>
        <w:t>México</w:t>
      </w:r>
    </w:p>
    <w:p w14:paraId="25E918FC"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Durante el primer mes del 2015, buena parte de los indicadores económicos mostraron un comportamiento positivo que propició un aumento en la confianza de los consumidores. Sin embargo, la persistencia de la debilidad del mercado interno, las expectativas de menor crecimiento y ahora la presentación de los Precriterios 2016, que anticipan menores ingresos y un ajuste adicional al gasto público, sin duda han comenzado a afectar nuevamente, la percepción de los consumidores y de los directivos empresariales.</w:t>
      </w:r>
    </w:p>
    <w:tbl>
      <w:tblPr>
        <w:tblW w:w="9209" w:type="dxa"/>
        <w:tblLook w:val="04A0" w:firstRow="1" w:lastRow="0" w:firstColumn="1" w:lastColumn="0" w:noHBand="0" w:noVBand="1"/>
      </w:tblPr>
      <w:tblGrid>
        <w:gridCol w:w="9209"/>
      </w:tblGrid>
      <w:tr w:rsidR="00F37DD3" w:rsidRPr="00F37DD3" w14:paraId="06EC68BA" w14:textId="77777777" w:rsidTr="00786917">
        <w:tc>
          <w:tcPr>
            <w:tcW w:w="9209" w:type="dxa"/>
          </w:tcPr>
          <w:p w14:paraId="42993F0B"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CONFIANZA DEL CONSUMIDOR</w:t>
            </w:r>
          </w:p>
          <w:p w14:paraId="0C146ED4"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-Variación porcentual anual de series desestacionalizadas-</w:t>
            </w:r>
          </w:p>
        </w:tc>
      </w:tr>
      <w:tr w:rsidR="00F37DD3" w:rsidRPr="00F37DD3" w14:paraId="0DDE7A3A" w14:textId="77777777" w:rsidTr="00786917">
        <w:tc>
          <w:tcPr>
            <w:tcW w:w="9209" w:type="dxa"/>
          </w:tcPr>
          <w:p w14:paraId="367A5367" w14:textId="77777777" w:rsidR="00F37DD3" w:rsidRPr="00F37DD3" w:rsidRDefault="00F37DD3" w:rsidP="00464B48">
            <w:pPr>
              <w:jc w:val="center"/>
              <w:rPr>
                <w:rFonts w:eastAsia="Calibri"/>
                <w:sz w:val="22"/>
                <w:szCs w:val="26"/>
                <w:lang w:val="es-ES" w:eastAsia="en-US"/>
              </w:rPr>
            </w:pPr>
            <w:r w:rsidRPr="00F37DD3">
              <w:rPr>
                <w:rFonts w:eastAsia="Calibri"/>
                <w:noProof/>
                <w:sz w:val="22"/>
                <w:szCs w:val="26"/>
                <w:lang w:eastAsia="es-MX"/>
              </w:rPr>
              <w:drawing>
                <wp:inline distT="0" distB="0" distL="0" distR="0" wp14:anchorId="2CE0D253" wp14:editId="47F18023">
                  <wp:extent cx="4915127" cy="2700000"/>
                  <wp:effectExtent l="0" t="0" r="0" b="5715"/>
                  <wp:docPr id="1652" name="Imagen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885" b="1417"/>
                          <a:stretch/>
                        </pic:blipFill>
                        <pic:spPr bwMode="auto">
                          <a:xfrm>
                            <a:off x="0" y="0"/>
                            <a:ext cx="4915127"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7DD3" w:rsidRPr="00F37DD3" w14:paraId="482E6E27" w14:textId="77777777" w:rsidTr="00786917">
        <w:tc>
          <w:tcPr>
            <w:tcW w:w="9209" w:type="dxa"/>
          </w:tcPr>
          <w:p w14:paraId="2B03B473" w14:textId="77777777" w:rsidR="00F37DD3" w:rsidRPr="00F37DD3" w:rsidRDefault="00F37DD3" w:rsidP="00464B48">
            <w:pPr>
              <w:ind w:firstLine="880"/>
              <w:jc w:val="both"/>
              <w:rPr>
                <w:rFonts w:eastAsia="Calibri"/>
                <w:sz w:val="20"/>
                <w:szCs w:val="26"/>
                <w:lang w:val="es-ES" w:eastAsia="en-US"/>
              </w:rPr>
            </w:pPr>
            <w:r w:rsidRPr="00F37DD3">
              <w:rPr>
                <w:rFonts w:eastAsia="Calibri"/>
                <w:sz w:val="20"/>
                <w:szCs w:val="20"/>
                <w:lang w:val="es-ES" w:eastAsia="en-US"/>
              </w:rPr>
              <w:t>FUENTE: Elaborado por el CEESP con datos del INEGI.</w:t>
            </w:r>
          </w:p>
        </w:tc>
      </w:tr>
    </w:tbl>
    <w:p w14:paraId="3844A7DC" w14:textId="77777777" w:rsidR="00F37DD3" w:rsidRPr="00F37DD3" w:rsidRDefault="00F37DD3" w:rsidP="00F37DD3">
      <w:pPr>
        <w:spacing w:after="360" w:line="360" w:lineRule="auto"/>
        <w:ind w:right="-159"/>
        <w:jc w:val="both"/>
        <w:rPr>
          <w:rFonts w:eastAsia="Calibri"/>
          <w:sz w:val="26"/>
          <w:szCs w:val="26"/>
          <w:lang w:val="es-ES" w:eastAsia="en-US"/>
        </w:rPr>
      </w:pPr>
    </w:p>
    <w:p w14:paraId="3CE866A8"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lastRenderedPageBreak/>
        <w:t>De acuerdo con el Instituto Nacional de Estadística y Geografía (INEGI), las cifras desestacionalizadas indican que el índice de confianza del consumidor tuvo un avance mensual de 0.1%, después de que en febrero se elevara 0.9%. De esta manera, la variación anual de este indicador se ubicó en 4.5%, la más baja en los últimos tres meses, lo que muestra nuevamente una tendencia a la baja. Buena parte de este comportamiento se atribuye a que la expectativa futura sobre los hogares y la economía en su conjunto mostraron una percepción menos favorable.</w:t>
      </w:r>
    </w:p>
    <w:tbl>
      <w:tblPr>
        <w:tblW w:w="9607" w:type="dxa"/>
        <w:tblLook w:val="04A0" w:firstRow="1" w:lastRow="0" w:firstColumn="1" w:lastColumn="0" w:noHBand="0" w:noVBand="1"/>
      </w:tblPr>
      <w:tblGrid>
        <w:gridCol w:w="9607"/>
      </w:tblGrid>
      <w:tr w:rsidR="00F37DD3" w:rsidRPr="00F37DD3" w14:paraId="34F26917" w14:textId="77777777" w:rsidTr="001E7CBA">
        <w:tc>
          <w:tcPr>
            <w:tcW w:w="9607" w:type="dxa"/>
          </w:tcPr>
          <w:p w14:paraId="5DE99021"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INDICADORES DE CONFIANZA EMPRESARIAL</w:t>
            </w:r>
          </w:p>
          <w:p w14:paraId="644B39B9"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-Variación anual en puntos-</w:t>
            </w:r>
          </w:p>
        </w:tc>
      </w:tr>
      <w:tr w:rsidR="00F37DD3" w:rsidRPr="00F37DD3" w14:paraId="3B806414" w14:textId="77777777" w:rsidTr="001E7CBA">
        <w:tc>
          <w:tcPr>
            <w:tcW w:w="9607" w:type="dxa"/>
          </w:tcPr>
          <w:p w14:paraId="52B66CFF" w14:textId="77777777" w:rsidR="00F37DD3" w:rsidRPr="00F37DD3" w:rsidRDefault="00F37DD3" w:rsidP="00464B48">
            <w:pPr>
              <w:jc w:val="center"/>
              <w:rPr>
                <w:rFonts w:eastAsia="Calibri"/>
                <w:sz w:val="22"/>
                <w:szCs w:val="26"/>
                <w:lang w:val="es-ES" w:eastAsia="en-US"/>
              </w:rPr>
            </w:pPr>
            <w:r w:rsidRPr="00F37DD3">
              <w:rPr>
                <w:rFonts w:eastAsia="Calibri"/>
                <w:noProof/>
                <w:sz w:val="22"/>
                <w:szCs w:val="26"/>
                <w:lang w:eastAsia="es-MX"/>
              </w:rPr>
              <w:drawing>
                <wp:inline distT="0" distB="0" distL="0" distR="0" wp14:anchorId="16CD8B38" wp14:editId="6662A847">
                  <wp:extent cx="5963292" cy="1908000"/>
                  <wp:effectExtent l="0" t="0" r="0" b="0"/>
                  <wp:docPr id="1716" name="Imagen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474" b="2761"/>
                          <a:stretch/>
                        </pic:blipFill>
                        <pic:spPr bwMode="auto">
                          <a:xfrm>
                            <a:off x="0" y="0"/>
                            <a:ext cx="5963292"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7DD3" w:rsidRPr="00F37DD3" w14:paraId="67B0F638" w14:textId="77777777" w:rsidTr="001E7CBA">
        <w:tc>
          <w:tcPr>
            <w:tcW w:w="9607" w:type="dxa"/>
          </w:tcPr>
          <w:p w14:paraId="478C2D41" w14:textId="77777777" w:rsidR="00F37DD3" w:rsidRPr="00F37DD3" w:rsidRDefault="00F37DD3" w:rsidP="00464B48">
            <w:pPr>
              <w:ind w:firstLine="880"/>
              <w:jc w:val="both"/>
              <w:rPr>
                <w:rFonts w:eastAsia="Calibri"/>
                <w:sz w:val="20"/>
                <w:szCs w:val="26"/>
                <w:lang w:val="es-ES" w:eastAsia="en-US"/>
              </w:rPr>
            </w:pPr>
            <w:r w:rsidRPr="00F37DD3">
              <w:rPr>
                <w:rFonts w:eastAsia="Calibri"/>
                <w:sz w:val="20"/>
                <w:szCs w:val="20"/>
                <w:lang w:val="es-ES" w:eastAsia="en-US"/>
              </w:rPr>
              <w:t>FUENTE: Elaborado por el CEESP con datos del INEGI.</w:t>
            </w:r>
          </w:p>
        </w:tc>
      </w:tr>
    </w:tbl>
    <w:p w14:paraId="0AE2B9DC" w14:textId="77777777" w:rsidR="00F37DD3" w:rsidRPr="00F37DD3" w:rsidRDefault="00F37DD3" w:rsidP="00F37DD3">
      <w:pPr>
        <w:spacing w:after="360" w:line="360" w:lineRule="auto"/>
        <w:ind w:right="-159"/>
        <w:jc w:val="both"/>
        <w:rPr>
          <w:rFonts w:eastAsia="Calibri"/>
          <w:sz w:val="26"/>
          <w:szCs w:val="26"/>
          <w:lang w:val="es-ES" w:eastAsia="en-US"/>
        </w:rPr>
      </w:pPr>
    </w:p>
    <w:p w14:paraId="3700D589" w14:textId="13A8A26E" w:rsid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 xml:space="preserve">Por su parte, la confianza de los directivos empresariales continuó deteriorándose ante un entorno en el que no se perciben señales de un pronto repunte del mercado interno y del hecho de que seguimos dependiendo del dinamismo de la economía estadounidense. Esto explica en buena medida porqué en el sector manufacturero y de comercio el componente que se refiere a la percepción sobre si </w:t>
      </w:r>
      <w:r w:rsidR="00DE3D51">
        <w:rPr>
          <w:rFonts w:eastAsia="Calibri"/>
          <w:sz w:val="26"/>
          <w:szCs w:val="26"/>
          <w:lang w:val="es-ES" w:eastAsia="en-US"/>
        </w:rPr>
        <w:t>é</w:t>
      </w:r>
      <w:r w:rsidRPr="00F37DD3">
        <w:rPr>
          <w:rFonts w:eastAsia="Calibri"/>
          <w:sz w:val="26"/>
          <w:szCs w:val="26"/>
          <w:lang w:val="es-ES" w:eastAsia="en-US"/>
        </w:rPr>
        <w:t xml:space="preserve">ste es el mejor momento para invertir fue el que tuvo una mayor caída durante marzo, lo que coincide con las variaciones negativas en la percepción sobre el futuro de la economía. </w:t>
      </w:r>
    </w:p>
    <w:p w14:paraId="2C4DEED3" w14:textId="77777777" w:rsidR="00464B48" w:rsidRDefault="00464B48" w:rsidP="00F37DD3">
      <w:pPr>
        <w:spacing w:after="360" w:line="360" w:lineRule="auto"/>
        <w:ind w:right="-159"/>
        <w:jc w:val="both"/>
        <w:rPr>
          <w:rFonts w:eastAsia="Calibri"/>
          <w:sz w:val="26"/>
          <w:szCs w:val="26"/>
          <w:lang w:val="es-ES" w:eastAsia="en-US"/>
        </w:rPr>
      </w:pPr>
    </w:p>
    <w:p w14:paraId="44CFD10B" w14:textId="77777777" w:rsidR="00464B48" w:rsidRDefault="00464B48" w:rsidP="00F37DD3">
      <w:pPr>
        <w:spacing w:after="360" w:line="360" w:lineRule="auto"/>
        <w:ind w:right="-159"/>
        <w:jc w:val="both"/>
        <w:rPr>
          <w:rFonts w:eastAsia="Calibri"/>
          <w:sz w:val="26"/>
          <w:szCs w:val="26"/>
          <w:lang w:val="es-ES" w:eastAsia="en-US"/>
        </w:rPr>
      </w:pPr>
    </w:p>
    <w:tbl>
      <w:tblPr>
        <w:tblW w:w="0" w:type="auto"/>
        <w:jc w:val="center"/>
        <w:tblLook w:val="04A0" w:firstRow="1" w:lastRow="0" w:firstColumn="1" w:lastColumn="0" w:noHBand="0" w:noVBand="1"/>
      </w:tblPr>
      <w:tblGrid>
        <w:gridCol w:w="1249"/>
        <w:gridCol w:w="1276"/>
        <w:gridCol w:w="1255"/>
        <w:gridCol w:w="1265"/>
        <w:gridCol w:w="1265"/>
        <w:gridCol w:w="1265"/>
        <w:gridCol w:w="1265"/>
      </w:tblGrid>
      <w:tr w:rsidR="00F37DD3" w:rsidRPr="00F37DD3" w14:paraId="1F6810D1" w14:textId="77777777" w:rsidTr="001E7CBA">
        <w:trPr>
          <w:jc w:val="center"/>
        </w:trPr>
        <w:tc>
          <w:tcPr>
            <w:tcW w:w="8840" w:type="dxa"/>
            <w:gridSpan w:val="7"/>
            <w:tcBorders>
              <w:top w:val="nil"/>
              <w:left w:val="nil"/>
              <w:bottom w:val="single" w:sz="4" w:space="0" w:color="auto"/>
              <w:right w:val="nil"/>
            </w:tcBorders>
            <w:vAlign w:val="center"/>
          </w:tcPr>
          <w:p w14:paraId="360CAD7B" w14:textId="77777777" w:rsidR="00F37DD3" w:rsidRPr="00F37DD3" w:rsidRDefault="00F37DD3" w:rsidP="00464B48">
            <w:pPr>
              <w:jc w:val="center"/>
              <w:rPr>
                <w:rFonts w:eastAsia="Calibri"/>
                <w:b/>
                <w:sz w:val="22"/>
                <w:szCs w:val="22"/>
                <w:lang w:val="es-ES" w:eastAsia="en-US"/>
              </w:rPr>
            </w:pPr>
            <w:r w:rsidRPr="00F37DD3">
              <w:rPr>
                <w:rFonts w:eastAsia="Calibri"/>
                <w:b/>
                <w:sz w:val="22"/>
                <w:szCs w:val="22"/>
                <w:lang w:val="es-ES" w:eastAsia="en-US"/>
              </w:rPr>
              <w:lastRenderedPageBreak/>
              <w:t>INDICADORES DE CONFIANZA EMPRESARIAL</w:t>
            </w:r>
          </w:p>
        </w:tc>
      </w:tr>
      <w:tr w:rsidR="00F37DD3" w:rsidRPr="00F37DD3" w14:paraId="677EBBA0" w14:textId="77777777" w:rsidTr="001E7CBA">
        <w:trPr>
          <w:jc w:val="center"/>
        </w:trPr>
        <w:tc>
          <w:tcPr>
            <w:tcW w:w="1249" w:type="dxa"/>
            <w:vMerge w:val="restart"/>
            <w:tcBorders>
              <w:top w:val="single" w:sz="4" w:space="0" w:color="auto"/>
              <w:left w:val="single" w:sz="4" w:space="0" w:color="auto"/>
              <w:bottom w:val="single" w:sz="4" w:space="0" w:color="auto"/>
              <w:right w:val="single" w:sz="4" w:space="0" w:color="auto"/>
            </w:tcBorders>
            <w:vAlign w:val="center"/>
          </w:tcPr>
          <w:p w14:paraId="7659E030" w14:textId="77777777" w:rsidR="00F37DD3" w:rsidRPr="00F37DD3" w:rsidRDefault="00F37DD3" w:rsidP="00464B48">
            <w:pPr>
              <w:jc w:val="center"/>
              <w:rPr>
                <w:rFonts w:eastAsia="Calibri"/>
                <w:sz w:val="18"/>
                <w:szCs w:val="18"/>
                <w:highlight w:val="green"/>
                <w:lang w:val="es-ES" w:eastAsia="en-US"/>
              </w:rPr>
            </w:pPr>
            <w:r w:rsidRPr="00F37DD3">
              <w:rPr>
                <w:rFonts w:eastAsia="Calibri"/>
                <w:sz w:val="18"/>
                <w:szCs w:val="18"/>
                <w:lang w:val="es-ES" w:eastAsia="en-US"/>
              </w:rPr>
              <w:t>Mes</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70FA8F77" w14:textId="77777777" w:rsidR="00F37DD3" w:rsidRPr="00F37DD3" w:rsidRDefault="00F37DD3" w:rsidP="00464B48">
            <w:pPr>
              <w:jc w:val="center"/>
              <w:rPr>
                <w:rFonts w:eastAsia="Calibri"/>
                <w:sz w:val="18"/>
                <w:szCs w:val="18"/>
                <w:highlight w:val="green"/>
                <w:lang w:val="es-ES" w:eastAsia="en-US"/>
              </w:rPr>
            </w:pPr>
            <w:r w:rsidRPr="00F37DD3">
              <w:rPr>
                <w:rFonts w:eastAsia="Calibri"/>
                <w:b/>
                <w:sz w:val="18"/>
                <w:szCs w:val="18"/>
                <w:lang w:val="es-ES" w:eastAsia="en-US"/>
              </w:rPr>
              <w:t>Indicador de confianza empresarial</w:t>
            </w:r>
          </w:p>
        </w:tc>
        <w:tc>
          <w:tcPr>
            <w:tcW w:w="6315" w:type="dxa"/>
            <w:gridSpan w:val="5"/>
            <w:tcBorders>
              <w:top w:val="single" w:sz="4" w:space="0" w:color="auto"/>
              <w:left w:val="single" w:sz="4" w:space="0" w:color="auto"/>
              <w:bottom w:val="single" w:sz="4" w:space="0" w:color="auto"/>
              <w:right w:val="single" w:sz="4" w:space="0" w:color="auto"/>
            </w:tcBorders>
            <w:vAlign w:val="center"/>
          </w:tcPr>
          <w:p w14:paraId="575EB626"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Componentes</w:t>
            </w:r>
          </w:p>
        </w:tc>
      </w:tr>
      <w:tr w:rsidR="00F37DD3" w:rsidRPr="00F37DD3" w14:paraId="33976CE0" w14:textId="77777777" w:rsidTr="001E7CBA">
        <w:trPr>
          <w:jc w:val="center"/>
        </w:trPr>
        <w:tc>
          <w:tcPr>
            <w:tcW w:w="1249" w:type="dxa"/>
            <w:vMerge/>
            <w:tcBorders>
              <w:top w:val="single" w:sz="4" w:space="0" w:color="auto"/>
              <w:left w:val="single" w:sz="4" w:space="0" w:color="auto"/>
              <w:bottom w:val="single" w:sz="4" w:space="0" w:color="auto"/>
              <w:right w:val="single" w:sz="4" w:space="0" w:color="auto"/>
            </w:tcBorders>
            <w:vAlign w:val="center"/>
          </w:tcPr>
          <w:p w14:paraId="03F0D194" w14:textId="77777777" w:rsidR="00F37DD3" w:rsidRPr="00F37DD3" w:rsidRDefault="00F37DD3" w:rsidP="00464B48">
            <w:pPr>
              <w:jc w:val="both"/>
              <w:rPr>
                <w:rFonts w:eastAsia="Calibri"/>
                <w:sz w:val="18"/>
                <w:szCs w:val="18"/>
                <w:lang w:val="es-ES" w:eastAsia="en-US"/>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8A4D62F" w14:textId="77777777" w:rsidR="00F37DD3" w:rsidRPr="00F37DD3" w:rsidRDefault="00F37DD3" w:rsidP="00464B48">
            <w:pPr>
              <w:jc w:val="center"/>
              <w:rPr>
                <w:rFonts w:eastAsia="Calibri"/>
                <w:b/>
                <w:sz w:val="18"/>
                <w:szCs w:val="18"/>
                <w:lang w:val="es-ES" w:eastAsia="en-US"/>
              </w:rPr>
            </w:pPr>
          </w:p>
        </w:tc>
        <w:tc>
          <w:tcPr>
            <w:tcW w:w="1255" w:type="dxa"/>
            <w:tcBorders>
              <w:top w:val="single" w:sz="4" w:space="0" w:color="auto"/>
              <w:left w:val="single" w:sz="4" w:space="0" w:color="auto"/>
              <w:bottom w:val="single" w:sz="4" w:space="0" w:color="auto"/>
              <w:right w:val="single" w:sz="4" w:space="0" w:color="auto"/>
            </w:tcBorders>
            <w:vAlign w:val="center"/>
          </w:tcPr>
          <w:p w14:paraId="76B9A47C"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Momento adecuado para invertir</w:t>
            </w:r>
          </w:p>
        </w:tc>
        <w:tc>
          <w:tcPr>
            <w:tcW w:w="1265" w:type="dxa"/>
            <w:tcBorders>
              <w:top w:val="single" w:sz="4" w:space="0" w:color="auto"/>
              <w:left w:val="single" w:sz="4" w:space="0" w:color="auto"/>
              <w:bottom w:val="single" w:sz="4" w:space="0" w:color="auto"/>
              <w:right w:val="single" w:sz="4" w:space="0" w:color="auto"/>
            </w:tcBorders>
            <w:vAlign w:val="center"/>
          </w:tcPr>
          <w:p w14:paraId="4AE819F7"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Situación económica actual del país</w:t>
            </w:r>
          </w:p>
        </w:tc>
        <w:tc>
          <w:tcPr>
            <w:tcW w:w="1265" w:type="dxa"/>
            <w:tcBorders>
              <w:top w:val="single" w:sz="4" w:space="0" w:color="auto"/>
              <w:left w:val="single" w:sz="4" w:space="0" w:color="auto"/>
              <w:bottom w:val="single" w:sz="4" w:space="0" w:color="auto"/>
              <w:right w:val="single" w:sz="4" w:space="0" w:color="auto"/>
            </w:tcBorders>
            <w:vAlign w:val="center"/>
          </w:tcPr>
          <w:p w14:paraId="4538E861"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Situación económica futura del país</w:t>
            </w:r>
          </w:p>
        </w:tc>
        <w:tc>
          <w:tcPr>
            <w:tcW w:w="1265" w:type="dxa"/>
            <w:tcBorders>
              <w:top w:val="single" w:sz="4" w:space="0" w:color="auto"/>
              <w:left w:val="single" w:sz="4" w:space="0" w:color="auto"/>
              <w:bottom w:val="single" w:sz="4" w:space="0" w:color="auto"/>
              <w:right w:val="single" w:sz="4" w:space="0" w:color="auto"/>
            </w:tcBorders>
            <w:vAlign w:val="center"/>
          </w:tcPr>
          <w:p w14:paraId="3337AE4D"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Situación económica actual de la empresa</w:t>
            </w:r>
          </w:p>
        </w:tc>
        <w:tc>
          <w:tcPr>
            <w:tcW w:w="1265" w:type="dxa"/>
            <w:tcBorders>
              <w:top w:val="single" w:sz="4" w:space="0" w:color="auto"/>
              <w:left w:val="single" w:sz="4" w:space="0" w:color="auto"/>
              <w:bottom w:val="single" w:sz="4" w:space="0" w:color="auto"/>
              <w:right w:val="single" w:sz="4" w:space="0" w:color="auto"/>
            </w:tcBorders>
            <w:vAlign w:val="center"/>
          </w:tcPr>
          <w:p w14:paraId="7A268A60"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Situación económica futura de la empresa</w:t>
            </w:r>
          </w:p>
        </w:tc>
      </w:tr>
      <w:tr w:rsidR="00F37DD3" w:rsidRPr="00F37DD3" w14:paraId="60A815E2" w14:textId="77777777" w:rsidTr="001E7CBA">
        <w:trPr>
          <w:jc w:val="center"/>
        </w:trPr>
        <w:tc>
          <w:tcPr>
            <w:tcW w:w="1249" w:type="dxa"/>
            <w:tcBorders>
              <w:top w:val="single" w:sz="4" w:space="0" w:color="auto"/>
              <w:left w:val="single" w:sz="4" w:space="0" w:color="auto"/>
              <w:bottom w:val="single" w:sz="4" w:space="0" w:color="auto"/>
              <w:right w:val="single" w:sz="4" w:space="0" w:color="auto"/>
            </w:tcBorders>
            <w:vAlign w:val="center"/>
          </w:tcPr>
          <w:p w14:paraId="5338ABB5" w14:textId="77777777" w:rsidR="00F37DD3" w:rsidRPr="00F37DD3" w:rsidRDefault="00F37DD3" w:rsidP="00464B48">
            <w:pPr>
              <w:jc w:val="center"/>
              <w:rPr>
                <w:rFonts w:eastAsia="Calibri"/>
                <w:sz w:val="18"/>
                <w:szCs w:val="18"/>
                <w:lang w:val="es-ES"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402032E5" w14:textId="77777777" w:rsidR="00F37DD3" w:rsidRPr="00F37DD3" w:rsidRDefault="00F37DD3" w:rsidP="00464B48">
            <w:pPr>
              <w:jc w:val="both"/>
              <w:rPr>
                <w:rFonts w:eastAsia="Calibri"/>
                <w:sz w:val="18"/>
                <w:szCs w:val="18"/>
                <w:lang w:val="es-ES" w:eastAsia="en-US"/>
              </w:rPr>
            </w:pPr>
          </w:p>
        </w:tc>
        <w:tc>
          <w:tcPr>
            <w:tcW w:w="1255" w:type="dxa"/>
            <w:tcBorders>
              <w:top w:val="single" w:sz="4" w:space="0" w:color="auto"/>
              <w:left w:val="single" w:sz="4" w:space="0" w:color="auto"/>
              <w:bottom w:val="single" w:sz="4" w:space="0" w:color="auto"/>
              <w:right w:val="single" w:sz="4" w:space="0" w:color="auto"/>
            </w:tcBorders>
            <w:vAlign w:val="center"/>
          </w:tcPr>
          <w:p w14:paraId="2E4D4380" w14:textId="77777777" w:rsidR="00F37DD3" w:rsidRPr="00F37DD3" w:rsidRDefault="00F37DD3" w:rsidP="00464B48">
            <w:pPr>
              <w:jc w:val="both"/>
              <w:rPr>
                <w:rFonts w:eastAsia="Calibri"/>
                <w:sz w:val="18"/>
                <w:szCs w:val="18"/>
                <w:lang w:val="es-ES" w:eastAsia="en-US"/>
              </w:rPr>
            </w:pPr>
          </w:p>
        </w:tc>
        <w:tc>
          <w:tcPr>
            <w:tcW w:w="2530" w:type="dxa"/>
            <w:gridSpan w:val="2"/>
            <w:tcBorders>
              <w:top w:val="single" w:sz="4" w:space="0" w:color="auto"/>
              <w:left w:val="single" w:sz="4" w:space="0" w:color="auto"/>
              <w:bottom w:val="single" w:sz="4" w:space="0" w:color="auto"/>
              <w:right w:val="single" w:sz="4" w:space="0" w:color="auto"/>
            </w:tcBorders>
            <w:vAlign w:val="center"/>
          </w:tcPr>
          <w:p w14:paraId="652343D7"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Construcción</w:t>
            </w:r>
          </w:p>
        </w:tc>
        <w:tc>
          <w:tcPr>
            <w:tcW w:w="1265" w:type="dxa"/>
            <w:tcBorders>
              <w:top w:val="single" w:sz="4" w:space="0" w:color="auto"/>
              <w:left w:val="single" w:sz="4" w:space="0" w:color="auto"/>
              <w:bottom w:val="single" w:sz="4" w:space="0" w:color="auto"/>
              <w:right w:val="single" w:sz="4" w:space="0" w:color="auto"/>
            </w:tcBorders>
            <w:vAlign w:val="center"/>
          </w:tcPr>
          <w:p w14:paraId="14EE6DBE" w14:textId="77777777" w:rsidR="00F37DD3" w:rsidRPr="00F37DD3" w:rsidRDefault="00F37DD3" w:rsidP="00464B48">
            <w:pPr>
              <w:jc w:val="both"/>
              <w:rPr>
                <w:rFonts w:eastAsia="Calibri"/>
                <w:sz w:val="18"/>
                <w:szCs w:val="18"/>
                <w:lang w:val="es-ES" w:eastAsia="en-US"/>
              </w:rPr>
            </w:pPr>
          </w:p>
        </w:tc>
        <w:tc>
          <w:tcPr>
            <w:tcW w:w="1265" w:type="dxa"/>
            <w:tcBorders>
              <w:top w:val="single" w:sz="4" w:space="0" w:color="auto"/>
              <w:left w:val="single" w:sz="4" w:space="0" w:color="auto"/>
              <w:bottom w:val="single" w:sz="4" w:space="0" w:color="auto"/>
              <w:right w:val="single" w:sz="4" w:space="0" w:color="auto"/>
            </w:tcBorders>
            <w:vAlign w:val="center"/>
          </w:tcPr>
          <w:p w14:paraId="19F4D550" w14:textId="77777777" w:rsidR="00F37DD3" w:rsidRPr="00F37DD3" w:rsidRDefault="00F37DD3" w:rsidP="00464B48">
            <w:pPr>
              <w:jc w:val="both"/>
              <w:rPr>
                <w:rFonts w:eastAsia="Calibri"/>
                <w:sz w:val="18"/>
                <w:szCs w:val="18"/>
                <w:lang w:val="es-ES" w:eastAsia="en-US"/>
              </w:rPr>
            </w:pPr>
          </w:p>
        </w:tc>
      </w:tr>
      <w:tr w:rsidR="00F37DD3" w:rsidRPr="00F37DD3" w14:paraId="5A904C7C" w14:textId="77777777" w:rsidTr="001E7CBA">
        <w:trPr>
          <w:jc w:val="center"/>
        </w:trPr>
        <w:tc>
          <w:tcPr>
            <w:tcW w:w="1249" w:type="dxa"/>
            <w:tcBorders>
              <w:top w:val="single" w:sz="4" w:space="0" w:color="auto"/>
              <w:left w:val="single" w:sz="4" w:space="0" w:color="auto"/>
              <w:bottom w:val="nil"/>
              <w:right w:val="single" w:sz="4" w:space="0" w:color="auto"/>
            </w:tcBorders>
            <w:vAlign w:val="center"/>
          </w:tcPr>
          <w:p w14:paraId="2B5C654E"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Enero</w:t>
            </w:r>
          </w:p>
        </w:tc>
        <w:tc>
          <w:tcPr>
            <w:tcW w:w="1276" w:type="dxa"/>
            <w:tcBorders>
              <w:top w:val="single" w:sz="4" w:space="0" w:color="auto"/>
              <w:left w:val="single" w:sz="4" w:space="0" w:color="auto"/>
              <w:bottom w:val="nil"/>
              <w:right w:val="single" w:sz="4" w:space="0" w:color="auto"/>
            </w:tcBorders>
            <w:vAlign w:val="center"/>
          </w:tcPr>
          <w:p w14:paraId="12A731E3"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-0.1</w:t>
            </w:r>
          </w:p>
        </w:tc>
        <w:tc>
          <w:tcPr>
            <w:tcW w:w="1255" w:type="dxa"/>
            <w:tcBorders>
              <w:top w:val="single" w:sz="4" w:space="0" w:color="auto"/>
              <w:left w:val="single" w:sz="4" w:space="0" w:color="auto"/>
              <w:bottom w:val="nil"/>
              <w:right w:val="single" w:sz="4" w:space="0" w:color="auto"/>
            </w:tcBorders>
            <w:vAlign w:val="center"/>
          </w:tcPr>
          <w:p w14:paraId="33318F0F"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1.3</w:t>
            </w:r>
          </w:p>
        </w:tc>
        <w:tc>
          <w:tcPr>
            <w:tcW w:w="1265" w:type="dxa"/>
            <w:tcBorders>
              <w:top w:val="single" w:sz="4" w:space="0" w:color="auto"/>
              <w:left w:val="single" w:sz="4" w:space="0" w:color="auto"/>
              <w:bottom w:val="nil"/>
              <w:right w:val="single" w:sz="4" w:space="0" w:color="auto"/>
            </w:tcBorders>
            <w:vAlign w:val="center"/>
          </w:tcPr>
          <w:p w14:paraId="0F49F1C4"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-0.3</w:t>
            </w:r>
          </w:p>
        </w:tc>
        <w:tc>
          <w:tcPr>
            <w:tcW w:w="1265" w:type="dxa"/>
            <w:tcBorders>
              <w:top w:val="single" w:sz="4" w:space="0" w:color="auto"/>
              <w:left w:val="single" w:sz="4" w:space="0" w:color="auto"/>
              <w:bottom w:val="nil"/>
              <w:right w:val="single" w:sz="4" w:space="0" w:color="auto"/>
            </w:tcBorders>
            <w:vAlign w:val="center"/>
          </w:tcPr>
          <w:p w14:paraId="22CCB25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-2.1</w:t>
            </w:r>
          </w:p>
        </w:tc>
        <w:tc>
          <w:tcPr>
            <w:tcW w:w="1265" w:type="dxa"/>
            <w:tcBorders>
              <w:top w:val="single" w:sz="4" w:space="0" w:color="auto"/>
              <w:left w:val="single" w:sz="4" w:space="0" w:color="auto"/>
              <w:bottom w:val="nil"/>
              <w:right w:val="single" w:sz="4" w:space="0" w:color="auto"/>
            </w:tcBorders>
            <w:vAlign w:val="center"/>
          </w:tcPr>
          <w:p w14:paraId="21E267AF"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3.2</w:t>
            </w:r>
          </w:p>
        </w:tc>
        <w:tc>
          <w:tcPr>
            <w:tcW w:w="1265" w:type="dxa"/>
            <w:tcBorders>
              <w:top w:val="single" w:sz="4" w:space="0" w:color="auto"/>
              <w:left w:val="single" w:sz="4" w:space="0" w:color="auto"/>
              <w:bottom w:val="nil"/>
              <w:right w:val="single" w:sz="4" w:space="0" w:color="auto"/>
            </w:tcBorders>
            <w:vAlign w:val="center"/>
          </w:tcPr>
          <w:p w14:paraId="05B0614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-2.6</w:t>
            </w:r>
          </w:p>
        </w:tc>
      </w:tr>
      <w:tr w:rsidR="00F37DD3" w:rsidRPr="00F37DD3" w14:paraId="6A7263C6" w14:textId="77777777" w:rsidTr="001E7CBA">
        <w:trPr>
          <w:jc w:val="center"/>
        </w:trPr>
        <w:tc>
          <w:tcPr>
            <w:tcW w:w="1249" w:type="dxa"/>
            <w:tcBorders>
              <w:top w:val="nil"/>
              <w:left w:val="single" w:sz="4" w:space="0" w:color="auto"/>
              <w:bottom w:val="nil"/>
              <w:right w:val="single" w:sz="4" w:space="0" w:color="auto"/>
            </w:tcBorders>
            <w:vAlign w:val="center"/>
          </w:tcPr>
          <w:p w14:paraId="6CD328A1"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Febrero</w:t>
            </w:r>
          </w:p>
        </w:tc>
        <w:tc>
          <w:tcPr>
            <w:tcW w:w="1276" w:type="dxa"/>
            <w:tcBorders>
              <w:top w:val="nil"/>
              <w:left w:val="single" w:sz="4" w:space="0" w:color="auto"/>
              <w:bottom w:val="nil"/>
              <w:right w:val="single" w:sz="4" w:space="0" w:color="auto"/>
            </w:tcBorders>
            <w:vAlign w:val="center"/>
          </w:tcPr>
          <w:p w14:paraId="7BCAA4CA"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-2.8</w:t>
            </w:r>
          </w:p>
        </w:tc>
        <w:tc>
          <w:tcPr>
            <w:tcW w:w="1255" w:type="dxa"/>
            <w:tcBorders>
              <w:top w:val="nil"/>
              <w:left w:val="single" w:sz="4" w:space="0" w:color="auto"/>
              <w:bottom w:val="nil"/>
              <w:right w:val="single" w:sz="4" w:space="0" w:color="auto"/>
            </w:tcBorders>
            <w:vAlign w:val="center"/>
          </w:tcPr>
          <w:p w14:paraId="2820E6C6"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-2.0</w:t>
            </w:r>
          </w:p>
        </w:tc>
        <w:tc>
          <w:tcPr>
            <w:tcW w:w="1265" w:type="dxa"/>
            <w:tcBorders>
              <w:top w:val="nil"/>
              <w:left w:val="single" w:sz="4" w:space="0" w:color="auto"/>
              <w:bottom w:val="nil"/>
              <w:right w:val="single" w:sz="4" w:space="0" w:color="auto"/>
            </w:tcBorders>
            <w:vAlign w:val="center"/>
          </w:tcPr>
          <w:p w14:paraId="11420A7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-3.7</w:t>
            </w:r>
          </w:p>
        </w:tc>
        <w:tc>
          <w:tcPr>
            <w:tcW w:w="1265" w:type="dxa"/>
            <w:tcBorders>
              <w:top w:val="nil"/>
              <w:left w:val="single" w:sz="4" w:space="0" w:color="auto"/>
              <w:bottom w:val="nil"/>
              <w:right w:val="single" w:sz="4" w:space="0" w:color="auto"/>
            </w:tcBorders>
            <w:vAlign w:val="center"/>
          </w:tcPr>
          <w:p w14:paraId="2D98CE4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-6.6</w:t>
            </w:r>
          </w:p>
        </w:tc>
        <w:tc>
          <w:tcPr>
            <w:tcW w:w="1265" w:type="dxa"/>
            <w:tcBorders>
              <w:top w:val="nil"/>
              <w:left w:val="single" w:sz="4" w:space="0" w:color="auto"/>
              <w:bottom w:val="nil"/>
              <w:right w:val="single" w:sz="4" w:space="0" w:color="auto"/>
            </w:tcBorders>
            <w:vAlign w:val="center"/>
          </w:tcPr>
          <w:p w14:paraId="5A2E391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1.2</w:t>
            </w:r>
          </w:p>
        </w:tc>
        <w:tc>
          <w:tcPr>
            <w:tcW w:w="1265" w:type="dxa"/>
            <w:tcBorders>
              <w:top w:val="nil"/>
              <w:left w:val="single" w:sz="4" w:space="0" w:color="auto"/>
              <w:bottom w:val="nil"/>
              <w:right w:val="single" w:sz="4" w:space="0" w:color="auto"/>
            </w:tcBorders>
            <w:vAlign w:val="center"/>
          </w:tcPr>
          <w:p w14:paraId="3A51AD4E"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-3.2</w:t>
            </w:r>
          </w:p>
        </w:tc>
      </w:tr>
      <w:tr w:rsidR="00F37DD3" w:rsidRPr="00F37DD3" w14:paraId="70C234E4" w14:textId="77777777" w:rsidTr="001E7CBA">
        <w:trPr>
          <w:jc w:val="center"/>
        </w:trPr>
        <w:tc>
          <w:tcPr>
            <w:tcW w:w="1249" w:type="dxa"/>
            <w:tcBorders>
              <w:top w:val="nil"/>
              <w:left w:val="single" w:sz="4" w:space="0" w:color="auto"/>
              <w:right w:val="single" w:sz="4" w:space="0" w:color="auto"/>
            </w:tcBorders>
            <w:vAlign w:val="center"/>
          </w:tcPr>
          <w:p w14:paraId="416A85FC"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Marzo </w:t>
            </w:r>
          </w:p>
        </w:tc>
        <w:tc>
          <w:tcPr>
            <w:tcW w:w="1276" w:type="dxa"/>
            <w:tcBorders>
              <w:top w:val="nil"/>
              <w:left w:val="single" w:sz="4" w:space="0" w:color="auto"/>
              <w:right w:val="single" w:sz="4" w:space="0" w:color="auto"/>
            </w:tcBorders>
            <w:vAlign w:val="center"/>
          </w:tcPr>
          <w:p w14:paraId="2EA2F35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-4.1</w:t>
            </w:r>
          </w:p>
        </w:tc>
        <w:tc>
          <w:tcPr>
            <w:tcW w:w="1255" w:type="dxa"/>
            <w:tcBorders>
              <w:top w:val="nil"/>
              <w:left w:val="single" w:sz="4" w:space="0" w:color="auto"/>
              <w:right w:val="single" w:sz="4" w:space="0" w:color="auto"/>
            </w:tcBorders>
            <w:vAlign w:val="center"/>
          </w:tcPr>
          <w:p w14:paraId="3C5DD51A"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-4.3</w:t>
            </w:r>
          </w:p>
        </w:tc>
        <w:tc>
          <w:tcPr>
            <w:tcW w:w="1265" w:type="dxa"/>
            <w:tcBorders>
              <w:top w:val="nil"/>
              <w:left w:val="single" w:sz="4" w:space="0" w:color="auto"/>
              <w:right w:val="single" w:sz="4" w:space="0" w:color="auto"/>
            </w:tcBorders>
            <w:vAlign w:val="center"/>
          </w:tcPr>
          <w:p w14:paraId="76C51C63"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-5.7</w:t>
            </w:r>
          </w:p>
        </w:tc>
        <w:tc>
          <w:tcPr>
            <w:tcW w:w="1265" w:type="dxa"/>
            <w:tcBorders>
              <w:top w:val="nil"/>
              <w:left w:val="single" w:sz="4" w:space="0" w:color="auto"/>
              <w:right w:val="single" w:sz="4" w:space="0" w:color="auto"/>
            </w:tcBorders>
            <w:vAlign w:val="center"/>
          </w:tcPr>
          <w:p w14:paraId="02DEE8EC"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-7.9</w:t>
            </w:r>
          </w:p>
        </w:tc>
        <w:tc>
          <w:tcPr>
            <w:tcW w:w="1265" w:type="dxa"/>
            <w:tcBorders>
              <w:top w:val="nil"/>
              <w:left w:val="single" w:sz="4" w:space="0" w:color="auto"/>
              <w:right w:val="single" w:sz="4" w:space="0" w:color="auto"/>
            </w:tcBorders>
            <w:vAlign w:val="center"/>
          </w:tcPr>
          <w:p w14:paraId="3C9A490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1.0</w:t>
            </w:r>
          </w:p>
        </w:tc>
        <w:tc>
          <w:tcPr>
            <w:tcW w:w="1265" w:type="dxa"/>
            <w:tcBorders>
              <w:top w:val="nil"/>
              <w:left w:val="single" w:sz="4" w:space="0" w:color="auto"/>
              <w:right w:val="single" w:sz="4" w:space="0" w:color="auto"/>
            </w:tcBorders>
            <w:vAlign w:val="center"/>
          </w:tcPr>
          <w:p w14:paraId="05F05A3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-3.4</w:t>
            </w:r>
          </w:p>
        </w:tc>
      </w:tr>
      <w:tr w:rsidR="00F37DD3" w:rsidRPr="00F37DD3" w14:paraId="39040FA7" w14:textId="77777777" w:rsidTr="001E7CBA">
        <w:trPr>
          <w:jc w:val="center"/>
        </w:trPr>
        <w:tc>
          <w:tcPr>
            <w:tcW w:w="1249" w:type="dxa"/>
            <w:tcBorders>
              <w:left w:val="single" w:sz="4" w:space="0" w:color="auto"/>
              <w:right w:val="single" w:sz="4" w:space="0" w:color="auto"/>
            </w:tcBorders>
            <w:vAlign w:val="center"/>
          </w:tcPr>
          <w:p w14:paraId="6573F627" w14:textId="77777777" w:rsidR="00F37DD3" w:rsidRPr="00F37DD3" w:rsidRDefault="00F37DD3" w:rsidP="00464B48">
            <w:pPr>
              <w:rPr>
                <w:rFonts w:eastAsia="Calibri"/>
                <w:b/>
                <w:sz w:val="18"/>
                <w:szCs w:val="18"/>
                <w:lang w:val="es-ES" w:eastAsia="en-US"/>
              </w:rPr>
            </w:pPr>
          </w:p>
        </w:tc>
        <w:tc>
          <w:tcPr>
            <w:tcW w:w="1276" w:type="dxa"/>
            <w:tcBorders>
              <w:left w:val="single" w:sz="4" w:space="0" w:color="auto"/>
              <w:right w:val="single" w:sz="4" w:space="0" w:color="auto"/>
            </w:tcBorders>
            <w:vAlign w:val="center"/>
          </w:tcPr>
          <w:p w14:paraId="2CB72297" w14:textId="77777777" w:rsidR="00F37DD3" w:rsidRPr="00F37DD3" w:rsidRDefault="00F37DD3" w:rsidP="00464B48">
            <w:pPr>
              <w:rPr>
                <w:rFonts w:eastAsia="Calibri"/>
                <w:b/>
                <w:sz w:val="18"/>
                <w:szCs w:val="18"/>
                <w:lang w:val="es-ES" w:eastAsia="en-US"/>
              </w:rPr>
            </w:pPr>
          </w:p>
        </w:tc>
        <w:tc>
          <w:tcPr>
            <w:tcW w:w="1255" w:type="dxa"/>
            <w:tcBorders>
              <w:left w:val="single" w:sz="4" w:space="0" w:color="auto"/>
              <w:right w:val="single" w:sz="4" w:space="0" w:color="auto"/>
            </w:tcBorders>
            <w:vAlign w:val="center"/>
          </w:tcPr>
          <w:p w14:paraId="08B6CE54" w14:textId="77777777" w:rsidR="00F37DD3" w:rsidRPr="00F37DD3" w:rsidRDefault="00F37DD3" w:rsidP="00464B48">
            <w:pPr>
              <w:rPr>
                <w:rFonts w:eastAsia="Calibri"/>
                <w:b/>
                <w:sz w:val="18"/>
                <w:szCs w:val="18"/>
                <w:lang w:val="es-ES" w:eastAsia="en-US"/>
              </w:rPr>
            </w:pPr>
          </w:p>
        </w:tc>
        <w:tc>
          <w:tcPr>
            <w:tcW w:w="2530" w:type="dxa"/>
            <w:gridSpan w:val="2"/>
            <w:tcBorders>
              <w:left w:val="single" w:sz="4" w:space="0" w:color="auto"/>
              <w:right w:val="single" w:sz="4" w:space="0" w:color="auto"/>
            </w:tcBorders>
            <w:vAlign w:val="center"/>
          </w:tcPr>
          <w:p w14:paraId="68162D54"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Manufacturas</w:t>
            </w:r>
          </w:p>
        </w:tc>
        <w:tc>
          <w:tcPr>
            <w:tcW w:w="1265" w:type="dxa"/>
            <w:tcBorders>
              <w:left w:val="single" w:sz="4" w:space="0" w:color="auto"/>
              <w:right w:val="single" w:sz="4" w:space="0" w:color="auto"/>
            </w:tcBorders>
            <w:vAlign w:val="center"/>
          </w:tcPr>
          <w:p w14:paraId="35D5CDED" w14:textId="77777777" w:rsidR="00F37DD3" w:rsidRPr="00F37DD3" w:rsidRDefault="00F37DD3" w:rsidP="00464B48">
            <w:pPr>
              <w:rPr>
                <w:rFonts w:eastAsia="Calibri"/>
                <w:b/>
                <w:sz w:val="18"/>
                <w:szCs w:val="18"/>
                <w:lang w:val="es-ES" w:eastAsia="en-US"/>
              </w:rPr>
            </w:pPr>
          </w:p>
        </w:tc>
        <w:tc>
          <w:tcPr>
            <w:tcW w:w="1265" w:type="dxa"/>
            <w:tcBorders>
              <w:left w:val="single" w:sz="4" w:space="0" w:color="auto"/>
              <w:right w:val="single" w:sz="4" w:space="0" w:color="auto"/>
            </w:tcBorders>
            <w:vAlign w:val="center"/>
          </w:tcPr>
          <w:p w14:paraId="6649D1D7" w14:textId="77777777" w:rsidR="00F37DD3" w:rsidRPr="00F37DD3" w:rsidRDefault="00F37DD3" w:rsidP="00464B48">
            <w:pPr>
              <w:rPr>
                <w:rFonts w:eastAsia="Calibri"/>
                <w:b/>
                <w:sz w:val="18"/>
                <w:szCs w:val="18"/>
                <w:lang w:val="es-ES" w:eastAsia="en-US"/>
              </w:rPr>
            </w:pPr>
          </w:p>
        </w:tc>
      </w:tr>
      <w:tr w:rsidR="00F37DD3" w:rsidRPr="00F37DD3" w14:paraId="58511804" w14:textId="77777777" w:rsidTr="001E7CBA">
        <w:trPr>
          <w:jc w:val="center"/>
        </w:trPr>
        <w:tc>
          <w:tcPr>
            <w:tcW w:w="1249" w:type="dxa"/>
            <w:tcBorders>
              <w:left w:val="single" w:sz="4" w:space="0" w:color="auto"/>
              <w:bottom w:val="nil"/>
              <w:right w:val="single" w:sz="4" w:space="0" w:color="auto"/>
            </w:tcBorders>
            <w:vAlign w:val="center"/>
          </w:tcPr>
          <w:p w14:paraId="6BD95EBE"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Enero</w:t>
            </w:r>
          </w:p>
        </w:tc>
        <w:tc>
          <w:tcPr>
            <w:tcW w:w="1276" w:type="dxa"/>
            <w:tcBorders>
              <w:left w:val="single" w:sz="4" w:space="0" w:color="auto"/>
              <w:bottom w:val="nil"/>
              <w:right w:val="single" w:sz="4" w:space="0" w:color="auto"/>
            </w:tcBorders>
            <w:vAlign w:val="center"/>
          </w:tcPr>
          <w:p w14:paraId="0D14A081"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-0.5</w:t>
            </w:r>
          </w:p>
        </w:tc>
        <w:tc>
          <w:tcPr>
            <w:tcW w:w="1255" w:type="dxa"/>
            <w:tcBorders>
              <w:left w:val="single" w:sz="4" w:space="0" w:color="auto"/>
              <w:bottom w:val="nil"/>
              <w:right w:val="single" w:sz="4" w:space="0" w:color="auto"/>
            </w:tcBorders>
            <w:vAlign w:val="center"/>
          </w:tcPr>
          <w:p w14:paraId="6B5E238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-0.3</w:t>
            </w:r>
          </w:p>
        </w:tc>
        <w:tc>
          <w:tcPr>
            <w:tcW w:w="1265" w:type="dxa"/>
            <w:tcBorders>
              <w:left w:val="single" w:sz="4" w:space="0" w:color="auto"/>
              <w:bottom w:val="nil"/>
              <w:right w:val="single" w:sz="4" w:space="0" w:color="auto"/>
            </w:tcBorders>
            <w:vAlign w:val="center"/>
          </w:tcPr>
          <w:p w14:paraId="15866B8F"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-1.3</w:t>
            </w:r>
          </w:p>
        </w:tc>
        <w:tc>
          <w:tcPr>
            <w:tcW w:w="1265" w:type="dxa"/>
            <w:tcBorders>
              <w:left w:val="single" w:sz="4" w:space="0" w:color="auto"/>
              <w:bottom w:val="nil"/>
              <w:right w:val="single" w:sz="4" w:space="0" w:color="auto"/>
            </w:tcBorders>
            <w:vAlign w:val="center"/>
          </w:tcPr>
          <w:p w14:paraId="60D8FB54"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-0.6</w:t>
            </w:r>
          </w:p>
        </w:tc>
        <w:tc>
          <w:tcPr>
            <w:tcW w:w="1265" w:type="dxa"/>
            <w:tcBorders>
              <w:left w:val="single" w:sz="4" w:space="0" w:color="auto"/>
              <w:bottom w:val="nil"/>
              <w:right w:val="single" w:sz="4" w:space="0" w:color="auto"/>
            </w:tcBorders>
            <w:vAlign w:val="center"/>
          </w:tcPr>
          <w:p w14:paraId="7F2EB00F"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0.1</w:t>
            </w:r>
          </w:p>
        </w:tc>
        <w:tc>
          <w:tcPr>
            <w:tcW w:w="1265" w:type="dxa"/>
            <w:tcBorders>
              <w:left w:val="single" w:sz="4" w:space="0" w:color="auto"/>
              <w:bottom w:val="nil"/>
              <w:right w:val="single" w:sz="4" w:space="0" w:color="auto"/>
            </w:tcBorders>
            <w:vAlign w:val="center"/>
          </w:tcPr>
          <w:p w14:paraId="3D253AE4"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-0.3</w:t>
            </w:r>
          </w:p>
        </w:tc>
      </w:tr>
      <w:tr w:rsidR="00F37DD3" w:rsidRPr="00F37DD3" w14:paraId="31257654" w14:textId="77777777" w:rsidTr="001E7CBA">
        <w:trPr>
          <w:jc w:val="center"/>
        </w:trPr>
        <w:tc>
          <w:tcPr>
            <w:tcW w:w="1249" w:type="dxa"/>
            <w:tcBorders>
              <w:top w:val="nil"/>
              <w:left w:val="single" w:sz="4" w:space="0" w:color="auto"/>
              <w:bottom w:val="nil"/>
              <w:right w:val="single" w:sz="4" w:space="0" w:color="auto"/>
            </w:tcBorders>
            <w:vAlign w:val="center"/>
          </w:tcPr>
          <w:p w14:paraId="3A132D77"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Febrero</w:t>
            </w:r>
          </w:p>
        </w:tc>
        <w:tc>
          <w:tcPr>
            <w:tcW w:w="1276" w:type="dxa"/>
            <w:tcBorders>
              <w:top w:val="nil"/>
              <w:left w:val="single" w:sz="4" w:space="0" w:color="auto"/>
              <w:bottom w:val="nil"/>
              <w:right w:val="single" w:sz="4" w:space="0" w:color="auto"/>
            </w:tcBorders>
            <w:vAlign w:val="center"/>
          </w:tcPr>
          <w:p w14:paraId="0CC40A2C"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-1.7</w:t>
            </w:r>
          </w:p>
        </w:tc>
        <w:tc>
          <w:tcPr>
            <w:tcW w:w="1255" w:type="dxa"/>
            <w:tcBorders>
              <w:top w:val="nil"/>
              <w:left w:val="single" w:sz="4" w:space="0" w:color="auto"/>
              <w:bottom w:val="nil"/>
              <w:right w:val="single" w:sz="4" w:space="0" w:color="auto"/>
            </w:tcBorders>
            <w:vAlign w:val="center"/>
          </w:tcPr>
          <w:p w14:paraId="57C6E89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-3.8</w:t>
            </w:r>
          </w:p>
        </w:tc>
        <w:tc>
          <w:tcPr>
            <w:tcW w:w="1265" w:type="dxa"/>
            <w:tcBorders>
              <w:top w:val="nil"/>
              <w:left w:val="single" w:sz="4" w:space="0" w:color="auto"/>
              <w:bottom w:val="nil"/>
              <w:right w:val="single" w:sz="4" w:space="0" w:color="auto"/>
            </w:tcBorders>
            <w:vAlign w:val="center"/>
          </w:tcPr>
          <w:p w14:paraId="04D5C1F3"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-1.5</w:t>
            </w:r>
          </w:p>
        </w:tc>
        <w:tc>
          <w:tcPr>
            <w:tcW w:w="1265" w:type="dxa"/>
            <w:tcBorders>
              <w:top w:val="nil"/>
              <w:left w:val="single" w:sz="4" w:space="0" w:color="auto"/>
              <w:bottom w:val="nil"/>
              <w:right w:val="single" w:sz="4" w:space="0" w:color="auto"/>
            </w:tcBorders>
            <w:vAlign w:val="center"/>
          </w:tcPr>
          <w:p w14:paraId="177E39A2"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-1.8</w:t>
            </w:r>
          </w:p>
        </w:tc>
        <w:tc>
          <w:tcPr>
            <w:tcW w:w="1265" w:type="dxa"/>
            <w:tcBorders>
              <w:top w:val="nil"/>
              <w:left w:val="single" w:sz="4" w:space="0" w:color="auto"/>
              <w:bottom w:val="nil"/>
              <w:right w:val="single" w:sz="4" w:space="0" w:color="auto"/>
            </w:tcBorders>
            <w:vAlign w:val="center"/>
          </w:tcPr>
          <w:p w14:paraId="6075B1B9"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-0.4</w:t>
            </w:r>
          </w:p>
        </w:tc>
        <w:tc>
          <w:tcPr>
            <w:tcW w:w="1265" w:type="dxa"/>
            <w:tcBorders>
              <w:top w:val="nil"/>
              <w:left w:val="single" w:sz="4" w:space="0" w:color="auto"/>
              <w:bottom w:val="nil"/>
              <w:right w:val="single" w:sz="4" w:space="0" w:color="auto"/>
            </w:tcBorders>
            <w:vAlign w:val="center"/>
          </w:tcPr>
          <w:p w14:paraId="1E2FF70D"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-1.1</w:t>
            </w:r>
          </w:p>
        </w:tc>
      </w:tr>
      <w:tr w:rsidR="00F37DD3" w:rsidRPr="00F37DD3" w14:paraId="23243EBD" w14:textId="77777777" w:rsidTr="001E7CBA">
        <w:trPr>
          <w:jc w:val="center"/>
        </w:trPr>
        <w:tc>
          <w:tcPr>
            <w:tcW w:w="1249" w:type="dxa"/>
            <w:tcBorders>
              <w:top w:val="nil"/>
              <w:left w:val="single" w:sz="4" w:space="0" w:color="auto"/>
              <w:right w:val="single" w:sz="4" w:space="0" w:color="auto"/>
            </w:tcBorders>
            <w:vAlign w:val="center"/>
          </w:tcPr>
          <w:p w14:paraId="05394EBC"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Marzo </w:t>
            </w:r>
          </w:p>
        </w:tc>
        <w:tc>
          <w:tcPr>
            <w:tcW w:w="1276" w:type="dxa"/>
            <w:tcBorders>
              <w:top w:val="nil"/>
              <w:left w:val="single" w:sz="4" w:space="0" w:color="auto"/>
              <w:right w:val="single" w:sz="4" w:space="0" w:color="auto"/>
            </w:tcBorders>
            <w:vAlign w:val="center"/>
          </w:tcPr>
          <w:p w14:paraId="028E2A16"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-3.2</w:t>
            </w:r>
          </w:p>
        </w:tc>
        <w:tc>
          <w:tcPr>
            <w:tcW w:w="1255" w:type="dxa"/>
            <w:tcBorders>
              <w:top w:val="nil"/>
              <w:left w:val="single" w:sz="4" w:space="0" w:color="auto"/>
              <w:right w:val="single" w:sz="4" w:space="0" w:color="auto"/>
            </w:tcBorders>
            <w:vAlign w:val="center"/>
          </w:tcPr>
          <w:p w14:paraId="22F152C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-5.5</w:t>
            </w:r>
          </w:p>
        </w:tc>
        <w:tc>
          <w:tcPr>
            <w:tcW w:w="1265" w:type="dxa"/>
            <w:tcBorders>
              <w:top w:val="nil"/>
              <w:left w:val="single" w:sz="4" w:space="0" w:color="auto"/>
              <w:right w:val="single" w:sz="4" w:space="0" w:color="auto"/>
            </w:tcBorders>
            <w:vAlign w:val="center"/>
          </w:tcPr>
          <w:p w14:paraId="1F016C6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-3.8</w:t>
            </w:r>
          </w:p>
        </w:tc>
        <w:tc>
          <w:tcPr>
            <w:tcW w:w="1265" w:type="dxa"/>
            <w:tcBorders>
              <w:top w:val="nil"/>
              <w:left w:val="single" w:sz="4" w:space="0" w:color="auto"/>
              <w:right w:val="single" w:sz="4" w:space="0" w:color="auto"/>
            </w:tcBorders>
            <w:vAlign w:val="center"/>
          </w:tcPr>
          <w:p w14:paraId="14A82FD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-3.4</w:t>
            </w:r>
          </w:p>
        </w:tc>
        <w:tc>
          <w:tcPr>
            <w:tcW w:w="1265" w:type="dxa"/>
            <w:tcBorders>
              <w:top w:val="nil"/>
              <w:left w:val="single" w:sz="4" w:space="0" w:color="auto"/>
              <w:right w:val="single" w:sz="4" w:space="0" w:color="auto"/>
            </w:tcBorders>
            <w:vAlign w:val="center"/>
          </w:tcPr>
          <w:p w14:paraId="13401A1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-1.3</w:t>
            </w:r>
          </w:p>
        </w:tc>
        <w:tc>
          <w:tcPr>
            <w:tcW w:w="1265" w:type="dxa"/>
            <w:tcBorders>
              <w:top w:val="nil"/>
              <w:left w:val="single" w:sz="4" w:space="0" w:color="auto"/>
              <w:right w:val="single" w:sz="4" w:space="0" w:color="auto"/>
            </w:tcBorders>
            <w:vAlign w:val="center"/>
          </w:tcPr>
          <w:p w14:paraId="1D355C5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-2.3</w:t>
            </w:r>
          </w:p>
        </w:tc>
      </w:tr>
      <w:tr w:rsidR="00F37DD3" w:rsidRPr="00F37DD3" w14:paraId="08CA1DDB" w14:textId="77777777" w:rsidTr="001E7CBA">
        <w:trPr>
          <w:jc w:val="center"/>
        </w:trPr>
        <w:tc>
          <w:tcPr>
            <w:tcW w:w="1249" w:type="dxa"/>
            <w:tcBorders>
              <w:left w:val="single" w:sz="4" w:space="0" w:color="auto"/>
              <w:right w:val="single" w:sz="4" w:space="0" w:color="auto"/>
            </w:tcBorders>
            <w:vAlign w:val="center"/>
          </w:tcPr>
          <w:p w14:paraId="408796ED" w14:textId="77777777" w:rsidR="00F37DD3" w:rsidRPr="00F37DD3" w:rsidRDefault="00F37DD3" w:rsidP="00464B48">
            <w:pPr>
              <w:jc w:val="both"/>
              <w:rPr>
                <w:rFonts w:eastAsia="Calibri"/>
                <w:sz w:val="18"/>
                <w:szCs w:val="18"/>
                <w:lang w:val="es-ES" w:eastAsia="en-US"/>
              </w:rPr>
            </w:pPr>
          </w:p>
        </w:tc>
        <w:tc>
          <w:tcPr>
            <w:tcW w:w="1276" w:type="dxa"/>
            <w:tcBorders>
              <w:left w:val="single" w:sz="4" w:space="0" w:color="auto"/>
              <w:right w:val="single" w:sz="4" w:space="0" w:color="auto"/>
            </w:tcBorders>
            <w:vAlign w:val="center"/>
          </w:tcPr>
          <w:p w14:paraId="2CB5D9C4" w14:textId="77777777" w:rsidR="00F37DD3" w:rsidRPr="00F37DD3" w:rsidRDefault="00F37DD3" w:rsidP="00464B48">
            <w:pPr>
              <w:jc w:val="both"/>
              <w:rPr>
                <w:rFonts w:eastAsia="Calibri"/>
                <w:sz w:val="18"/>
                <w:szCs w:val="18"/>
                <w:lang w:val="es-ES" w:eastAsia="en-US"/>
              </w:rPr>
            </w:pPr>
          </w:p>
        </w:tc>
        <w:tc>
          <w:tcPr>
            <w:tcW w:w="1255" w:type="dxa"/>
            <w:tcBorders>
              <w:left w:val="single" w:sz="4" w:space="0" w:color="auto"/>
              <w:right w:val="single" w:sz="4" w:space="0" w:color="auto"/>
            </w:tcBorders>
            <w:vAlign w:val="center"/>
          </w:tcPr>
          <w:p w14:paraId="576FFB9C" w14:textId="77777777" w:rsidR="00F37DD3" w:rsidRPr="00F37DD3" w:rsidRDefault="00F37DD3" w:rsidP="00464B48">
            <w:pPr>
              <w:jc w:val="both"/>
              <w:rPr>
                <w:rFonts w:eastAsia="Calibri"/>
                <w:sz w:val="18"/>
                <w:szCs w:val="18"/>
                <w:lang w:val="es-ES" w:eastAsia="en-US"/>
              </w:rPr>
            </w:pPr>
          </w:p>
        </w:tc>
        <w:tc>
          <w:tcPr>
            <w:tcW w:w="2530" w:type="dxa"/>
            <w:gridSpan w:val="2"/>
            <w:tcBorders>
              <w:left w:val="single" w:sz="4" w:space="0" w:color="auto"/>
              <w:right w:val="single" w:sz="4" w:space="0" w:color="auto"/>
            </w:tcBorders>
            <w:vAlign w:val="center"/>
          </w:tcPr>
          <w:p w14:paraId="7E146D7B"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Comercio</w:t>
            </w:r>
          </w:p>
        </w:tc>
        <w:tc>
          <w:tcPr>
            <w:tcW w:w="1265" w:type="dxa"/>
            <w:tcBorders>
              <w:left w:val="single" w:sz="4" w:space="0" w:color="auto"/>
              <w:right w:val="single" w:sz="4" w:space="0" w:color="auto"/>
            </w:tcBorders>
            <w:vAlign w:val="center"/>
          </w:tcPr>
          <w:p w14:paraId="70B8F168" w14:textId="77777777" w:rsidR="00F37DD3" w:rsidRPr="00F37DD3" w:rsidRDefault="00F37DD3" w:rsidP="00464B48">
            <w:pPr>
              <w:jc w:val="both"/>
              <w:rPr>
                <w:rFonts w:eastAsia="Calibri"/>
                <w:sz w:val="18"/>
                <w:szCs w:val="18"/>
                <w:lang w:val="es-ES" w:eastAsia="en-US"/>
              </w:rPr>
            </w:pPr>
          </w:p>
        </w:tc>
        <w:tc>
          <w:tcPr>
            <w:tcW w:w="1265" w:type="dxa"/>
            <w:tcBorders>
              <w:left w:val="single" w:sz="4" w:space="0" w:color="auto"/>
              <w:right w:val="single" w:sz="4" w:space="0" w:color="auto"/>
            </w:tcBorders>
            <w:vAlign w:val="center"/>
          </w:tcPr>
          <w:p w14:paraId="02120803" w14:textId="77777777" w:rsidR="00F37DD3" w:rsidRPr="00F37DD3" w:rsidRDefault="00F37DD3" w:rsidP="00464B48">
            <w:pPr>
              <w:jc w:val="both"/>
              <w:rPr>
                <w:rFonts w:eastAsia="Calibri"/>
                <w:sz w:val="18"/>
                <w:szCs w:val="18"/>
                <w:lang w:val="es-ES" w:eastAsia="en-US"/>
              </w:rPr>
            </w:pPr>
          </w:p>
        </w:tc>
      </w:tr>
      <w:tr w:rsidR="00F37DD3" w:rsidRPr="00F37DD3" w14:paraId="50D2BA0D" w14:textId="77777777" w:rsidTr="001E7CBA">
        <w:trPr>
          <w:jc w:val="center"/>
        </w:trPr>
        <w:tc>
          <w:tcPr>
            <w:tcW w:w="1249" w:type="dxa"/>
            <w:tcBorders>
              <w:left w:val="single" w:sz="4" w:space="0" w:color="auto"/>
              <w:bottom w:val="nil"/>
              <w:right w:val="single" w:sz="4" w:space="0" w:color="auto"/>
            </w:tcBorders>
            <w:vAlign w:val="center"/>
          </w:tcPr>
          <w:p w14:paraId="4CE807F8"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Enero</w:t>
            </w:r>
          </w:p>
        </w:tc>
        <w:tc>
          <w:tcPr>
            <w:tcW w:w="1276" w:type="dxa"/>
            <w:tcBorders>
              <w:left w:val="single" w:sz="4" w:space="0" w:color="auto"/>
              <w:bottom w:val="nil"/>
              <w:right w:val="single" w:sz="4" w:space="0" w:color="auto"/>
            </w:tcBorders>
            <w:vAlign w:val="center"/>
          </w:tcPr>
          <w:p w14:paraId="7C868268"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-1.3</w:t>
            </w:r>
          </w:p>
        </w:tc>
        <w:tc>
          <w:tcPr>
            <w:tcW w:w="1255" w:type="dxa"/>
            <w:tcBorders>
              <w:left w:val="single" w:sz="4" w:space="0" w:color="auto"/>
              <w:bottom w:val="nil"/>
              <w:right w:val="single" w:sz="4" w:space="0" w:color="auto"/>
            </w:tcBorders>
            <w:vAlign w:val="center"/>
          </w:tcPr>
          <w:p w14:paraId="4F45D21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-0.1</w:t>
            </w:r>
          </w:p>
        </w:tc>
        <w:tc>
          <w:tcPr>
            <w:tcW w:w="1265" w:type="dxa"/>
            <w:tcBorders>
              <w:left w:val="single" w:sz="4" w:space="0" w:color="auto"/>
              <w:bottom w:val="nil"/>
              <w:right w:val="single" w:sz="4" w:space="0" w:color="auto"/>
            </w:tcBorders>
            <w:vAlign w:val="center"/>
          </w:tcPr>
          <w:p w14:paraId="449944AC"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-4.3</w:t>
            </w:r>
          </w:p>
        </w:tc>
        <w:tc>
          <w:tcPr>
            <w:tcW w:w="1265" w:type="dxa"/>
            <w:tcBorders>
              <w:left w:val="single" w:sz="4" w:space="0" w:color="auto"/>
              <w:bottom w:val="nil"/>
              <w:right w:val="single" w:sz="4" w:space="0" w:color="auto"/>
            </w:tcBorders>
            <w:vAlign w:val="center"/>
          </w:tcPr>
          <w:p w14:paraId="46EC5A8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-2.4</w:t>
            </w:r>
          </w:p>
        </w:tc>
        <w:tc>
          <w:tcPr>
            <w:tcW w:w="1265" w:type="dxa"/>
            <w:tcBorders>
              <w:left w:val="single" w:sz="4" w:space="0" w:color="auto"/>
              <w:bottom w:val="nil"/>
              <w:right w:val="single" w:sz="4" w:space="0" w:color="auto"/>
            </w:tcBorders>
            <w:vAlign w:val="center"/>
          </w:tcPr>
          <w:p w14:paraId="745A5B16"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0.0</w:t>
            </w:r>
          </w:p>
        </w:tc>
        <w:tc>
          <w:tcPr>
            <w:tcW w:w="1265" w:type="dxa"/>
            <w:tcBorders>
              <w:left w:val="single" w:sz="4" w:space="0" w:color="auto"/>
              <w:bottom w:val="nil"/>
              <w:right w:val="single" w:sz="4" w:space="0" w:color="auto"/>
            </w:tcBorders>
            <w:vAlign w:val="center"/>
          </w:tcPr>
          <w:p w14:paraId="49655DF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0.1</w:t>
            </w:r>
          </w:p>
        </w:tc>
      </w:tr>
      <w:tr w:rsidR="00F37DD3" w:rsidRPr="00F37DD3" w14:paraId="577869E2" w14:textId="77777777" w:rsidTr="001E7CBA">
        <w:trPr>
          <w:jc w:val="center"/>
        </w:trPr>
        <w:tc>
          <w:tcPr>
            <w:tcW w:w="1249" w:type="dxa"/>
            <w:tcBorders>
              <w:top w:val="nil"/>
              <w:left w:val="single" w:sz="4" w:space="0" w:color="auto"/>
              <w:bottom w:val="nil"/>
              <w:right w:val="single" w:sz="4" w:space="0" w:color="auto"/>
            </w:tcBorders>
            <w:vAlign w:val="center"/>
          </w:tcPr>
          <w:p w14:paraId="3F385F16"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Febrero</w:t>
            </w:r>
          </w:p>
        </w:tc>
        <w:tc>
          <w:tcPr>
            <w:tcW w:w="1276" w:type="dxa"/>
            <w:tcBorders>
              <w:top w:val="nil"/>
              <w:left w:val="single" w:sz="4" w:space="0" w:color="auto"/>
              <w:bottom w:val="nil"/>
              <w:right w:val="single" w:sz="4" w:space="0" w:color="auto"/>
            </w:tcBorders>
            <w:vAlign w:val="center"/>
          </w:tcPr>
          <w:p w14:paraId="70A4AB14"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-5.2</w:t>
            </w:r>
          </w:p>
        </w:tc>
        <w:tc>
          <w:tcPr>
            <w:tcW w:w="1255" w:type="dxa"/>
            <w:tcBorders>
              <w:top w:val="nil"/>
              <w:left w:val="single" w:sz="4" w:space="0" w:color="auto"/>
              <w:bottom w:val="nil"/>
              <w:right w:val="single" w:sz="4" w:space="0" w:color="auto"/>
            </w:tcBorders>
            <w:vAlign w:val="center"/>
          </w:tcPr>
          <w:p w14:paraId="7844012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-8.5</w:t>
            </w:r>
          </w:p>
        </w:tc>
        <w:tc>
          <w:tcPr>
            <w:tcW w:w="1265" w:type="dxa"/>
            <w:tcBorders>
              <w:top w:val="nil"/>
              <w:left w:val="single" w:sz="4" w:space="0" w:color="auto"/>
              <w:bottom w:val="nil"/>
              <w:right w:val="single" w:sz="4" w:space="0" w:color="auto"/>
            </w:tcBorders>
            <w:vAlign w:val="center"/>
          </w:tcPr>
          <w:p w14:paraId="63EDC5D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-7.2</w:t>
            </w:r>
          </w:p>
        </w:tc>
        <w:tc>
          <w:tcPr>
            <w:tcW w:w="1265" w:type="dxa"/>
            <w:tcBorders>
              <w:top w:val="nil"/>
              <w:left w:val="single" w:sz="4" w:space="0" w:color="auto"/>
              <w:bottom w:val="nil"/>
              <w:right w:val="single" w:sz="4" w:space="0" w:color="auto"/>
            </w:tcBorders>
            <w:vAlign w:val="center"/>
          </w:tcPr>
          <w:p w14:paraId="33CB55E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-4.9</w:t>
            </w:r>
          </w:p>
        </w:tc>
        <w:tc>
          <w:tcPr>
            <w:tcW w:w="1265" w:type="dxa"/>
            <w:tcBorders>
              <w:top w:val="nil"/>
              <w:left w:val="single" w:sz="4" w:space="0" w:color="auto"/>
              <w:bottom w:val="nil"/>
              <w:right w:val="single" w:sz="4" w:space="0" w:color="auto"/>
            </w:tcBorders>
            <w:vAlign w:val="center"/>
          </w:tcPr>
          <w:p w14:paraId="1AABF489"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-2.5</w:t>
            </w:r>
          </w:p>
        </w:tc>
        <w:tc>
          <w:tcPr>
            <w:tcW w:w="1265" w:type="dxa"/>
            <w:tcBorders>
              <w:top w:val="nil"/>
              <w:left w:val="single" w:sz="4" w:space="0" w:color="auto"/>
              <w:bottom w:val="nil"/>
              <w:right w:val="single" w:sz="4" w:space="0" w:color="auto"/>
            </w:tcBorders>
            <w:vAlign w:val="center"/>
          </w:tcPr>
          <w:p w14:paraId="51D0EF4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-2.6</w:t>
            </w:r>
          </w:p>
        </w:tc>
      </w:tr>
      <w:tr w:rsidR="00F37DD3" w:rsidRPr="00F37DD3" w14:paraId="2D606BFE" w14:textId="77777777" w:rsidTr="001E7CBA">
        <w:trPr>
          <w:jc w:val="center"/>
        </w:trPr>
        <w:tc>
          <w:tcPr>
            <w:tcW w:w="1249" w:type="dxa"/>
            <w:tcBorders>
              <w:top w:val="nil"/>
              <w:left w:val="single" w:sz="4" w:space="0" w:color="auto"/>
              <w:bottom w:val="single" w:sz="4" w:space="0" w:color="auto"/>
              <w:right w:val="single" w:sz="4" w:space="0" w:color="auto"/>
            </w:tcBorders>
            <w:vAlign w:val="center"/>
          </w:tcPr>
          <w:p w14:paraId="4182DCF1"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Marzo </w:t>
            </w:r>
          </w:p>
        </w:tc>
        <w:tc>
          <w:tcPr>
            <w:tcW w:w="1276" w:type="dxa"/>
            <w:tcBorders>
              <w:top w:val="nil"/>
              <w:left w:val="single" w:sz="4" w:space="0" w:color="auto"/>
              <w:bottom w:val="single" w:sz="4" w:space="0" w:color="auto"/>
              <w:right w:val="single" w:sz="4" w:space="0" w:color="auto"/>
            </w:tcBorders>
            <w:vAlign w:val="center"/>
          </w:tcPr>
          <w:p w14:paraId="5462DB39"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-5.9</w:t>
            </w:r>
          </w:p>
        </w:tc>
        <w:tc>
          <w:tcPr>
            <w:tcW w:w="1255" w:type="dxa"/>
            <w:tcBorders>
              <w:top w:val="nil"/>
              <w:left w:val="single" w:sz="4" w:space="0" w:color="auto"/>
              <w:bottom w:val="single" w:sz="4" w:space="0" w:color="auto"/>
              <w:right w:val="single" w:sz="4" w:space="0" w:color="auto"/>
            </w:tcBorders>
            <w:vAlign w:val="center"/>
          </w:tcPr>
          <w:p w14:paraId="6F80F318"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-10.5</w:t>
            </w:r>
          </w:p>
        </w:tc>
        <w:tc>
          <w:tcPr>
            <w:tcW w:w="1265" w:type="dxa"/>
            <w:tcBorders>
              <w:top w:val="nil"/>
              <w:left w:val="single" w:sz="4" w:space="0" w:color="auto"/>
              <w:bottom w:val="single" w:sz="4" w:space="0" w:color="auto"/>
              <w:right w:val="single" w:sz="4" w:space="0" w:color="auto"/>
            </w:tcBorders>
            <w:vAlign w:val="center"/>
          </w:tcPr>
          <w:p w14:paraId="40FAD44F"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-7.6</w:t>
            </w:r>
          </w:p>
        </w:tc>
        <w:tc>
          <w:tcPr>
            <w:tcW w:w="1265" w:type="dxa"/>
            <w:tcBorders>
              <w:top w:val="nil"/>
              <w:left w:val="single" w:sz="4" w:space="0" w:color="auto"/>
              <w:bottom w:val="single" w:sz="4" w:space="0" w:color="auto"/>
              <w:right w:val="single" w:sz="4" w:space="0" w:color="auto"/>
            </w:tcBorders>
            <w:vAlign w:val="center"/>
          </w:tcPr>
          <w:p w14:paraId="71AFA673"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-6.7</w:t>
            </w:r>
          </w:p>
        </w:tc>
        <w:tc>
          <w:tcPr>
            <w:tcW w:w="1265" w:type="dxa"/>
            <w:tcBorders>
              <w:top w:val="nil"/>
              <w:left w:val="single" w:sz="4" w:space="0" w:color="auto"/>
              <w:bottom w:val="single" w:sz="4" w:space="0" w:color="auto"/>
              <w:right w:val="single" w:sz="4" w:space="0" w:color="auto"/>
            </w:tcBorders>
            <w:vAlign w:val="center"/>
          </w:tcPr>
          <w:p w14:paraId="7A917C1D"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-1.7</w:t>
            </w:r>
          </w:p>
        </w:tc>
        <w:tc>
          <w:tcPr>
            <w:tcW w:w="1265" w:type="dxa"/>
            <w:tcBorders>
              <w:top w:val="nil"/>
              <w:left w:val="single" w:sz="4" w:space="0" w:color="auto"/>
              <w:bottom w:val="single" w:sz="4" w:space="0" w:color="auto"/>
              <w:right w:val="single" w:sz="4" w:space="0" w:color="auto"/>
            </w:tcBorders>
            <w:vAlign w:val="center"/>
          </w:tcPr>
          <w:p w14:paraId="3A536BEE"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-3.3</w:t>
            </w:r>
          </w:p>
        </w:tc>
      </w:tr>
      <w:tr w:rsidR="00F37DD3" w:rsidRPr="00F37DD3" w14:paraId="2F2D58A6" w14:textId="77777777" w:rsidTr="001E7CBA">
        <w:trPr>
          <w:jc w:val="center"/>
        </w:trPr>
        <w:tc>
          <w:tcPr>
            <w:tcW w:w="8840" w:type="dxa"/>
            <w:gridSpan w:val="7"/>
            <w:tcBorders>
              <w:top w:val="single" w:sz="4" w:space="0" w:color="auto"/>
              <w:left w:val="nil"/>
              <w:bottom w:val="nil"/>
              <w:right w:val="nil"/>
            </w:tcBorders>
            <w:vAlign w:val="center"/>
          </w:tcPr>
          <w:p w14:paraId="671BC3A4" w14:textId="77777777" w:rsidR="00F37DD3" w:rsidRPr="00F37DD3" w:rsidRDefault="00F37DD3" w:rsidP="00464B48">
            <w:pPr>
              <w:jc w:val="both"/>
              <w:rPr>
                <w:rFonts w:eastAsia="Calibri"/>
                <w:sz w:val="20"/>
                <w:szCs w:val="20"/>
                <w:lang w:val="es-ES" w:eastAsia="en-US"/>
              </w:rPr>
            </w:pPr>
            <w:r w:rsidRPr="00F37DD3">
              <w:rPr>
                <w:rFonts w:eastAsia="Calibri"/>
                <w:sz w:val="20"/>
                <w:szCs w:val="20"/>
                <w:lang w:val="es-ES" w:eastAsia="en-US"/>
              </w:rPr>
              <w:t>FUENTE: Elaborado por el CEESP con datos del INEGI.</w:t>
            </w:r>
          </w:p>
        </w:tc>
      </w:tr>
    </w:tbl>
    <w:p w14:paraId="79AEAB9F" w14:textId="77777777" w:rsidR="00F37DD3" w:rsidRPr="00F37DD3" w:rsidRDefault="00F37DD3" w:rsidP="00F37DD3">
      <w:pPr>
        <w:spacing w:after="360" w:line="360" w:lineRule="auto"/>
        <w:ind w:right="-159"/>
        <w:jc w:val="both"/>
        <w:rPr>
          <w:rFonts w:eastAsia="Calibri"/>
          <w:sz w:val="26"/>
          <w:szCs w:val="26"/>
          <w:lang w:val="es-ES" w:eastAsia="en-US"/>
        </w:rPr>
      </w:pPr>
    </w:p>
    <w:p w14:paraId="3CFAF25D" w14:textId="77777777" w:rsid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El INEGI informó que con base en cifras desestacionalizadas, durante febrero la producción industrial creció a un ritmo mensual de 0.2%, lo que representó su primera variación positiva en los últimos tres meses. Aunque esto puede ser indicio de un mejor desempeño en los próximos meses, la evolución de los diferentes sectores que la integran, mantiene un comportamiento débil, en especial la construcción que fue la única que tuvo una evolución negativa al caer 2.2% en el mes. La manufactura creció 1.0%, la minería 1.5% y la generación de electricidad agua y gas creció solo 0.1 por ciento.</w:t>
      </w:r>
    </w:p>
    <w:p w14:paraId="15388DED" w14:textId="77777777" w:rsidR="001E7CBA" w:rsidRDefault="001E7CBA" w:rsidP="00F37DD3">
      <w:pPr>
        <w:spacing w:after="360" w:line="360" w:lineRule="auto"/>
        <w:ind w:right="-159"/>
        <w:jc w:val="both"/>
        <w:rPr>
          <w:rFonts w:eastAsia="Calibri"/>
          <w:sz w:val="26"/>
          <w:szCs w:val="26"/>
          <w:lang w:val="es-ES" w:eastAsia="en-US"/>
        </w:rPr>
      </w:pPr>
    </w:p>
    <w:p w14:paraId="35A98CAC" w14:textId="77777777" w:rsidR="001E7CBA" w:rsidRDefault="001E7CBA" w:rsidP="00F37DD3">
      <w:pPr>
        <w:spacing w:after="360" w:line="360" w:lineRule="auto"/>
        <w:ind w:right="-159"/>
        <w:jc w:val="both"/>
        <w:rPr>
          <w:rFonts w:eastAsia="Calibri"/>
          <w:sz w:val="26"/>
          <w:szCs w:val="26"/>
          <w:lang w:val="es-ES" w:eastAsia="en-US"/>
        </w:rPr>
      </w:pPr>
    </w:p>
    <w:p w14:paraId="44867894" w14:textId="77777777" w:rsidR="001E7CBA" w:rsidRDefault="001E7CBA" w:rsidP="00F37DD3">
      <w:pPr>
        <w:spacing w:after="360" w:line="360" w:lineRule="auto"/>
        <w:ind w:right="-159"/>
        <w:jc w:val="both"/>
        <w:rPr>
          <w:rFonts w:eastAsia="Calibri"/>
          <w:sz w:val="26"/>
          <w:szCs w:val="26"/>
          <w:lang w:val="es-ES" w:eastAsia="en-US"/>
        </w:rPr>
      </w:pPr>
    </w:p>
    <w:p w14:paraId="75CC944A" w14:textId="77777777" w:rsidR="001E7CBA" w:rsidRDefault="001E7CBA" w:rsidP="00F37DD3">
      <w:pPr>
        <w:spacing w:after="360" w:line="360" w:lineRule="auto"/>
        <w:ind w:right="-159"/>
        <w:jc w:val="both"/>
        <w:rPr>
          <w:rFonts w:eastAsia="Calibri"/>
          <w:sz w:val="26"/>
          <w:szCs w:val="26"/>
          <w:lang w:val="es-ES" w:eastAsia="en-US"/>
        </w:rPr>
      </w:pPr>
    </w:p>
    <w:p w14:paraId="4461C282" w14:textId="77777777" w:rsidR="001E7CBA" w:rsidRPr="00F37DD3" w:rsidRDefault="001E7CBA" w:rsidP="00F37DD3">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37DD3" w:rsidRPr="00F37DD3" w14:paraId="3E5DDAB2" w14:textId="77777777" w:rsidTr="00786917">
        <w:tc>
          <w:tcPr>
            <w:tcW w:w="9209" w:type="dxa"/>
          </w:tcPr>
          <w:p w14:paraId="0230C084"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lastRenderedPageBreak/>
              <w:t>PRODUCCIÓN INDUSTRIAL</w:t>
            </w:r>
          </w:p>
          <w:p w14:paraId="23563C8E"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-Variación porcentual anual, series desestacionalizadas-</w:t>
            </w:r>
          </w:p>
        </w:tc>
      </w:tr>
      <w:tr w:rsidR="00F37DD3" w:rsidRPr="00F37DD3" w14:paraId="3DDF8016" w14:textId="77777777" w:rsidTr="00786917">
        <w:tc>
          <w:tcPr>
            <w:tcW w:w="9209" w:type="dxa"/>
          </w:tcPr>
          <w:p w14:paraId="319BB79B" w14:textId="77777777" w:rsidR="00F37DD3" w:rsidRPr="00F37DD3" w:rsidRDefault="00F37DD3" w:rsidP="00464B48">
            <w:pPr>
              <w:jc w:val="center"/>
              <w:rPr>
                <w:rFonts w:eastAsia="Calibri"/>
                <w:sz w:val="22"/>
                <w:szCs w:val="26"/>
                <w:lang w:val="es-ES" w:eastAsia="en-US"/>
              </w:rPr>
            </w:pPr>
            <w:r w:rsidRPr="00F37DD3">
              <w:rPr>
                <w:rFonts w:eastAsia="Calibri"/>
                <w:noProof/>
                <w:sz w:val="22"/>
                <w:szCs w:val="26"/>
                <w:lang w:eastAsia="es-MX"/>
              </w:rPr>
              <w:drawing>
                <wp:inline distT="0" distB="0" distL="0" distR="0" wp14:anchorId="71DE89D3" wp14:editId="015A6249">
                  <wp:extent cx="5220000" cy="2969000"/>
                  <wp:effectExtent l="0" t="0" r="0" b="3175"/>
                  <wp:docPr id="1719" name="Imagen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314" b="1565"/>
                          <a:stretch/>
                        </pic:blipFill>
                        <pic:spPr bwMode="auto">
                          <a:xfrm>
                            <a:off x="0" y="0"/>
                            <a:ext cx="5220000" cy="2969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7DD3" w:rsidRPr="00F37DD3" w14:paraId="6D1BDBAF" w14:textId="77777777" w:rsidTr="00786917">
        <w:tc>
          <w:tcPr>
            <w:tcW w:w="9209" w:type="dxa"/>
          </w:tcPr>
          <w:p w14:paraId="4241B079" w14:textId="77777777" w:rsidR="00F37DD3" w:rsidRPr="00F37DD3" w:rsidRDefault="00F37DD3" w:rsidP="00464B48">
            <w:pPr>
              <w:ind w:firstLine="459"/>
              <w:jc w:val="both"/>
              <w:rPr>
                <w:rFonts w:eastAsia="Calibri"/>
                <w:sz w:val="20"/>
                <w:szCs w:val="26"/>
                <w:lang w:val="es-ES" w:eastAsia="en-US"/>
              </w:rPr>
            </w:pPr>
            <w:r w:rsidRPr="00F37DD3">
              <w:rPr>
                <w:rFonts w:eastAsia="Calibri"/>
                <w:sz w:val="20"/>
                <w:szCs w:val="20"/>
                <w:lang w:val="es-ES" w:eastAsia="en-US"/>
              </w:rPr>
              <w:t>FUENTE: Elaborado por el CEESP con datos del INEGI.</w:t>
            </w:r>
          </w:p>
        </w:tc>
      </w:tr>
    </w:tbl>
    <w:p w14:paraId="60C7BE96" w14:textId="77777777" w:rsidR="00F37DD3" w:rsidRPr="00F37DD3" w:rsidRDefault="00F37DD3" w:rsidP="00F37DD3">
      <w:pPr>
        <w:spacing w:after="360" w:line="360" w:lineRule="auto"/>
        <w:ind w:right="-159"/>
        <w:jc w:val="both"/>
        <w:rPr>
          <w:rFonts w:eastAsia="Calibri"/>
          <w:sz w:val="26"/>
          <w:szCs w:val="26"/>
          <w:lang w:val="es-ES" w:eastAsia="en-US"/>
        </w:rPr>
      </w:pPr>
    </w:p>
    <w:p w14:paraId="69E75DA0" w14:textId="476C126E" w:rsid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De acuerdo con el INEGI, durante marzo</w:t>
      </w:r>
      <w:r w:rsidR="00DE3D51">
        <w:rPr>
          <w:rFonts w:eastAsia="Calibri"/>
          <w:sz w:val="26"/>
          <w:szCs w:val="26"/>
          <w:lang w:val="es-ES" w:eastAsia="en-US"/>
        </w:rPr>
        <w:t>,</w:t>
      </w:r>
      <w:r w:rsidRPr="00F37DD3">
        <w:rPr>
          <w:rFonts w:eastAsia="Calibri"/>
          <w:sz w:val="26"/>
          <w:szCs w:val="26"/>
          <w:lang w:val="es-ES" w:eastAsia="en-US"/>
        </w:rPr>
        <w:t xml:space="preserve"> los precios al consumidor aumentaron 0.41%, de tal manera que la inflación anual se ubicó en 3.14%. El aumento mensual provino del alza de 0.85% en los precios de subíndice no subyacente, así como del aumento de 0.26% en los del subyacente. La variación anual de ambos indicadores fue de 5.29 y 2.45%, respectivamente.</w:t>
      </w:r>
    </w:p>
    <w:p w14:paraId="756FD728" w14:textId="77777777" w:rsidR="001E7CBA" w:rsidRDefault="001E7CBA" w:rsidP="00F37DD3">
      <w:pPr>
        <w:spacing w:after="360" w:line="360" w:lineRule="auto"/>
        <w:ind w:right="-159"/>
        <w:jc w:val="both"/>
        <w:rPr>
          <w:rFonts w:eastAsia="Calibri"/>
          <w:sz w:val="26"/>
          <w:szCs w:val="26"/>
          <w:lang w:val="es-ES" w:eastAsia="en-US"/>
        </w:rPr>
      </w:pPr>
    </w:p>
    <w:p w14:paraId="5E9E02E1" w14:textId="77777777" w:rsidR="001E7CBA" w:rsidRDefault="001E7CBA" w:rsidP="00F37DD3">
      <w:pPr>
        <w:spacing w:after="360" w:line="360" w:lineRule="auto"/>
        <w:ind w:right="-159"/>
        <w:jc w:val="both"/>
        <w:rPr>
          <w:rFonts w:eastAsia="Calibri"/>
          <w:sz w:val="26"/>
          <w:szCs w:val="26"/>
          <w:lang w:val="es-ES" w:eastAsia="en-US"/>
        </w:rPr>
      </w:pPr>
    </w:p>
    <w:p w14:paraId="6EE15A8F" w14:textId="77777777" w:rsidR="001E7CBA" w:rsidRDefault="001E7CBA" w:rsidP="00F37DD3">
      <w:pPr>
        <w:spacing w:after="360" w:line="360" w:lineRule="auto"/>
        <w:ind w:right="-159"/>
        <w:jc w:val="both"/>
        <w:rPr>
          <w:rFonts w:eastAsia="Calibri"/>
          <w:sz w:val="26"/>
          <w:szCs w:val="26"/>
          <w:lang w:val="es-ES" w:eastAsia="en-US"/>
        </w:rPr>
      </w:pPr>
    </w:p>
    <w:p w14:paraId="565C2492" w14:textId="77777777" w:rsidR="001E7CBA" w:rsidRPr="00F37DD3" w:rsidRDefault="001E7CBA" w:rsidP="00F37DD3">
      <w:pPr>
        <w:spacing w:after="360" w:line="360" w:lineRule="auto"/>
        <w:ind w:right="-159"/>
        <w:jc w:val="both"/>
        <w:rPr>
          <w:rFonts w:eastAsia="Calibri"/>
          <w:sz w:val="26"/>
          <w:szCs w:val="26"/>
          <w:lang w:val="es-ES" w:eastAsia="en-US"/>
        </w:rPr>
      </w:pPr>
    </w:p>
    <w:p w14:paraId="6BFFBADC" w14:textId="77777777" w:rsidR="00F37DD3" w:rsidRPr="00F37DD3" w:rsidRDefault="00F37DD3" w:rsidP="00F37DD3">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37DD3" w:rsidRPr="00F37DD3" w14:paraId="3C552533" w14:textId="77777777" w:rsidTr="00786917">
        <w:tc>
          <w:tcPr>
            <w:tcW w:w="9209" w:type="dxa"/>
          </w:tcPr>
          <w:p w14:paraId="4CB06DCD"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lastRenderedPageBreak/>
              <w:t>PRECIOS AL CONSUMIDOR</w:t>
            </w:r>
          </w:p>
          <w:p w14:paraId="27713042"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-Variación porcentual anual-</w:t>
            </w:r>
          </w:p>
        </w:tc>
      </w:tr>
      <w:tr w:rsidR="00F37DD3" w:rsidRPr="00F37DD3" w14:paraId="51D6418B" w14:textId="77777777" w:rsidTr="00786917">
        <w:tc>
          <w:tcPr>
            <w:tcW w:w="9209" w:type="dxa"/>
          </w:tcPr>
          <w:p w14:paraId="2980EB79" w14:textId="77777777" w:rsidR="00F37DD3" w:rsidRPr="00F37DD3" w:rsidRDefault="00F37DD3" w:rsidP="00464B48">
            <w:pPr>
              <w:jc w:val="center"/>
              <w:rPr>
                <w:rFonts w:eastAsia="Calibri"/>
                <w:sz w:val="22"/>
                <w:szCs w:val="26"/>
                <w:lang w:val="es-ES" w:eastAsia="en-US"/>
              </w:rPr>
            </w:pPr>
            <w:r w:rsidRPr="00F37DD3">
              <w:rPr>
                <w:rFonts w:eastAsia="Calibri"/>
                <w:noProof/>
                <w:sz w:val="22"/>
                <w:szCs w:val="26"/>
                <w:lang w:eastAsia="es-MX"/>
              </w:rPr>
              <w:drawing>
                <wp:inline distT="0" distB="0" distL="0" distR="0" wp14:anchorId="03793D1A" wp14:editId="5D29B2DC">
                  <wp:extent cx="5220951" cy="3060000"/>
                  <wp:effectExtent l="0" t="0" r="0" b="0"/>
                  <wp:docPr id="1720" name="Imagen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389" b="1321"/>
                          <a:stretch/>
                        </pic:blipFill>
                        <pic:spPr bwMode="auto">
                          <a:xfrm>
                            <a:off x="0" y="0"/>
                            <a:ext cx="522095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7DD3" w:rsidRPr="00F37DD3" w14:paraId="67AD0DE4" w14:textId="77777777" w:rsidTr="00786917">
        <w:tc>
          <w:tcPr>
            <w:tcW w:w="9209" w:type="dxa"/>
          </w:tcPr>
          <w:p w14:paraId="239D615E" w14:textId="77777777" w:rsidR="00F37DD3" w:rsidRPr="00F37DD3" w:rsidRDefault="00F37DD3" w:rsidP="00464B48">
            <w:pPr>
              <w:ind w:firstLine="459"/>
              <w:jc w:val="both"/>
              <w:rPr>
                <w:rFonts w:eastAsia="Calibri"/>
                <w:sz w:val="20"/>
                <w:szCs w:val="26"/>
                <w:lang w:val="es-ES" w:eastAsia="en-US"/>
              </w:rPr>
            </w:pPr>
            <w:r w:rsidRPr="00F37DD3">
              <w:rPr>
                <w:rFonts w:eastAsia="Calibri"/>
                <w:sz w:val="20"/>
                <w:szCs w:val="20"/>
                <w:lang w:val="es-ES" w:eastAsia="en-US"/>
              </w:rPr>
              <w:t>FUENTE: Elaborado por el CEESP con datos del INEGI.</w:t>
            </w:r>
          </w:p>
        </w:tc>
      </w:tr>
    </w:tbl>
    <w:p w14:paraId="74FACD40" w14:textId="77777777" w:rsidR="00F37DD3" w:rsidRPr="00F37DD3" w:rsidRDefault="00F37DD3" w:rsidP="00F37DD3">
      <w:pPr>
        <w:spacing w:after="360" w:line="360" w:lineRule="auto"/>
        <w:ind w:right="-159"/>
        <w:jc w:val="both"/>
        <w:rPr>
          <w:rFonts w:eastAsia="Calibri"/>
          <w:sz w:val="26"/>
          <w:szCs w:val="26"/>
          <w:lang w:val="es-ES" w:eastAsia="en-US"/>
        </w:rPr>
      </w:pPr>
    </w:p>
    <w:p w14:paraId="54A0FFE4" w14:textId="77777777" w:rsidR="00F37DD3" w:rsidRPr="00F37DD3" w:rsidRDefault="00F37DD3" w:rsidP="00F37DD3">
      <w:pPr>
        <w:spacing w:after="360" w:line="360" w:lineRule="auto"/>
        <w:ind w:right="-159"/>
        <w:jc w:val="both"/>
        <w:rPr>
          <w:rFonts w:eastAsia="Calibri"/>
          <w:b/>
          <w:sz w:val="26"/>
          <w:szCs w:val="26"/>
          <w:lang w:val="es-ES" w:eastAsia="en-US"/>
        </w:rPr>
      </w:pPr>
      <w:r w:rsidRPr="00F37DD3">
        <w:rPr>
          <w:rFonts w:eastAsia="Calibri"/>
          <w:b/>
          <w:sz w:val="26"/>
          <w:szCs w:val="26"/>
          <w:lang w:val="es-ES" w:eastAsia="en-US"/>
        </w:rPr>
        <w:t>Estados Unidos de Norteamérica</w:t>
      </w:r>
    </w:p>
    <w:p w14:paraId="3F85C08B"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 xml:space="preserve">Mientas que el mercado anticipaba que el indicador de servicios que elabora el </w:t>
      </w:r>
      <w:r w:rsidRPr="00DE3D51">
        <w:rPr>
          <w:rFonts w:eastAsia="Calibri"/>
          <w:i/>
          <w:sz w:val="26"/>
          <w:szCs w:val="26"/>
          <w:lang w:val="es-ES" w:eastAsia="en-US"/>
        </w:rPr>
        <w:t>Institute</w:t>
      </w:r>
      <w:r w:rsidRPr="00F37DD3">
        <w:rPr>
          <w:rFonts w:eastAsia="Calibri"/>
          <w:sz w:val="26"/>
          <w:szCs w:val="26"/>
          <w:lang w:val="es-ES" w:eastAsia="en-US"/>
        </w:rPr>
        <w:t xml:space="preserve"> </w:t>
      </w:r>
      <w:r w:rsidRPr="00DE3D51">
        <w:rPr>
          <w:rFonts w:eastAsia="Calibri"/>
          <w:i/>
          <w:sz w:val="26"/>
          <w:szCs w:val="26"/>
          <w:lang w:val="es-ES" w:eastAsia="en-US"/>
        </w:rPr>
        <w:t>for Supply Management</w:t>
      </w:r>
      <w:r w:rsidRPr="00F37DD3">
        <w:rPr>
          <w:rFonts w:eastAsia="Calibri"/>
          <w:sz w:val="26"/>
          <w:szCs w:val="26"/>
          <w:lang w:val="es-ES" w:eastAsia="en-US"/>
        </w:rPr>
        <w:t xml:space="preserve"> se mantendría sin cambio durante marzo en 56.9 puntos, los resultados del mes indican que este tuvo una ligera caída de 0.4 puntos para ubicarse en 56.5 puntos. A pesar de esto, es importante considerar que con este comportamiento, el indicador general acumuló 62 meses consecutivos en el rango de expansión.</w:t>
      </w:r>
    </w:p>
    <w:tbl>
      <w:tblPr>
        <w:tblW w:w="0" w:type="auto"/>
        <w:jc w:val="center"/>
        <w:tblLook w:val="04A0" w:firstRow="1" w:lastRow="0" w:firstColumn="1" w:lastColumn="0" w:noHBand="0" w:noVBand="1"/>
      </w:tblPr>
      <w:tblGrid>
        <w:gridCol w:w="2265"/>
        <w:gridCol w:w="1563"/>
        <w:gridCol w:w="1418"/>
        <w:gridCol w:w="1427"/>
      </w:tblGrid>
      <w:tr w:rsidR="00F37DD3" w:rsidRPr="00F37DD3" w14:paraId="5574C4D6" w14:textId="77777777" w:rsidTr="00464B48">
        <w:trPr>
          <w:jc w:val="center"/>
        </w:trPr>
        <w:tc>
          <w:tcPr>
            <w:tcW w:w="6673" w:type="dxa"/>
            <w:gridSpan w:val="4"/>
            <w:tcBorders>
              <w:top w:val="nil"/>
              <w:left w:val="nil"/>
              <w:bottom w:val="single" w:sz="4" w:space="0" w:color="auto"/>
              <w:right w:val="nil"/>
            </w:tcBorders>
            <w:vAlign w:val="center"/>
          </w:tcPr>
          <w:p w14:paraId="093871DC" w14:textId="77777777" w:rsidR="00F37DD3" w:rsidRPr="00F37DD3" w:rsidRDefault="00F37DD3" w:rsidP="00464B48">
            <w:pPr>
              <w:jc w:val="center"/>
              <w:rPr>
                <w:rFonts w:eastAsia="Calibri"/>
                <w:b/>
                <w:sz w:val="22"/>
                <w:szCs w:val="22"/>
                <w:lang w:val="es-ES" w:eastAsia="en-US"/>
              </w:rPr>
            </w:pPr>
            <w:r w:rsidRPr="00F37DD3">
              <w:rPr>
                <w:rFonts w:eastAsia="Calibri"/>
                <w:b/>
                <w:sz w:val="22"/>
                <w:szCs w:val="22"/>
                <w:lang w:val="es-ES" w:eastAsia="en-US"/>
              </w:rPr>
              <w:t>ISM SERVICIOS</w:t>
            </w:r>
          </w:p>
        </w:tc>
      </w:tr>
      <w:tr w:rsidR="00F37DD3" w:rsidRPr="00F37DD3" w14:paraId="4DBF5FCB" w14:textId="77777777" w:rsidTr="00464B48">
        <w:trPr>
          <w:jc w:val="center"/>
        </w:trPr>
        <w:tc>
          <w:tcPr>
            <w:tcW w:w="2265" w:type="dxa"/>
            <w:tcBorders>
              <w:top w:val="single" w:sz="4" w:space="0" w:color="auto"/>
              <w:left w:val="single" w:sz="4" w:space="0" w:color="auto"/>
              <w:bottom w:val="single" w:sz="4" w:space="0" w:color="auto"/>
              <w:right w:val="single" w:sz="4" w:space="0" w:color="auto"/>
            </w:tcBorders>
            <w:vAlign w:val="center"/>
          </w:tcPr>
          <w:p w14:paraId="7BB01D41" w14:textId="77777777" w:rsidR="00F37DD3" w:rsidRPr="00F37DD3" w:rsidRDefault="00F37DD3" w:rsidP="00464B48">
            <w:pPr>
              <w:jc w:val="both"/>
              <w:rPr>
                <w:rFonts w:eastAsia="Calibri"/>
                <w:b/>
                <w:sz w:val="18"/>
                <w:szCs w:val="18"/>
                <w:lang w:val="es-ES" w:eastAsia="en-US"/>
              </w:rPr>
            </w:pPr>
          </w:p>
        </w:tc>
        <w:tc>
          <w:tcPr>
            <w:tcW w:w="1563" w:type="dxa"/>
            <w:tcBorders>
              <w:top w:val="single" w:sz="4" w:space="0" w:color="auto"/>
              <w:left w:val="single" w:sz="4" w:space="0" w:color="auto"/>
              <w:bottom w:val="single" w:sz="4" w:space="0" w:color="auto"/>
              <w:right w:val="single" w:sz="4" w:space="0" w:color="auto"/>
            </w:tcBorders>
            <w:vAlign w:val="center"/>
          </w:tcPr>
          <w:p w14:paraId="2E5F4CD0"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 xml:space="preserve">Enero </w:t>
            </w:r>
          </w:p>
        </w:tc>
        <w:tc>
          <w:tcPr>
            <w:tcW w:w="1418" w:type="dxa"/>
            <w:tcBorders>
              <w:top w:val="single" w:sz="4" w:space="0" w:color="auto"/>
              <w:left w:val="single" w:sz="4" w:space="0" w:color="auto"/>
              <w:bottom w:val="single" w:sz="4" w:space="0" w:color="auto"/>
              <w:right w:val="single" w:sz="4" w:space="0" w:color="auto"/>
            </w:tcBorders>
            <w:vAlign w:val="center"/>
          </w:tcPr>
          <w:p w14:paraId="19128754"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 xml:space="preserve">Febrero </w:t>
            </w:r>
          </w:p>
        </w:tc>
        <w:tc>
          <w:tcPr>
            <w:tcW w:w="1427" w:type="dxa"/>
            <w:tcBorders>
              <w:top w:val="single" w:sz="4" w:space="0" w:color="auto"/>
              <w:left w:val="single" w:sz="4" w:space="0" w:color="auto"/>
              <w:bottom w:val="single" w:sz="4" w:space="0" w:color="auto"/>
              <w:right w:val="single" w:sz="4" w:space="0" w:color="auto"/>
            </w:tcBorders>
            <w:vAlign w:val="center"/>
          </w:tcPr>
          <w:p w14:paraId="76DE6B18"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 xml:space="preserve">Marzo </w:t>
            </w:r>
          </w:p>
        </w:tc>
      </w:tr>
      <w:tr w:rsidR="00F37DD3" w:rsidRPr="00F37DD3" w14:paraId="5817F9FC" w14:textId="77777777" w:rsidTr="00464B48">
        <w:trPr>
          <w:jc w:val="center"/>
        </w:trPr>
        <w:tc>
          <w:tcPr>
            <w:tcW w:w="2265" w:type="dxa"/>
            <w:tcBorders>
              <w:top w:val="single" w:sz="4" w:space="0" w:color="auto"/>
              <w:left w:val="single" w:sz="4" w:space="0" w:color="auto"/>
              <w:bottom w:val="nil"/>
              <w:right w:val="single" w:sz="4" w:space="0" w:color="auto"/>
            </w:tcBorders>
            <w:vAlign w:val="center"/>
          </w:tcPr>
          <w:p w14:paraId="41CAD420" w14:textId="77777777" w:rsidR="00F37DD3" w:rsidRPr="00F37DD3" w:rsidRDefault="00F37DD3" w:rsidP="00464B48">
            <w:pPr>
              <w:jc w:val="both"/>
              <w:rPr>
                <w:rFonts w:eastAsia="Calibri"/>
                <w:b/>
                <w:sz w:val="18"/>
                <w:szCs w:val="18"/>
                <w:lang w:val="es-ES" w:eastAsia="en-US"/>
              </w:rPr>
            </w:pPr>
            <w:r w:rsidRPr="00F37DD3">
              <w:rPr>
                <w:rFonts w:eastAsia="Calibri"/>
                <w:b/>
                <w:sz w:val="18"/>
                <w:szCs w:val="18"/>
                <w:lang w:val="es-ES" w:eastAsia="en-US"/>
              </w:rPr>
              <w:t>Índice de servicios</w:t>
            </w:r>
          </w:p>
        </w:tc>
        <w:tc>
          <w:tcPr>
            <w:tcW w:w="1563" w:type="dxa"/>
            <w:tcBorders>
              <w:top w:val="single" w:sz="4" w:space="0" w:color="auto"/>
              <w:left w:val="single" w:sz="4" w:space="0" w:color="auto"/>
              <w:bottom w:val="nil"/>
              <w:right w:val="single" w:sz="4" w:space="0" w:color="auto"/>
            </w:tcBorders>
            <w:vAlign w:val="center"/>
          </w:tcPr>
          <w:p w14:paraId="1D38A040"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56.7</w:t>
            </w:r>
          </w:p>
        </w:tc>
        <w:tc>
          <w:tcPr>
            <w:tcW w:w="1418" w:type="dxa"/>
            <w:tcBorders>
              <w:top w:val="single" w:sz="4" w:space="0" w:color="auto"/>
              <w:left w:val="single" w:sz="4" w:space="0" w:color="auto"/>
              <w:bottom w:val="nil"/>
              <w:right w:val="single" w:sz="4" w:space="0" w:color="auto"/>
            </w:tcBorders>
            <w:vAlign w:val="center"/>
          </w:tcPr>
          <w:p w14:paraId="20687BD0"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56.9</w:t>
            </w:r>
          </w:p>
        </w:tc>
        <w:tc>
          <w:tcPr>
            <w:tcW w:w="1427" w:type="dxa"/>
            <w:tcBorders>
              <w:top w:val="single" w:sz="4" w:space="0" w:color="auto"/>
              <w:left w:val="single" w:sz="4" w:space="0" w:color="auto"/>
              <w:bottom w:val="nil"/>
              <w:right w:val="single" w:sz="4" w:space="0" w:color="auto"/>
            </w:tcBorders>
            <w:vAlign w:val="center"/>
          </w:tcPr>
          <w:p w14:paraId="636295C1" w14:textId="77777777" w:rsidR="00F37DD3" w:rsidRPr="00F37DD3" w:rsidRDefault="00F37DD3" w:rsidP="00464B48">
            <w:pPr>
              <w:jc w:val="center"/>
              <w:rPr>
                <w:rFonts w:eastAsia="Calibri"/>
                <w:b/>
                <w:sz w:val="18"/>
                <w:szCs w:val="18"/>
                <w:lang w:val="es-ES" w:eastAsia="en-US"/>
              </w:rPr>
            </w:pPr>
            <w:r w:rsidRPr="00F37DD3">
              <w:rPr>
                <w:rFonts w:eastAsia="Calibri"/>
                <w:b/>
                <w:sz w:val="18"/>
                <w:szCs w:val="18"/>
                <w:lang w:val="es-ES" w:eastAsia="en-US"/>
              </w:rPr>
              <w:t>56.5</w:t>
            </w:r>
          </w:p>
        </w:tc>
      </w:tr>
      <w:tr w:rsidR="00F37DD3" w:rsidRPr="00F37DD3" w14:paraId="3C665722" w14:textId="77777777" w:rsidTr="00464B48">
        <w:trPr>
          <w:jc w:val="center"/>
        </w:trPr>
        <w:tc>
          <w:tcPr>
            <w:tcW w:w="2265" w:type="dxa"/>
            <w:tcBorders>
              <w:top w:val="nil"/>
              <w:left w:val="single" w:sz="4" w:space="0" w:color="auto"/>
              <w:bottom w:val="nil"/>
              <w:right w:val="single" w:sz="4" w:space="0" w:color="auto"/>
            </w:tcBorders>
            <w:vAlign w:val="center"/>
          </w:tcPr>
          <w:p w14:paraId="2ADE0F77"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Actividad de negocios</w:t>
            </w:r>
          </w:p>
        </w:tc>
        <w:tc>
          <w:tcPr>
            <w:tcW w:w="1563" w:type="dxa"/>
            <w:tcBorders>
              <w:top w:val="nil"/>
              <w:left w:val="single" w:sz="4" w:space="0" w:color="auto"/>
              <w:bottom w:val="nil"/>
              <w:right w:val="single" w:sz="4" w:space="0" w:color="auto"/>
            </w:tcBorders>
            <w:vAlign w:val="center"/>
          </w:tcPr>
          <w:p w14:paraId="240416AF"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61.5</w:t>
            </w:r>
          </w:p>
        </w:tc>
        <w:tc>
          <w:tcPr>
            <w:tcW w:w="1418" w:type="dxa"/>
            <w:tcBorders>
              <w:top w:val="nil"/>
              <w:left w:val="single" w:sz="4" w:space="0" w:color="auto"/>
              <w:bottom w:val="nil"/>
              <w:right w:val="single" w:sz="4" w:space="0" w:color="auto"/>
            </w:tcBorders>
            <w:vAlign w:val="center"/>
          </w:tcPr>
          <w:p w14:paraId="4BE6F1DE"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59.4</w:t>
            </w:r>
          </w:p>
        </w:tc>
        <w:tc>
          <w:tcPr>
            <w:tcW w:w="1427" w:type="dxa"/>
            <w:tcBorders>
              <w:top w:val="nil"/>
              <w:left w:val="single" w:sz="4" w:space="0" w:color="auto"/>
              <w:bottom w:val="nil"/>
              <w:right w:val="single" w:sz="4" w:space="0" w:color="auto"/>
            </w:tcBorders>
            <w:vAlign w:val="center"/>
          </w:tcPr>
          <w:p w14:paraId="75D9B79F"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57.5</w:t>
            </w:r>
          </w:p>
        </w:tc>
      </w:tr>
      <w:tr w:rsidR="00F37DD3" w:rsidRPr="00F37DD3" w14:paraId="207FD05A" w14:textId="77777777" w:rsidTr="00464B48">
        <w:trPr>
          <w:jc w:val="center"/>
        </w:trPr>
        <w:tc>
          <w:tcPr>
            <w:tcW w:w="2265" w:type="dxa"/>
            <w:tcBorders>
              <w:top w:val="nil"/>
              <w:left w:val="single" w:sz="4" w:space="0" w:color="auto"/>
              <w:bottom w:val="nil"/>
              <w:right w:val="single" w:sz="4" w:space="0" w:color="auto"/>
            </w:tcBorders>
            <w:vAlign w:val="center"/>
          </w:tcPr>
          <w:p w14:paraId="3D297D4E"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Nuevas órdenes</w:t>
            </w:r>
          </w:p>
        </w:tc>
        <w:tc>
          <w:tcPr>
            <w:tcW w:w="1563" w:type="dxa"/>
            <w:tcBorders>
              <w:top w:val="nil"/>
              <w:left w:val="single" w:sz="4" w:space="0" w:color="auto"/>
              <w:bottom w:val="nil"/>
              <w:right w:val="single" w:sz="4" w:space="0" w:color="auto"/>
            </w:tcBorders>
            <w:vAlign w:val="center"/>
          </w:tcPr>
          <w:p w14:paraId="7BB8FDE3"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59.5</w:t>
            </w:r>
          </w:p>
        </w:tc>
        <w:tc>
          <w:tcPr>
            <w:tcW w:w="1418" w:type="dxa"/>
            <w:tcBorders>
              <w:top w:val="nil"/>
              <w:left w:val="single" w:sz="4" w:space="0" w:color="auto"/>
              <w:bottom w:val="nil"/>
              <w:right w:val="single" w:sz="4" w:space="0" w:color="auto"/>
            </w:tcBorders>
            <w:vAlign w:val="center"/>
          </w:tcPr>
          <w:p w14:paraId="02F0E488"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56.7</w:t>
            </w:r>
          </w:p>
        </w:tc>
        <w:tc>
          <w:tcPr>
            <w:tcW w:w="1427" w:type="dxa"/>
            <w:tcBorders>
              <w:top w:val="nil"/>
              <w:left w:val="single" w:sz="4" w:space="0" w:color="auto"/>
              <w:bottom w:val="nil"/>
              <w:right w:val="single" w:sz="4" w:space="0" w:color="auto"/>
            </w:tcBorders>
            <w:vAlign w:val="center"/>
          </w:tcPr>
          <w:p w14:paraId="6E7BDAA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57.8</w:t>
            </w:r>
          </w:p>
        </w:tc>
      </w:tr>
      <w:tr w:rsidR="00F37DD3" w:rsidRPr="00F37DD3" w14:paraId="58AAE69E" w14:textId="77777777" w:rsidTr="00464B48">
        <w:trPr>
          <w:jc w:val="center"/>
        </w:trPr>
        <w:tc>
          <w:tcPr>
            <w:tcW w:w="2265" w:type="dxa"/>
            <w:tcBorders>
              <w:top w:val="nil"/>
              <w:left w:val="single" w:sz="4" w:space="0" w:color="auto"/>
              <w:bottom w:val="nil"/>
              <w:right w:val="single" w:sz="4" w:space="0" w:color="auto"/>
            </w:tcBorders>
            <w:vAlign w:val="center"/>
          </w:tcPr>
          <w:p w14:paraId="6268C02B"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Empleo </w:t>
            </w:r>
          </w:p>
        </w:tc>
        <w:tc>
          <w:tcPr>
            <w:tcW w:w="1563" w:type="dxa"/>
            <w:tcBorders>
              <w:top w:val="nil"/>
              <w:left w:val="single" w:sz="4" w:space="0" w:color="auto"/>
              <w:bottom w:val="nil"/>
              <w:right w:val="single" w:sz="4" w:space="0" w:color="auto"/>
            </w:tcBorders>
            <w:vAlign w:val="center"/>
          </w:tcPr>
          <w:p w14:paraId="67A129A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51.6</w:t>
            </w:r>
          </w:p>
        </w:tc>
        <w:tc>
          <w:tcPr>
            <w:tcW w:w="1418" w:type="dxa"/>
            <w:tcBorders>
              <w:top w:val="nil"/>
              <w:left w:val="single" w:sz="4" w:space="0" w:color="auto"/>
              <w:bottom w:val="nil"/>
              <w:right w:val="single" w:sz="4" w:space="0" w:color="auto"/>
            </w:tcBorders>
            <w:vAlign w:val="center"/>
          </w:tcPr>
          <w:p w14:paraId="2CC7EB6C"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56.4</w:t>
            </w:r>
          </w:p>
        </w:tc>
        <w:tc>
          <w:tcPr>
            <w:tcW w:w="1427" w:type="dxa"/>
            <w:tcBorders>
              <w:top w:val="nil"/>
              <w:left w:val="single" w:sz="4" w:space="0" w:color="auto"/>
              <w:bottom w:val="nil"/>
              <w:right w:val="single" w:sz="4" w:space="0" w:color="auto"/>
            </w:tcBorders>
            <w:vAlign w:val="center"/>
          </w:tcPr>
          <w:p w14:paraId="0C9F5C77"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56.6</w:t>
            </w:r>
          </w:p>
        </w:tc>
      </w:tr>
      <w:tr w:rsidR="00F37DD3" w:rsidRPr="00F37DD3" w14:paraId="1C424A2A" w14:textId="77777777" w:rsidTr="00464B48">
        <w:trPr>
          <w:jc w:val="center"/>
        </w:trPr>
        <w:tc>
          <w:tcPr>
            <w:tcW w:w="2265" w:type="dxa"/>
            <w:tcBorders>
              <w:top w:val="nil"/>
              <w:left w:val="single" w:sz="4" w:space="0" w:color="auto"/>
              <w:bottom w:val="nil"/>
              <w:right w:val="single" w:sz="4" w:space="0" w:color="auto"/>
            </w:tcBorders>
            <w:vAlign w:val="center"/>
          </w:tcPr>
          <w:p w14:paraId="2F5E2DBE"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Entregas</w:t>
            </w:r>
          </w:p>
        </w:tc>
        <w:tc>
          <w:tcPr>
            <w:tcW w:w="1563" w:type="dxa"/>
            <w:tcBorders>
              <w:top w:val="nil"/>
              <w:left w:val="single" w:sz="4" w:space="0" w:color="auto"/>
              <w:bottom w:val="nil"/>
              <w:right w:val="single" w:sz="4" w:space="0" w:color="auto"/>
            </w:tcBorders>
            <w:vAlign w:val="center"/>
          </w:tcPr>
          <w:p w14:paraId="4B0D8C8B"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54.0</w:t>
            </w:r>
          </w:p>
        </w:tc>
        <w:tc>
          <w:tcPr>
            <w:tcW w:w="1418" w:type="dxa"/>
            <w:tcBorders>
              <w:top w:val="nil"/>
              <w:left w:val="single" w:sz="4" w:space="0" w:color="auto"/>
              <w:bottom w:val="nil"/>
              <w:right w:val="single" w:sz="4" w:space="0" w:color="auto"/>
            </w:tcBorders>
            <w:vAlign w:val="center"/>
          </w:tcPr>
          <w:p w14:paraId="61D58503"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55.0</w:t>
            </w:r>
          </w:p>
        </w:tc>
        <w:tc>
          <w:tcPr>
            <w:tcW w:w="1427" w:type="dxa"/>
            <w:tcBorders>
              <w:top w:val="nil"/>
              <w:left w:val="single" w:sz="4" w:space="0" w:color="auto"/>
              <w:bottom w:val="nil"/>
              <w:right w:val="single" w:sz="4" w:space="0" w:color="auto"/>
            </w:tcBorders>
            <w:vAlign w:val="center"/>
          </w:tcPr>
          <w:p w14:paraId="575CC018"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54.0</w:t>
            </w:r>
          </w:p>
        </w:tc>
      </w:tr>
      <w:tr w:rsidR="00F37DD3" w:rsidRPr="00F37DD3" w14:paraId="65CC1AEB" w14:textId="77777777" w:rsidTr="00464B48">
        <w:trPr>
          <w:jc w:val="center"/>
        </w:trPr>
        <w:tc>
          <w:tcPr>
            <w:tcW w:w="2265" w:type="dxa"/>
            <w:tcBorders>
              <w:top w:val="nil"/>
              <w:left w:val="single" w:sz="4" w:space="0" w:color="auto"/>
              <w:bottom w:val="nil"/>
              <w:right w:val="single" w:sz="4" w:space="0" w:color="auto"/>
            </w:tcBorders>
            <w:vAlign w:val="center"/>
          </w:tcPr>
          <w:p w14:paraId="3623E0E2"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Inventarios</w:t>
            </w:r>
          </w:p>
        </w:tc>
        <w:tc>
          <w:tcPr>
            <w:tcW w:w="1563" w:type="dxa"/>
            <w:tcBorders>
              <w:top w:val="nil"/>
              <w:left w:val="single" w:sz="4" w:space="0" w:color="auto"/>
              <w:bottom w:val="nil"/>
              <w:right w:val="single" w:sz="4" w:space="0" w:color="auto"/>
            </w:tcBorders>
            <w:vAlign w:val="center"/>
          </w:tcPr>
          <w:p w14:paraId="19771DB6"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52.5</w:t>
            </w:r>
          </w:p>
        </w:tc>
        <w:tc>
          <w:tcPr>
            <w:tcW w:w="1418" w:type="dxa"/>
            <w:tcBorders>
              <w:top w:val="nil"/>
              <w:left w:val="single" w:sz="4" w:space="0" w:color="auto"/>
              <w:bottom w:val="nil"/>
              <w:right w:val="single" w:sz="4" w:space="0" w:color="auto"/>
            </w:tcBorders>
            <w:vAlign w:val="center"/>
          </w:tcPr>
          <w:p w14:paraId="09BBA04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54.5</w:t>
            </w:r>
          </w:p>
        </w:tc>
        <w:tc>
          <w:tcPr>
            <w:tcW w:w="1427" w:type="dxa"/>
            <w:tcBorders>
              <w:top w:val="nil"/>
              <w:left w:val="single" w:sz="4" w:space="0" w:color="auto"/>
              <w:bottom w:val="nil"/>
              <w:right w:val="single" w:sz="4" w:space="0" w:color="auto"/>
            </w:tcBorders>
            <w:vAlign w:val="center"/>
          </w:tcPr>
          <w:p w14:paraId="7E001FAD"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49.5</w:t>
            </w:r>
          </w:p>
        </w:tc>
      </w:tr>
      <w:tr w:rsidR="00F37DD3" w:rsidRPr="00F37DD3" w14:paraId="4A7F20CB" w14:textId="77777777" w:rsidTr="00464B48">
        <w:trPr>
          <w:jc w:val="center"/>
        </w:trPr>
        <w:tc>
          <w:tcPr>
            <w:tcW w:w="2265" w:type="dxa"/>
            <w:tcBorders>
              <w:top w:val="nil"/>
              <w:left w:val="single" w:sz="4" w:space="0" w:color="auto"/>
              <w:bottom w:val="nil"/>
              <w:right w:val="single" w:sz="4" w:space="0" w:color="auto"/>
            </w:tcBorders>
            <w:vAlign w:val="center"/>
          </w:tcPr>
          <w:p w14:paraId="623198F0"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Exportaciones</w:t>
            </w:r>
          </w:p>
        </w:tc>
        <w:tc>
          <w:tcPr>
            <w:tcW w:w="1563" w:type="dxa"/>
            <w:tcBorders>
              <w:top w:val="nil"/>
              <w:left w:val="single" w:sz="4" w:space="0" w:color="auto"/>
              <w:bottom w:val="nil"/>
              <w:right w:val="single" w:sz="4" w:space="0" w:color="auto"/>
            </w:tcBorders>
            <w:vAlign w:val="center"/>
          </w:tcPr>
          <w:p w14:paraId="23C51AC9"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52.5</w:t>
            </w:r>
          </w:p>
        </w:tc>
        <w:tc>
          <w:tcPr>
            <w:tcW w:w="1418" w:type="dxa"/>
            <w:tcBorders>
              <w:top w:val="nil"/>
              <w:left w:val="single" w:sz="4" w:space="0" w:color="auto"/>
              <w:bottom w:val="nil"/>
              <w:right w:val="single" w:sz="4" w:space="0" w:color="auto"/>
            </w:tcBorders>
            <w:vAlign w:val="center"/>
          </w:tcPr>
          <w:p w14:paraId="5BA16490"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53.0</w:t>
            </w:r>
          </w:p>
        </w:tc>
        <w:tc>
          <w:tcPr>
            <w:tcW w:w="1427" w:type="dxa"/>
            <w:tcBorders>
              <w:top w:val="nil"/>
              <w:left w:val="single" w:sz="4" w:space="0" w:color="auto"/>
              <w:bottom w:val="nil"/>
              <w:right w:val="single" w:sz="4" w:space="0" w:color="auto"/>
            </w:tcBorders>
            <w:vAlign w:val="center"/>
          </w:tcPr>
          <w:p w14:paraId="599BD675"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59.0</w:t>
            </w:r>
          </w:p>
        </w:tc>
      </w:tr>
      <w:tr w:rsidR="00F37DD3" w:rsidRPr="00F37DD3" w14:paraId="370317FD" w14:textId="77777777" w:rsidTr="00464B48">
        <w:trPr>
          <w:jc w:val="center"/>
        </w:trPr>
        <w:tc>
          <w:tcPr>
            <w:tcW w:w="2265" w:type="dxa"/>
            <w:tcBorders>
              <w:top w:val="nil"/>
              <w:left w:val="single" w:sz="4" w:space="0" w:color="auto"/>
              <w:bottom w:val="nil"/>
              <w:right w:val="single" w:sz="4" w:space="0" w:color="auto"/>
            </w:tcBorders>
            <w:vAlign w:val="center"/>
          </w:tcPr>
          <w:p w14:paraId="0A19E0DE"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Importaciones</w:t>
            </w:r>
          </w:p>
        </w:tc>
        <w:tc>
          <w:tcPr>
            <w:tcW w:w="1563" w:type="dxa"/>
            <w:tcBorders>
              <w:top w:val="nil"/>
              <w:left w:val="single" w:sz="4" w:space="0" w:color="auto"/>
              <w:bottom w:val="nil"/>
              <w:right w:val="single" w:sz="4" w:space="0" w:color="auto"/>
            </w:tcBorders>
            <w:vAlign w:val="center"/>
          </w:tcPr>
          <w:p w14:paraId="1DD46550"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46.5</w:t>
            </w:r>
          </w:p>
        </w:tc>
        <w:tc>
          <w:tcPr>
            <w:tcW w:w="1418" w:type="dxa"/>
            <w:tcBorders>
              <w:top w:val="nil"/>
              <w:left w:val="single" w:sz="4" w:space="0" w:color="auto"/>
              <w:bottom w:val="nil"/>
              <w:right w:val="single" w:sz="4" w:space="0" w:color="auto"/>
            </w:tcBorders>
            <w:vAlign w:val="center"/>
          </w:tcPr>
          <w:p w14:paraId="783F7E88"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51.0</w:t>
            </w:r>
          </w:p>
        </w:tc>
        <w:tc>
          <w:tcPr>
            <w:tcW w:w="1427" w:type="dxa"/>
            <w:tcBorders>
              <w:top w:val="nil"/>
              <w:left w:val="single" w:sz="4" w:space="0" w:color="auto"/>
              <w:bottom w:val="nil"/>
              <w:right w:val="single" w:sz="4" w:space="0" w:color="auto"/>
            </w:tcBorders>
            <w:vAlign w:val="center"/>
          </w:tcPr>
          <w:p w14:paraId="36E62AC2"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55.5</w:t>
            </w:r>
          </w:p>
        </w:tc>
      </w:tr>
      <w:tr w:rsidR="00F37DD3" w:rsidRPr="00F37DD3" w14:paraId="66556FDF" w14:textId="77777777" w:rsidTr="00464B48">
        <w:trPr>
          <w:jc w:val="center"/>
        </w:trPr>
        <w:tc>
          <w:tcPr>
            <w:tcW w:w="2265" w:type="dxa"/>
            <w:tcBorders>
              <w:top w:val="nil"/>
              <w:left w:val="single" w:sz="4" w:space="0" w:color="auto"/>
              <w:bottom w:val="single" w:sz="4" w:space="0" w:color="auto"/>
              <w:right w:val="single" w:sz="4" w:space="0" w:color="auto"/>
            </w:tcBorders>
            <w:vAlign w:val="center"/>
          </w:tcPr>
          <w:p w14:paraId="0CBC11A4" w14:textId="77777777" w:rsidR="00F37DD3" w:rsidRPr="00F37DD3" w:rsidRDefault="00F37DD3" w:rsidP="00464B48">
            <w:pPr>
              <w:jc w:val="both"/>
              <w:rPr>
                <w:rFonts w:eastAsia="Calibri"/>
                <w:sz w:val="18"/>
                <w:szCs w:val="18"/>
                <w:lang w:val="es-ES" w:eastAsia="en-US"/>
              </w:rPr>
            </w:pPr>
            <w:r w:rsidRPr="00F37DD3">
              <w:rPr>
                <w:rFonts w:eastAsia="Calibri"/>
                <w:sz w:val="18"/>
                <w:szCs w:val="18"/>
                <w:lang w:val="es-ES" w:eastAsia="en-US"/>
              </w:rPr>
              <w:t xml:space="preserve">  Precios </w:t>
            </w:r>
          </w:p>
        </w:tc>
        <w:tc>
          <w:tcPr>
            <w:tcW w:w="1563" w:type="dxa"/>
            <w:tcBorders>
              <w:top w:val="nil"/>
              <w:left w:val="single" w:sz="4" w:space="0" w:color="auto"/>
              <w:bottom w:val="single" w:sz="4" w:space="0" w:color="auto"/>
              <w:right w:val="single" w:sz="4" w:space="0" w:color="auto"/>
            </w:tcBorders>
            <w:vAlign w:val="center"/>
          </w:tcPr>
          <w:p w14:paraId="25FD740E"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45.5</w:t>
            </w:r>
          </w:p>
        </w:tc>
        <w:tc>
          <w:tcPr>
            <w:tcW w:w="1418" w:type="dxa"/>
            <w:tcBorders>
              <w:top w:val="nil"/>
              <w:left w:val="single" w:sz="4" w:space="0" w:color="auto"/>
              <w:bottom w:val="single" w:sz="4" w:space="0" w:color="auto"/>
              <w:right w:val="single" w:sz="4" w:space="0" w:color="auto"/>
            </w:tcBorders>
            <w:vAlign w:val="center"/>
          </w:tcPr>
          <w:p w14:paraId="075A0EC3"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49.7</w:t>
            </w:r>
          </w:p>
        </w:tc>
        <w:tc>
          <w:tcPr>
            <w:tcW w:w="1427" w:type="dxa"/>
            <w:tcBorders>
              <w:top w:val="nil"/>
              <w:left w:val="single" w:sz="4" w:space="0" w:color="auto"/>
              <w:bottom w:val="single" w:sz="4" w:space="0" w:color="auto"/>
              <w:right w:val="single" w:sz="4" w:space="0" w:color="auto"/>
            </w:tcBorders>
            <w:vAlign w:val="center"/>
          </w:tcPr>
          <w:p w14:paraId="24F501DE" w14:textId="77777777" w:rsidR="00F37DD3" w:rsidRPr="00F37DD3" w:rsidRDefault="00F37DD3" w:rsidP="00464B48">
            <w:pPr>
              <w:jc w:val="center"/>
              <w:rPr>
                <w:rFonts w:eastAsia="Calibri"/>
                <w:sz w:val="18"/>
                <w:szCs w:val="18"/>
                <w:lang w:val="es-ES" w:eastAsia="en-US"/>
              </w:rPr>
            </w:pPr>
            <w:r w:rsidRPr="00F37DD3">
              <w:rPr>
                <w:rFonts w:eastAsia="Calibri"/>
                <w:sz w:val="18"/>
                <w:szCs w:val="18"/>
                <w:lang w:val="es-ES" w:eastAsia="en-US"/>
              </w:rPr>
              <w:t>52.4</w:t>
            </w:r>
          </w:p>
        </w:tc>
      </w:tr>
      <w:tr w:rsidR="00F37DD3" w:rsidRPr="00F37DD3" w14:paraId="19BEADF8" w14:textId="77777777" w:rsidTr="00786917">
        <w:trPr>
          <w:jc w:val="center"/>
        </w:trPr>
        <w:tc>
          <w:tcPr>
            <w:tcW w:w="6673" w:type="dxa"/>
            <w:gridSpan w:val="4"/>
            <w:tcBorders>
              <w:top w:val="single" w:sz="4" w:space="0" w:color="auto"/>
              <w:left w:val="nil"/>
              <w:bottom w:val="nil"/>
              <w:right w:val="nil"/>
            </w:tcBorders>
            <w:vAlign w:val="center"/>
          </w:tcPr>
          <w:p w14:paraId="76B1B020" w14:textId="77777777" w:rsidR="00F37DD3" w:rsidRPr="00F37DD3" w:rsidRDefault="00F37DD3" w:rsidP="00464B48">
            <w:pPr>
              <w:ind w:hanging="964"/>
              <w:jc w:val="both"/>
              <w:rPr>
                <w:rFonts w:eastAsia="Calibri"/>
                <w:sz w:val="20"/>
                <w:szCs w:val="20"/>
                <w:lang w:val="es-ES" w:eastAsia="en-US"/>
              </w:rPr>
            </w:pPr>
            <w:r w:rsidRPr="00F37DD3">
              <w:rPr>
                <w:rFonts w:eastAsia="Calibri"/>
                <w:sz w:val="20"/>
                <w:szCs w:val="20"/>
                <w:lang w:val="es-ES" w:eastAsia="en-US"/>
              </w:rPr>
              <w:t>FUENTE: Elaborado por el CEESP con datos del Institute for Supply Management.</w:t>
            </w:r>
          </w:p>
        </w:tc>
      </w:tr>
    </w:tbl>
    <w:p w14:paraId="4324BDC3" w14:textId="77777777" w:rsidR="00F37DD3" w:rsidRPr="00F37DD3" w:rsidRDefault="00F37DD3" w:rsidP="00F37DD3">
      <w:pPr>
        <w:spacing w:after="360" w:line="360" w:lineRule="auto"/>
        <w:ind w:right="-159"/>
        <w:jc w:val="both"/>
        <w:rPr>
          <w:rFonts w:eastAsia="Calibri"/>
          <w:sz w:val="26"/>
          <w:szCs w:val="26"/>
          <w:highlight w:val="green"/>
          <w:lang w:val="es-ES" w:eastAsia="en-US"/>
        </w:rPr>
      </w:pPr>
    </w:p>
    <w:p w14:paraId="7390C44B"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lastRenderedPageBreak/>
        <w:t>De los componentes del indicador general de servicios, los mayores avances se observaron en las nuevas órdenes para exportación. Por el contrario, los inventarios cayeron 5.0 puntos y la actividad de negocios 1.9 puntos.</w:t>
      </w:r>
    </w:p>
    <w:p w14:paraId="13C76503" w14:textId="77777777" w:rsid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Cifras de la Reserva Federal indican que durante febrero el crédito al consumo se incrementó en 15.5 mil millones de dólares (mmd), cifra que además de superar en 4.7 mil millones de dólares el aumento de enero, estuvo 3.0 mil millones de dólares por arriba de la estimación del mercado.</w:t>
      </w:r>
    </w:p>
    <w:tbl>
      <w:tblPr>
        <w:tblW w:w="9209" w:type="dxa"/>
        <w:tblLook w:val="04A0" w:firstRow="1" w:lastRow="0" w:firstColumn="1" w:lastColumn="0" w:noHBand="0" w:noVBand="1"/>
      </w:tblPr>
      <w:tblGrid>
        <w:gridCol w:w="9209"/>
      </w:tblGrid>
      <w:tr w:rsidR="00F37DD3" w:rsidRPr="00F37DD3" w14:paraId="3A47B314" w14:textId="77777777" w:rsidTr="00786917">
        <w:tc>
          <w:tcPr>
            <w:tcW w:w="9209" w:type="dxa"/>
          </w:tcPr>
          <w:p w14:paraId="637AEFFE"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ESTADOS UNIDOS DE NORTEAMÉRICA: CRÉDITO AL CONSUMO</w:t>
            </w:r>
          </w:p>
          <w:p w14:paraId="7E55BD2F" w14:textId="77777777" w:rsidR="00F37DD3" w:rsidRPr="00F37DD3" w:rsidRDefault="00F37DD3" w:rsidP="00464B48">
            <w:pPr>
              <w:jc w:val="center"/>
              <w:rPr>
                <w:rFonts w:eastAsia="Calibri"/>
                <w:b/>
                <w:sz w:val="22"/>
                <w:szCs w:val="26"/>
                <w:lang w:val="es-ES" w:eastAsia="en-US"/>
              </w:rPr>
            </w:pPr>
            <w:r w:rsidRPr="00F37DD3">
              <w:rPr>
                <w:rFonts w:eastAsia="Calibri"/>
                <w:b/>
                <w:sz w:val="22"/>
                <w:szCs w:val="26"/>
                <w:lang w:val="es-ES" w:eastAsia="en-US"/>
              </w:rPr>
              <w:t>-Variación mensual en miles de millones de dólares-</w:t>
            </w:r>
          </w:p>
        </w:tc>
      </w:tr>
      <w:tr w:rsidR="00F37DD3" w:rsidRPr="00F37DD3" w14:paraId="07CEC53E" w14:textId="77777777" w:rsidTr="00786917">
        <w:tc>
          <w:tcPr>
            <w:tcW w:w="9209" w:type="dxa"/>
          </w:tcPr>
          <w:p w14:paraId="6BADDB9B" w14:textId="77777777" w:rsidR="00F37DD3" w:rsidRPr="00F37DD3" w:rsidRDefault="00F37DD3" w:rsidP="00464B48">
            <w:pPr>
              <w:jc w:val="center"/>
              <w:rPr>
                <w:rFonts w:eastAsia="Calibri"/>
                <w:sz w:val="22"/>
                <w:szCs w:val="26"/>
                <w:lang w:val="es-ES" w:eastAsia="en-US"/>
              </w:rPr>
            </w:pPr>
            <w:r w:rsidRPr="00F37DD3">
              <w:rPr>
                <w:rFonts w:eastAsia="Calibri"/>
                <w:noProof/>
                <w:sz w:val="22"/>
                <w:szCs w:val="26"/>
                <w:lang w:eastAsia="es-MX"/>
              </w:rPr>
              <w:drawing>
                <wp:inline distT="0" distB="0" distL="0" distR="0" wp14:anchorId="23BF91E6" wp14:editId="074CF555">
                  <wp:extent cx="5018008" cy="3060000"/>
                  <wp:effectExtent l="0" t="0" r="0" b="7620"/>
                  <wp:docPr id="1721" name="Imagen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762" b="1762"/>
                          <a:stretch/>
                        </pic:blipFill>
                        <pic:spPr bwMode="auto">
                          <a:xfrm>
                            <a:off x="0" y="0"/>
                            <a:ext cx="501800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7DD3" w:rsidRPr="00F37DD3" w14:paraId="7C0BA7B3" w14:textId="77777777" w:rsidTr="00786917">
        <w:tc>
          <w:tcPr>
            <w:tcW w:w="9209" w:type="dxa"/>
          </w:tcPr>
          <w:p w14:paraId="22719FC9" w14:textId="77777777" w:rsidR="00F37DD3" w:rsidRPr="00F37DD3" w:rsidRDefault="00F37DD3" w:rsidP="00464B48">
            <w:pPr>
              <w:ind w:firstLine="459"/>
              <w:jc w:val="both"/>
              <w:rPr>
                <w:rFonts w:eastAsia="Calibri"/>
                <w:sz w:val="20"/>
                <w:szCs w:val="26"/>
                <w:lang w:val="es-ES" w:eastAsia="en-US"/>
              </w:rPr>
            </w:pPr>
            <w:r w:rsidRPr="00F37DD3">
              <w:rPr>
                <w:rFonts w:eastAsia="Calibri"/>
                <w:sz w:val="20"/>
                <w:szCs w:val="20"/>
                <w:lang w:val="es-ES" w:eastAsia="en-US"/>
              </w:rPr>
              <w:t>FUENTE: Elaborado por el CEESP con datos de la Reserva Federal.</w:t>
            </w:r>
          </w:p>
        </w:tc>
      </w:tr>
    </w:tbl>
    <w:p w14:paraId="662D7B61" w14:textId="77777777" w:rsidR="00F37DD3" w:rsidRPr="00F37DD3" w:rsidRDefault="00F37DD3" w:rsidP="00F37DD3">
      <w:pPr>
        <w:spacing w:after="360" w:line="360" w:lineRule="auto"/>
        <w:ind w:right="-159"/>
        <w:jc w:val="both"/>
        <w:rPr>
          <w:rFonts w:eastAsia="Calibri"/>
          <w:sz w:val="26"/>
          <w:szCs w:val="26"/>
          <w:lang w:val="es-ES" w:eastAsia="en-US"/>
        </w:rPr>
      </w:pPr>
    </w:p>
    <w:p w14:paraId="79E33417" w14:textId="183148B2"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 xml:space="preserve">En cuanto al crédito revolvente, </w:t>
      </w:r>
      <w:r w:rsidR="00DE3D51">
        <w:rPr>
          <w:rFonts w:eastAsia="Calibri"/>
          <w:sz w:val="26"/>
          <w:szCs w:val="26"/>
          <w:lang w:val="es-ES" w:eastAsia="en-US"/>
        </w:rPr>
        <w:t>é</w:t>
      </w:r>
      <w:r w:rsidRPr="00F37DD3">
        <w:rPr>
          <w:rFonts w:eastAsia="Calibri"/>
          <w:sz w:val="26"/>
          <w:szCs w:val="26"/>
          <w:lang w:val="es-ES" w:eastAsia="en-US"/>
        </w:rPr>
        <w:t>ste se redujo en 3.7 mil millones de dólares, al pasar de un saldo de 888.5 mil millones de dólares en enero a 884.8 mil millones de dólares en febrero. Esa fue su segunda caída mensual consecutiva.</w:t>
      </w:r>
    </w:p>
    <w:p w14:paraId="1C52603A" w14:textId="77777777" w:rsidR="00F37DD3" w:rsidRPr="00F37DD3" w:rsidRDefault="00F37DD3" w:rsidP="00F37DD3">
      <w:pPr>
        <w:spacing w:after="360" w:line="360" w:lineRule="auto"/>
        <w:ind w:right="-159"/>
        <w:jc w:val="both"/>
        <w:rPr>
          <w:rFonts w:eastAsia="Calibri"/>
          <w:sz w:val="26"/>
          <w:szCs w:val="26"/>
          <w:lang w:val="es-ES" w:eastAsia="en-US"/>
        </w:rPr>
      </w:pPr>
      <w:r w:rsidRPr="00F37DD3">
        <w:rPr>
          <w:rFonts w:eastAsia="Calibri"/>
          <w:sz w:val="26"/>
          <w:szCs w:val="26"/>
          <w:lang w:val="es-ES" w:eastAsia="en-US"/>
        </w:rPr>
        <w:t xml:space="preserve">Por su parte, el crédito no revolvente aumentó a 2 mil 458.6 mil millones de dólares en febrero desde 2 mil 439.4 mil millones de dólares en enero, lo que significó una </w:t>
      </w:r>
      <w:r w:rsidRPr="00F37DD3">
        <w:rPr>
          <w:rFonts w:eastAsia="Calibri"/>
          <w:sz w:val="26"/>
          <w:szCs w:val="26"/>
          <w:lang w:val="es-ES" w:eastAsia="en-US"/>
        </w:rPr>
        <w:lastRenderedPageBreak/>
        <w:t>ganancia de 19.2 mil millones de dólares. Es importante señalar que este fue el mayor incremento en el crédito no revolvente desde febrero de 2012, cuando tuvo un avance de 24.7 mil millones de dólares.</w:t>
      </w:r>
    </w:p>
    <w:p w14:paraId="1F424CF1" w14:textId="77777777" w:rsidR="00F37DD3" w:rsidRPr="00F37DD3" w:rsidRDefault="00F37DD3" w:rsidP="00F37DD3">
      <w:pPr>
        <w:ind w:right="-159"/>
        <w:jc w:val="both"/>
        <w:rPr>
          <w:rFonts w:eastAsia="Calibri"/>
          <w:b/>
          <w:sz w:val="20"/>
          <w:szCs w:val="20"/>
          <w:lang w:val="es-ES" w:eastAsia="en-US"/>
        </w:rPr>
      </w:pPr>
      <w:r w:rsidRPr="00F37DD3">
        <w:rPr>
          <w:rFonts w:eastAsia="Calibri"/>
          <w:b/>
          <w:sz w:val="20"/>
          <w:szCs w:val="20"/>
          <w:lang w:val="es-ES" w:eastAsia="en-US"/>
        </w:rPr>
        <w:t>Fuente de información:</w:t>
      </w:r>
    </w:p>
    <w:p w14:paraId="4D8E720C" w14:textId="77777777" w:rsidR="00F37DD3" w:rsidRPr="00A303E8" w:rsidRDefault="003C2C71" w:rsidP="00A303E8">
      <w:pPr>
        <w:spacing w:after="720"/>
        <w:ind w:right="-159"/>
        <w:jc w:val="both"/>
        <w:rPr>
          <w:rFonts w:eastAsia="Calibri"/>
          <w:b/>
          <w:color w:val="0000FF"/>
          <w:sz w:val="20"/>
          <w:szCs w:val="20"/>
          <w:lang w:val="es-ES" w:eastAsia="en-US"/>
        </w:rPr>
      </w:pPr>
      <w:hyperlink r:id="rId15" w:history="1">
        <w:r w:rsidR="00F37DD3" w:rsidRPr="00A303E8">
          <w:rPr>
            <w:rFonts w:eastAsia="Calibri"/>
            <w:color w:val="0000FF"/>
            <w:sz w:val="20"/>
            <w:szCs w:val="20"/>
            <w:u w:val="single"/>
            <w:lang w:val="es-ES" w:eastAsia="en-US"/>
          </w:rPr>
          <w:t>http://ceesp.org.mx/aeje/AEJE_13Abr2015.pdf</w:t>
        </w:r>
      </w:hyperlink>
    </w:p>
    <w:p w14:paraId="2C234E52" w14:textId="77777777" w:rsidR="00387BB6" w:rsidRPr="00387BB6" w:rsidRDefault="00387BB6" w:rsidP="00387BB6">
      <w:pPr>
        <w:ind w:right="-159"/>
        <w:jc w:val="both"/>
        <w:rPr>
          <w:rFonts w:eastAsia="Calibri"/>
          <w:b/>
          <w:sz w:val="26"/>
          <w:szCs w:val="26"/>
          <w:lang w:eastAsia="en-US"/>
        </w:rPr>
      </w:pPr>
      <w:r w:rsidRPr="00387BB6">
        <w:rPr>
          <w:rFonts w:eastAsia="Calibri"/>
          <w:b/>
          <w:sz w:val="26"/>
          <w:szCs w:val="26"/>
          <w:lang w:eastAsia="en-US"/>
        </w:rPr>
        <w:t>Crecimiento bajo y (otro) recorte al gasto, los</w:t>
      </w:r>
    </w:p>
    <w:p w14:paraId="61807B5A" w14:textId="77777777" w:rsidR="00387BB6" w:rsidRPr="00387BB6" w:rsidRDefault="00387BB6" w:rsidP="00387BB6">
      <w:pPr>
        <w:spacing w:after="360"/>
        <w:ind w:right="-159"/>
        <w:jc w:val="both"/>
        <w:rPr>
          <w:rFonts w:eastAsia="Calibri"/>
          <w:b/>
          <w:sz w:val="26"/>
          <w:szCs w:val="26"/>
          <w:lang w:eastAsia="en-US"/>
        </w:rPr>
      </w:pPr>
      <w:r w:rsidRPr="00387BB6">
        <w:rPr>
          <w:rFonts w:eastAsia="Calibri"/>
          <w:b/>
          <w:sz w:val="26"/>
          <w:szCs w:val="26"/>
          <w:lang w:eastAsia="en-US"/>
        </w:rPr>
        <w:t>mayores  riesgos  para  2016 (Forbes México)</w:t>
      </w:r>
    </w:p>
    <w:p w14:paraId="19090430" w14:textId="2A46655D"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El 1</w:t>
      </w:r>
      <w:r w:rsidR="004F5993">
        <w:rPr>
          <w:rFonts w:eastAsia="Calibri"/>
          <w:sz w:val="26"/>
          <w:szCs w:val="26"/>
          <w:lang w:val="es-ES" w:eastAsia="en-US"/>
        </w:rPr>
        <w:t xml:space="preserve">º </w:t>
      </w:r>
      <w:r w:rsidRPr="00387BB6">
        <w:rPr>
          <w:rFonts w:eastAsia="Calibri"/>
          <w:sz w:val="26"/>
          <w:szCs w:val="26"/>
          <w:lang w:val="es-ES" w:eastAsia="en-US"/>
        </w:rPr>
        <w:t>de abril de 2015, la edición online de la revista de negocios Forbes México señaló  que la Secretaría de Hacienda plantea un escenario con crecimiento de entre 3.2 y 4.2% para 2015, y entre 3.3 y 4.3% para 2016, previsión que (otra vez) podría ser demasiado optimista; incluso, los especialistas advierten que existe la posibilidad de ver un nuevo recorte al gasto.</w:t>
      </w:r>
    </w:p>
    <w:p w14:paraId="09F26CC6"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Si México creciera por debajo de lo planteado en las estimaciones, el país acumularía un tercer año sin cumplir las expectativas de crecimiento económico planteadas por el gobierno. No sólo eso: en 2016 los ingresos del gobierno podrían no corresponder a la previsión, lo que generaría un tercer recorte al gasto público, advierten especialistas consultados por Forbes México.</w:t>
      </w:r>
    </w:p>
    <w:p w14:paraId="34439869"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“El gobierno confía en que habrá más empleo, más confianza en los inversionistas, mejores salarios y mejores perspectivas de inversión productiva; es un escenario que está dejando de lado algunos riesgos clave”, dice el asesor y consultor económico independiente.</w:t>
      </w:r>
    </w:p>
    <w:p w14:paraId="203ABBA1"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 xml:space="preserve">Los </w:t>
      </w:r>
      <w:r w:rsidRPr="00387BB6">
        <w:rPr>
          <w:rFonts w:eastAsia="Calibri"/>
          <w:i/>
          <w:sz w:val="26"/>
          <w:szCs w:val="26"/>
          <w:lang w:val="es-ES" w:eastAsia="en-US"/>
        </w:rPr>
        <w:t>Pre-Criterios</w:t>
      </w:r>
      <w:r w:rsidRPr="00387BB6">
        <w:rPr>
          <w:rFonts w:eastAsia="Calibri"/>
          <w:sz w:val="26"/>
          <w:szCs w:val="26"/>
          <w:lang w:val="es-ES" w:eastAsia="en-US"/>
        </w:rPr>
        <w:t xml:space="preserve"> 2015, entregados este 31 de marzo por la Secretaría de Hacienda a la Cámara de Diputados, establecen un escenario en que el crecimiento se ubicaría en un rango de entre 3.2 y 4.2% para 2015 y entre 3.3 y 4.3% para 2016, una previsión difícil de cumplir ante cuatro grandes retos.</w:t>
      </w:r>
    </w:p>
    <w:p w14:paraId="083CCDE8" w14:textId="77777777" w:rsidR="00387BB6" w:rsidRPr="00387BB6" w:rsidRDefault="00387BB6" w:rsidP="00387BB6">
      <w:pPr>
        <w:spacing w:after="360" w:line="360" w:lineRule="auto"/>
        <w:ind w:right="-159"/>
        <w:jc w:val="both"/>
        <w:rPr>
          <w:rFonts w:eastAsia="Calibri"/>
          <w:b/>
          <w:sz w:val="26"/>
          <w:szCs w:val="26"/>
          <w:lang w:val="es-ES" w:eastAsia="en-US"/>
        </w:rPr>
      </w:pPr>
      <w:r w:rsidRPr="00387BB6">
        <w:rPr>
          <w:rFonts w:eastAsia="Calibri"/>
          <w:b/>
          <w:sz w:val="26"/>
          <w:szCs w:val="26"/>
          <w:lang w:val="es-ES" w:eastAsia="en-US"/>
        </w:rPr>
        <w:lastRenderedPageBreak/>
        <w:t>1. La inminente alza de tasas de interés de la Reserva Federal y sus efectos</w:t>
      </w:r>
    </w:p>
    <w:p w14:paraId="1FB3FC86"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La Reserva Federal ha dejado claro que 2015 será el año de retirar los estímulos monetarios. Para evitar un impacto fuerte en el mercado de capitales, el Banco de México deberá endurecer su política monetaria en un movimiento anticipado a la Reserva Federal.</w:t>
      </w:r>
    </w:p>
    <w:p w14:paraId="56EB5FD8"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“La inversión estará a la expectativa de este movimiento, que tendrá un efecto en el crédito. Éste es uno de los factores que posiblemente no se estén considerando en el escenario”, advierte el asesor y consultor económico independiente.</w:t>
      </w:r>
    </w:p>
    <w:p w14:paraId="1EC8C008" w14:textId="68B9076A" w:rsidR="00387BB6" w:rsidRPr="00387BB6" w:rsidRDefault="00387BB6" w:rsidP="00387BB6">
      <w:pPr>
        <w:spacing w:after="360" w:line="360" w:lineRule="auto"/>
        <w:ind w:right="-159"/>
        <w:jc w:val="both"/>
        <w:rPr>
          <w:rFonts w:eastAsia="Calibri"/>
          <w:b/>
          <w:sz w:val="26"/>
          <w:szCs w:val="26"/>
          <w:lang w:val="es-ES" w:eastAsia="en-US"/>
        </w:rPr>
      </w:pPr>
      <w:r w:rsidRPr="00387BB6">
        <w:rPr>
          <w:rFonts w:eastAsia="Calibri"/>
          <w:b/>
          <w:sz w:val="26"/>
          <w:szCs w:val="26"/>
          <w:lang w:val="es-ES" w:eastAsia="en-US"/>
        </w:rPr>
        <w:t>2. El impacto del recorte presupuesta</w:t>
      </w:r>
      <w:r w:rsidR="00DE3D51">
        <w:rPr>
          <w:rFonts w:eastAsia="Calibri"/>
          <w:b/>
          <w:sz w:val="26"/>
          <w:szCs w:val="26"/>
          <w:lang w:val="es-ES" w:eastAsia="en-US"/>
        </w:rPr>
        <w:t>rio</w:t>
      </w:r>
    </w:p>
    <w:p w14:paraId="167BAF3A"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 xml:space="preserve">Sumar el recorte al gasto público anunciado en enero (124 mil 300 millones de pesos) con el establecido en los </w:t>
      </w:r>
      <w:r w:rsidRPr="00387BB6">
        <w:rPr>
          <w:rFonts w:eastAsia="Calibri"/>
          <w:i/>
          <w:sz w:val="26"/>
          <w:szCs w:val="26"/>
          <w:lang w:val="es-ES" w:eastAsia="en-US"/>
        </w:rPr>
        <w:t>Pre-Criterios</w:t>
      </w:r>
      <w:r w:rsidRPr="00387BB6">
        <w:rPr>
          <w:rFonts w:eastAsia="Calibri"/>
          <w:sz w:val="26"/>
          <w:szCs w:val="26"/>
          <w:lang w:val="es-ES" w:eastAsia="en-US"/>
        </w:rPr>
        <w:t xml:space="preserve"> (una reducción de 135 mil millones de pesos en el presupuesto para 2016), da como resultado más de un cuarto de billón de pesos que se dejará de inyectar a la economía.</w:t>
      </w:r>
    </w:p>
    <w:p w14:paraId="21FE0004"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“El gasto nunca ha sido uno de los motores importantes para el crecimiento económico, por lo que no necesariamente un recorte significa menos o más crecimiento; es muy bueno tomar eso en cuenta”, dice un economista.</w:t>
      </w:r>
    </w:p>
    <w:p w14:paraId="285358EB"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Por un lado es cierto que el aumento en el gasto no ha mostrado un catalizador positivo en la economía, pero el asesor y consultor económico independiente señala que también debe considerarse que, al ser Petróleos Mexicanos (Pemex) y la Comisión Federal de Electricidad (CFE) empresas clave en el desarrollo, el recorte en el gasto sí puede tener consecuencias (negativas) en el desarrollo de la economía.</w:t>
      </w:r>
    </w:p>
    <w:p w14:paraId="20870371"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 xml:space="preserve">El asesor económico no es el único que lo ve así. Tras el primer recorte, la consultoría Moody’s Analitycs redujo su perspectiva de crecimiento para México en 2015 de 3 a </w:t>
      </w:r>
      <w:r w:rsidRPr="00387BB6">
        <w:rPr>
          <w:rFonts w:eastAsia="Calibri"/>
          <w:sz w:val="26"/>
          <w:szCs w:val="26"/>
          <w:lang w:val="es-ES" w:eastAsia="en-US"/>
        </w:rPr>
        <w:lastRenderedPageBreak/>
        <w:t>2.5%, y su director explica en ese momento que el impacto al Producto Interno Bruto (PIB) es proporcional al recorte de recursos, por lo que por cada punto de PIB que se deja de gastar hablamos de un punto que se deja de crecer.</w:t>
      </w:r>
    </w:p>
    <w:p w14:paraId="769BD83E" w14:textId="77777777" w:rsidR="00387BB6" w:rsidRPr="00387BB6" w:rsidRDefault="00387BB6" w:rsidP="00387BB6">
      <w:pPr>
        <w:spacing w:after="360" w:line="360" w:lineRule="auto"/>
        <w:ind w:right="-159"/>
        <w:jc w:val="both"/>
        <w:rPr>
          <w:rFonts w:eastAsia="Calibri"/>
          <w:b/>
          <w:sz w:val="26"/>
          <w:szCs w:val="26"/>
          <w:lang w:val="es-ES" w:eastAsia="en-US"/>
        </w:rPr>
      </w:pPr>
      <w:r w:rsidRPr="00387BB6">
        <w:rPr>
          <w:rFonts w:eastAsia="Calibri"/>
          <w:b/>
          <w:sz w:val="26"/>
          <w:szCs w:val="26"/>
          <w:lang w:val="es-ES" w:eastAsia="en-US"/>
        </w:rPr>
        <w:t>3. El tipo de cambio no tiene efectos positivos</w:t>
      </w:r>
    </w:p>
    <w:p w14:paraId="53C3CCB1"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Se podría pensar que el tipo de cambio va a dar un impulso adicional a la economía por los flujos extra provenientes del turismo y las exportaciones, pero con un 74% de insumos provenientes del extranjero es muy probable que el efecto positivo del dólar caro se desvanezca.</w:t>
      </w:r>
    </w:p>
    <w:p w14:paraId="19907A0B" w14:textId="45F506B8"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“Por un lado tienes un mayor flujo turístico que probablemente sí llegará, aunque el turismo no es una industria crucial para el crecimiento. Por otro lado, los exportadores sí vend</w:t>
      </w:r>
      <w:r w:rsidR="00DE3D51">
        <w:rPr>
          <w:rFonts w:eastAsia="Calibri"/>
          <w:sz w:val="26"/>
          <w:szCs w:val="26"/>
          <w:lang w:val="es-ES" w:eastAsia="en-US"/>
        </w:rPr>
        <w:t>e</w:t>
      </w:r>
      <w:r w:rsidRPr="00387BB6">
        <w:rPr>
          <w:rFonts w:eastAsia="Calibri"/>
          <w:sz w:val="26"/>
          <w:szCs w:val="26"/>
          <w:lang w:val="es-ES" w:eastAsia="en-US"/>
        </w:rPr>
        <w:t>rán con un tipo de cambio favorable, pero al comprar las materias primas necesarias para seguir produciendo, el efecto positivo puede convertirse, incluso, en una pérdida”, dice el asesor económico.</w:t>
      </w:r>
    </w:p>
    <w:p w14:paraId="56A6C65F" w14:textId="640F925D"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De acuerdo con Banco Base, el tipo de cambio alto ejerce otro efecto nocivo en las firmas de manufactura, pues los proyectos de inversión suelen detenerse en tanto más se acentúa la volatilidad. La directora de Análisis de la institución prevé que la volatilidad cambiaria aumentará una vez que la Reserva Federal inicie el alza de tasas, un movimiento que se espera en junio.</w:t>
      </w:r>
    </w:p>
    <w:p w14:paraId="57150433" w14:textId="77777777" w:rsidR="00387BB6" w:rsidRPr="00387BB6" w:rsidRDefault="00387BB6" w:rsidP="00387BB6">
      <w:pPr>
        <w:spacing w:after="360" w:line="360" w:lineRule="auto"/>
        <w:ind w:right="-159"/>
        <w:jc w:val="both"/>
        <w:rPr>
          <w:rFonts w:eastAsia="Calibri"/>
          <w:b/>
          <w:sz w:val="26"/>
          <w:szCs w:val="26"/>
          <w:lang w:val="es-ES" w:eastAsia="en-US"/>
        </w:rPr>
      </w:pPr>
      <w:r w:rsidRPr="00387BB6">
        <w:rPr>
          <w:rFonts w:eastAsia="Calibri"/>
          <w:b/>
          <w:sz w:val="26"/>
          <w:szCs w:val="26"/>
          <w:lang w:val="es-ES" w:eastAsia="en-US"/>
        </w:rPr>
        <w:t>4. Petróleo, la clave para un tercer recorte</w:t>
      </w:r>
    </w:p>
    <w:p w14:paraId="5C4F02A0"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Si los precios del petróleo se hubieran mantenido en un promedio de 90 dólares por barril, la historia (probablemente) se habría escrito diametralmente diferente; sin embargo, hoy el mayor riesgo es que el precio del crudo mantenga una tendencia a la baja.</w:t>
      </w:r>
    </w:p>
    <w:p w14:paraId="5E2495C1"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lastRenderedPageBreak/>
        <w:t>“Muchas cosas pueden pasar. Definitivamente existe la posibilidad de un nuevo recorte. Esto va a depender de los precios del petróleo. Todavía es posible (lograr las estimaciones de Hacienda). La gran mayoría de la gente piensa que este año vamos a crecer alrededor de 3%. La Secretaría de Hacienda está en el punto medio de su rango de crecimiento de 3.7%. Obviamente está muy por arriba de lo que esperan los analistas”, considera el economista.</w:t>
      </w:r>
    </w:p>
    <w:p w14:paraId="3C9200F4"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Hacienda estima que los precios del crudo oscilarán entre 50 y 55 dólares por barril; sin embargo, en lo que va de 2015 la mezcla mexicana ha reportado un precio máximo de 50.57 dólares por barril y un mínimo de 37.36 dólares, un nivel por debajo del rango esperado.</w:t>
      </w:r>
    </w:p>
    <w:p w14:paraId="483B6370"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“Si consideramos que 55 dólares está muy por debajo de los 90 dólares que se consideraban apenas el año pasado, tenemos una necesidad de ajuste muy fuerte, que podría no ser paliada con los recortes que ya se anunciaron”, advierte el asesor y consultor económico independiente.</w:t>
      </w:r>
    </w:p>
    <w:p w14:paraId="29628E84" w14:textId="77777777" w:rsidR="00387BB6" w:rsidRPr="00387BB6" w:rsidRDefault="00387BB6" w:rsidP="00387BB6">
      <w:pPr>
        <w:spacing w:after="360" w:line="360" w:lineRule="auto"/>
        <w:ind w:right="-159"/>
        <w:jc w:val="both"/>
        <w:rPr>
          <w:rFonts w:eastAsia="Calibri"/>
          <w:b/>
          <w:sz w:val="26"/>
          <w:szCs w:val="26"/>
          <w:lang w:val="es-ES" w:eastAsia="en-US"/>
        </w:rPr>
      </w:pPr>
      <w:r w:rsidRPr="00387BB6">
        <w:rPr>
          <w:rFonts w:eastAsia="Calibri"/>
          <w:b/>
          <w:sz w:val="26"/>
          <w:szCs w:val="26"/>
          <w:lang w:val="es-ES" w:eastAsia="en-US"/>
        </w:rPr>
        <w:t>¿Qué se puede hacer para evitar un tercer recorte?</w:t>
      </w:r>
    </w:p>
    <w:p w14:paraId="450214BA"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Existen tres factores que pueden evitar un tercer recorte; sin embargo, no todos ofrecen margen de maniobra en el escenario actual.</w:t>
      </w:r>
    </w:p>
    <w:p w14:paraId="7BE1F4F0" w14:textId="0C83C290" w:rsidR="00387BB6" w:rsidRPr="00D30E28" w:rsidRDefault="00387BB6" w:rsidP="00762467">
      <w:pPr>
        <w:pStyle w:val="Prrafodelista"/>
        <w:numPr>
          <w:ilvl w:val="0"/>
          <w:numId w:val="67"/>
        </w:numPr>
        <w:spacing w:after="360" w:line="360" w:lineRule="auto"/>
        <w:ind w:right="-159"/>
        <w:jc w:val="both"/>
        <w:rPr>
          <w:rFonts w:ascii="Times New Roman" w:eastAsia="Calibri" w:hAnsi="Times New Roman" w:cs="Times New Roman"/>
          <w:sz w:val="26"/>
          <w:szCs w:val="26"/>
          <w:lang w:val="es-ES" w:eastAsia="en-US"/>
        </w:rPr>
      </w:pPr>
      <w:r w:rsidRPr="00F7672E">
        <w:rPr>
          <w:rFonts w:ascii="Times New Roman" w:eastAsia="Calibri" w:hAnsi="Times New Roman" w:cs="Times New Roman"/>
          <w:sz w:val="26"/>
          <w:szCs w:val="26"/>
          <w:lang w:val="es-ES" w:eastAsia="en-US"/>
        </w:rPr>
        <w:t>Impuestos</w:t>
      </w:r>
      <w:r w:rsidRPr="00D30E28">
        <w:rPr>
          <w:rFonts w:ascii="Times New Roman" w:eastAsia="Calibri" w:hAnsi="Times New Roman" w:cs="Times New Roman"/>
          <w:b/>
          <w:sz w:val="26"/>
          <w:szCs w:val="26"/>
          <w:lang w:val="es-ES" w:eastAsia="en-US"/>
        </w:rPr>
        <w:t>:</w:t>
      </w:r>
      <w:r w:rsidRPr="00D30E28">
        <w:rPr>
          <w:rFonts w:ascii="Times New Roman" w:eastAsia="Calibri" w:hAnsi="Times New Roman" w:cs="Times New Roman"/>
          <w:sz w:val="26"/>
          <w:szCs w:val="26"/>
          <w:lang w:val="es-ES" w:eastAsia="en-US"/>
        </w:rPr>
        <w:t xml:space="preserve"> Ante una reducción en ingresos, el gobierno puede apelar a subir impuestos, aunque ha pactado con los empresarios que eso no sucederá.</w:t>
      </w:r>
    </w:p>
    <w:p w14:paraId="267EA56F" w14:textId="77777777" w:rsidR="00387BB6" w:rsidRPr="00D30E28" w:rsidRDefault="00387BB6" w:rsidP="00F7672E">
      <w:pPr>
        <w:pStyle w:val="Prrafodelista"/>
        <w:spacing w:after="360" w:line="360" w:lineRule="auto"/>
        <w:ind w:left="720" w:right="-159"/>
        <w:jc w:val="both"/>
        <w:rPr>
          <w:rFonts w:ascii="Times New Roman" w:eastAsia="Calibri" w:hAnsi="Times New Roman" w:cs="Times New Roman"/>
          <w:sz w:val="26"/>
          <w:szCs w:val="26"/>
          <w:lang w:val="es-ES" w:eastAsia="en-US"/>
        </w:rPr>
      </w:pPr>
      <w:r w:rsidRPr="00D30E28">
        <w:rPr>
          <w:rFonts w:ascii="Times New Roman" w:eastAsia="Calibri" w:hAnsi="Times New Roman" w:cs="Times New Roman"/>
          <w:sz w:val="26"/>
          <w:szCs w:val="26"/>
          <w:lang w:val="es-ES" w:eastAsia="en-US"/>
        </w:rPr>
        <w:t>“Podemos ver un endurecimiento de la labor fiscalizadora, que el gobierno sea más activo en el combate a la informalidad, por ejemplo”, señala el asesor económico.</w:t>
      </w:r>
    </w:p>
    <w:p w14:paraId="639D4BBE" w14:textId="0454707E" w:rsidR="00387BB6" w:rsidRPr="00D30E28" w:rsidRDefault="00387BB6" w:rsidP="00762467">
      <w:pPr>
        <w:pStyle w:val="Prrafodelista"/>
        <w:numPr>
          <w:ilvl w:val="0"/>
          <w:numId w:val="67"/>
        </w:numPr>
        <w:spacing w:after="360" w:line="360" w:lineRule="auto"/>
        <w:ind w:right="-159"/>
        <w:jc w:val="both"/>
        <w:rPr>
          <w:rFonts w:ascii="Times New Roman" w:eastAsia="Calibri" w:hAnsi="Times New Roman" w:cs="Times New Roman"/>
          <w:sz w:val="26"/>
          <w:szCs w:val="26"/>
          <w:lang w:val="es-ES" w:eastAsia="en-US"/>
        </w:rPr>
      </w:pPr>
      <w:r w:rsidRPr="00D30E28">
        <w:rPr>
          <w:rFonts w:ascii="Times New Roman" w:eastAsia="Calibri" w:hAnsi="Times New Roman" w:cs="Times New Roman"/>
          <w:b/>
          <w:sz w:val="26"/>
          <w:szCs w:val="26"/>
          <w:lang w:val="es-ES" w:eastAsia="en-US"/>
        </w:rPr>
        <w:lastRenderedPageBreak/>
        <w:t>Petróleo:</w:t>
      </w:r>
      <w:r w:rsidRPr="00D30E28">
        <w:rPr>
          <w:rFonts w:ascii="Times New Roman" w:eastAsia="Calibri" w:hAnsi="Times New Roman" w:cs="Times New Roman"/>
          <w:sz w:val="26"/>
          <w:szCs w:val="26"/>
          <w:lang w:val="es-ES" w:eastAsia="en-US"/>
        </w:rPr>
        <w:t xml:space="preserve"> Pese a que se busca reducir la dependencia petrolera, los ingresos del gobierno dependen aún en un tercio de la explotación del crudo, y hasta el momento no hay una señal clara de que el precio vaya a recuperarse.</w:t>
      </w:r>
    </w:p>
    <w:p w14:paraId="246FAF9C" w14:textId="1E2A3B02" w:rsidR="00387BB6" w:rsidRPr="00F7672E" w:rsidRDefault="00387BB6" w:rsidP="00762467">
      <w:pPr>
        <w:pStyle w:val="Prrafodelista"/>
        <w:numPr>
          <w:ilvl w:val="0"/>
          <w:numId w:val="67"/>
        </w:numPr>
        <w:spacing w:after="360" w:line="360" w:lineRule="auto"/>
        <w:ind w:right="-159"/>
        <w:jc w:val="both"/>
        <w:rPr>
          <w:rFonts w:ascii="Times New Roman" w:eastAsia="Calibri" w:hAnsi="Times New Roman" w:cs="Times New Roman"/>
          <w:sz w:val="26"/>
          <w:szCs w:val="26"/>
          <w:lang w:val="es-ES" w:eastAsia="en-US"/>
        </w:rPr>
      </w:pPr>
      <w:r w:rsidRPr="00D30E28">
        <w:rPr>
          <w:rFonts w:ascii="Times New Roman" w:eastAsia="Calibri" w:hAnsi="Times New Roman" w:cs="Times New Roman"/>
          <w:b/>
          <w:sz w:val="26"/>
          <w:szCs w:val="26"/>
          <w:lang w:val="es-ES" w:eastAsia="en-US"/>
        </w:rPr>
        <w:t>Deuda:</w:t>
      </w:r>
      <w:r w:rsidRPr="00D30E28">
        <w:rPr>
          <w:rFonts w:ascii="Times New Roman" w:eastAsia="Calibri" w:hAnsi="Times New Roman" w:cs="Times New Roman"/>
          <w:sz w:val="26"/>
          <w:szCs w:val="26"/>
          <w:lang w:val="es-ES" w:eastAsia="en-US"/>
        </w:rPr>
        <w:t xml:space="preserve"> Tomar más deuda puede ser una manera de evitar un recorte en el gasto público; sin embargo, en un año electoral, plantear más déficit implica un costo político </w:t>
      </w:r>
      <w:r w:rsidRPr="00F7672E">
        <w:rPr>
          <w:rFonts w:ascii="Times New Roman" w:eastAsia="Calibri" w:hAnsi="Times New Roman" w:cs="Times New Roman"/>
          <w:sz w:val="26"/>
          <w:szCs w:val="26"/>
          <w:lang w:val="es-ES" w:eastAsia="en-US"/>
        </w:rPr>
        <w:t>considerable.</w:t>
      </w:r>
    </w:p>
    <w:p w14:paraId="6BB0C99D"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“Las elecciones sí tendrán influencia en el proceder del gobierno. De ahí que los pronósticos de crecimiento luzcan más favorables, pero tomar más deuda tiene efectos políticos y es probable que busquen evitar ese escenario”, señala el asesor económico.</w:t>
      </w:r>
    </w:p>
    <w:p w14:paraId="783372FC" w14:textId="77777777" w:rsidR="00387BB6" w:rsidRP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En opinión del economista, aunque el panorama es distinto para Hacienda que para los economistas, es pronto para que el gobierno realice un recorte considerable de las expectativas, sobre todo porque falta por considerar el impacto positivo que podría tener el presupuesto base cero.</w:t>
      </w:r>
    </w:p>
    <w:p w14:paraId="68CF1D90" w14:textId="77777777" w:rsidR="00387BB6" w:rsidRDefault="00387BB6" w:rsidP="00387BB6">
      <w:pPr>
        <w:spacing w:after="360" w:line="360" w:lineRule="auto"/>
        <w:ind w:right="-159"/>
        <w:jc w:val="both"/>
        <w:rPr>
          <w:rFonts w:eastAsia="Calibri"/>
          <w:sz w:val="26"/>
          <w:szCs w:val="26"/>
          <w:lang w:val="es-ES" w:eastAsia="en-US"/>
        </w:rPr>
      </w:pPr>
      <w:r w:rsidRPr="00387BB6">
        <w:rPr>
          <w:rFonts w:eastAsia="Calibri"/>
          <w:sz w:val="26"/>
          <w:szCs w:val="26"/>
          <w:lang w:val="es-ES" w:eastAsia="en-US"/>
        </w:rPr>
        <w:t>“Considero que es prematuro por parte del gobierno recortar de una forma muy drástica. El problema es que el gobierno tiene ahorita muy acotados sus ingresos. Entonces sería muy positivo para el país recortar los impuestos para tratar de estimular el crecimiento económico, pero la federación quiere financiar una gran cantidad de programas sociales, como Prospera. Por lo que tendría que recortar programas sociales para poder apuntar el crecimiento económico. Si este ejercicio del presupuesto base cero lo realiza muy bien (Hacienda), y realmente lo lleva a cabo, habrá un beneficio enorme”, señala.</w:t>
      </w:r>
    </w:p>
    <w:p w14:paraId="27F3E25C" w14:textId="77777777" w:rsidR="001E7CBA" w:rsidRDefault="001E7CBA" w:rsidP="00387BB6">
      <w:pPr>
        <w:spacing w:after="360" w:line="360" w:lineRule="auto"/>
        <w:ind w:right="-159"/>
        <w:jc w:val="both"/>
        <w:rPr>
          <w:rFonts w:eastAsia="Calibri"/>
          <w:sz w:val="26"/>
          <w:szCs w:val="26"/>
          <w:lang w:val="es-ES" w:eastAsia="en-US"/>
        </w:rPr>
      </w:pPr>
    </w:p>
    <w:p w14:paraId="523FBDC9" w14:textId="77777777" w:rsidR="001E7CBA" w:rsidRDefault="001E7CBA" w:rsidP="00387BB6">
      <w:pPr>
        <w:spacing w:after="360" w:line="360" w:lineRule="auto"/>
        <w:ind w:right="-159"/>
        <w:jc w:val="both"/>
        <w:rPr>
          <w:rFonts w:eastAsia="Calibri"/>
          <w:sz w:val="26"/>
          <w:szCs w:val="26"/>
          <w:lang w:val="es-ES" w:eastAsia="en-US"/>
        </w:rPr>
      </w:pPr>
    </w:p>
    <w:p w14:paraId="7260A41B" w14:textId="77777777" w:rsidR="001E7CBA" w:rsidRPr="00387BB6" w:rsidRDefault="001E7CBA" w:rsidP="00387BB6">
      <w:pPr>
        <w:spacing w:after="360" w:line="360" w:lineRule="auto"/>
        <w:ind w:right="-159"/>
        <w:jc w:val="both"/>
        <w:rPr>
          <w:rFonts w:eastAsia="Calibri"/>
          <w:sz w:val="26"/>
          <w:szCs w:val="26"/>
          <w:lang w:val="es-ES" w:eastAsia="en-US"/>
        </w:rPr>
      </w:pPr>
    </w:p>
    <w:p w14:paraId="6CAE0C6E" w14:textId="77777777" w:rsidR="00387BB6" w:rsidRPr="00387BB6" w:rsidRDefault="00387BB6" w:rsidP="00387BB6">
      <w:pPr>
        <w:spacing w:after="360" w:line="360" w:lineRule="auto"/>
        <w:ind w:right="-159"/>
        <w:jc w:val="both"/>
        <w:rPr>
          <w:rFonts w:eastAsia="Calibri"/>
          <w:b/>
          <w:sz w:val="26"/>
          <w:szCs w:val="26"/>
          <w:lang w:val="es-ES" w:eastAsia="en-US"/>
        </w:rPr>
      </w:pPr>
      <w:r w:rsidRPr="00387BB6">
        <w:rPr>
          <w:rFonts w:eastAsia="Calibri"/>
          <w:b/>
          <w:sz w:val="26"/>
          <w:szCs w:val="26"/>
          <w:lang w:val="es-ES" w:eastAsia="en-US"/>
        </w:rPr>
        <w:lastRenderedPageBreak/>
        <w:t>El panorama del gobierno</w:t>
      </w:r>
    </w:p>
    <w:tbl>
      <w:tblPr>
        <w:tblW w:w="0" w:type="auto"/>
        <w:jc w:val="center"/>
        <w:tblLook w:val="04A0" w:firstRow="1" w:lastRow="0" w:firstColumn="1" w:lastColumn="0" w:noHBand="0" w:noVBand="1"/>
      </w:tblPr>
      <w:tblGrid>
        <w:gridCol w:w="2693"/>
        <w:gridCol w:w="2072"/>
        <w:gridCol w:w="2181"/>
      </w:tblGrid>
      <w:tr w:rsidR="00387BB6" w:rsidRPr="00387BB6" w14:paraId="1919DE99" w14:textId="77777777" w:rsidTr="00387BB6">
        <w:trPr>
          <w:jc w:val="center"/>
        </w:trPr>
        <w:tc>
          <w:tcPr>
            <w:tcW w:w="6946" w:type="dxa"/>
            <w:gridSpan w:val="3"/>
            <w:tcBorders>
              <w:top w:val="nil"/>
              <w:left w:val="nil"/>
              <w:bottom w:val="single" w:sz="4" w:space="0" w:color="auto"/>
              <w:right w:val="nil"/>
            </w:tcBorders>
          </w:tcPr>
          <w:p w14:paraId="6C1FC01C" w14:textId="77777777" w:rsidR="00387BB6" w:rsidRPr="00387BB6" w:rsidRDefault="00387BB6" w:rsidP="00387BB6">
            <w:pPr>
              <w:spacing w:before="20" w:after="20" w:line="276" w:lineRule="auto"/>
              <w:jc w:val="center"/>
              <w:rPr>
                <w:rFonts w:eastAsia="Calibri"/>
                <w:b/>
                <w:sz w:val="22"/>
                <w:szCs w:val="22"/>
                <w:lang w:val="es-ES" w:eastAsia="en-US"/>
              </w:rPr>
            </w:pPr>
            <w:r w:rsidRPr="00387BB6">
              <w:rPr>
                <w:rFonts w:eastAsia="Calibri"/>
                <w:b/>
                <w:sz w:val="22"/>
                <w:szCs w:val="22"/>
                <w:lang w:val="es-ES" w:eastAsia="en-US"/>
              </w:rPr>
              <w:t>EXPECTATIVAS DEL GOBIERNO</w:t>
            </w:r>
          </w:p>
        </w:tc>
      </w:tr>
      <w:tr w:rsidR="00387BB6" w:rsidRPr="00387BB6" w14:paraId="387605DD" w14:textId="77777777" w:rsidTr="00387BB6">
        <w:trPr>
          <w:jc w:val="center"/>
        </w:trPr>
        <w:tc>
          <w:tcPr>
            <w:tcW w:w="2693" w:type="dxa"/>
            <w:tcBorders>
              <w:top w:val="single" w:sz="4" w:space="0" w:color="auto"/>
              <w:left w:val="single" w:sz="4" w:space="0" w:color="auto"/>
              <w:bottom w:val="single" w:sz="4" w:space="0" w:color="auto"/>
              <w:right w:val="single" w:sz="4" w:space="0" w:color="auto"/>
            </w:tcBorders>
            <w:vAlign w:val="center"/>
          </w:tcPr>
          <w:p w14:paraId="107D40C4" w14:textId="77777777" w:rsidR="00387BB6" w:rsidRPr="00387BB6" w:rsidRDefault="00387BB6" w:rsidP="00387BB6">
            <w:pPr>
              <w:spacing w:before="20" w:after="20" w:line="276" w:lineRule="auto"/>
              <w:jc w:val="center"/>
              <w:rPr>
                <w:rFonts w:eastAsia="Calibri"/>
                <w:b/>
                <w:sz w:val="20"/>
                <w:szCs w:val="18"/>
                <w:lang w:val="es-ES" w:eastAsia="en-US"/>
              </w:rPr>
            </w:pPr>
            <w:r w:rsidRPr="00387BB6">
              <w:rPr>
                <w:rFonts w:eastAsia="Calibri"/>
                <w:b/>
                <w:sz w:val="20"/>
                <w:szCs w:val="18"/>
                <w:lang w:val="es-ES" w:eastAsia="en-US"/>
              </w:rPr>
              <w:t>Variable</w:t>
            </w:r>
          </w:p>
        </w:tc>
        <w:tc>
          <w:tcPr>
            <w:tcW w:w="2072" w:type="dxa"/>
            <w:tcBorders>
              <w:top w:val="single" w:sz="4" w:space="0" w:color="auto"/>
              <w:left w:val="single" w:sz="4" w:space="0" w:color="auto"/>
              <w:bottom w:val="single" w:sz="4" w:space="0" w:color="auto"/>
              <w:right w:val="single" w:sz="4" w:space="0" w:color="auto"/>
            </w:tcBorders>
            <w:vAlign w:val="center"/>
          </w:tcPr>
          <w:p w14:paraId="302A66FC" w14:textId="77777777" w:rsidR="00387BB6" w:rsidRPr="00387BB6" w:rsidRDefault="00387BB6" w:rsidP="00387BB6">
            <w:pPr>
              <w:spacing w:before="20" w:after="20" w:line="276" w:lineRule="auto"/>
              <w:jc w:val="center"/>
              <w:rPr>
                <w:rFonts w:eastAsia="Calibri"/>
                <w:b/>
                <w:sz w:val="20"/>
                <w:szCs w:val="18"/>
                <w:lang w:val="es-ES" w:eastAsia="en-US"/>
              </w:rPr>
            </w:pPr>
            <w:r w:rsidRPr="00387BB6">
              <w:rPr>
                <w:rFonts w:eastAsia="Calibri"/>
                <w:b/>
                <w:sz w:val="20"/>
                <w:szCs w:val="18"/>
                <w:lang w:val="es-ES" w:eastAsia="en-US"/>
              </w:rPr>
              <w:t>2015</w:t>
            </w:r>
          </w:p>
        </w:tc>
        <w:tc>
          <w:tcPr>
            <w:tcW w:w="2181" w:type="dxa"/>
            <w:tcBorders>
              <w:top w:val="single" w:sz="4" w:space="0" w:color="auto"/>
              <w:left w:val="single" w:sz="4" w:space="0" w:color="auto"/>
              <w:bottom w:val="single" w:sz="4" w:space="0" w:color="auto"/>
              <w:right w:val="single" w:sz="4" w:space="0" w:color="auto"/>
            </w:tcBorders>
            <w:vAlign w:val="center"/>
          </w:tcPr>
          <w:p w14:paraId="65BDABD5" w14:textId="77777777" w:rsidR="00387BB6" w:rsidRPr="00387BB6" w:rsidRDefault="00387BB6" w:rsidP="00387BB6">
            <w:pPr>
              <w:spacing w:before="20" w:after="20" w:line="276" w:lineRule="auto"/>
              <w:jc w:val="center"/>
              <w:rPr>
                <w:rFonts w:eastAsia="Calibri"/>
                <w:b/>
                <w:sz w:val="20"/>
                <w:szCs w:val="18"/>
                <w:lang w:val="es-ES" w:eastAsia="en-US"/>
              </w:rPr>
            </w:pPr>
            <w:r w:rsidRPr="00387BB6">
              <w:rPr>
                <w:rFonts w:eastAsia="Calibri"/>
                <w:b/>
                <w:sz w:val="20"/>
                <w:szCs w:val="18"/>
                <w:lang w:val="es-ES" w:eastAsia="en-US"/>
              </w:rPr>
              <w:t>2016</w:t>
            </w:r>
          </w:p>
        </w:tc>
      </w:tr>
      <w:tr w:rsidR="00387BB6" w:rsidRPr="00387BB6" w14:paraId="2A7FE52C" w14:textId="77777777" w:rsidTr="00387BB6">
        <w:trPr>
          <w:jc w:val="center"/>
        </w:trPr>
        <w:tc>
          <w:tcPr>
            <w:tcW w:w="2693" w:type="dxa"/>
            <w:tcBorders>
              <w:top w:val="single" w:sz="4" w:space="0" w:color="auto"/>
              <w:left w:val="single" w:sz="4" w:space="0" w:color="auto"/>
              <w:right w:val="single" w:sz="4" w:space="0" w:color="auto"/>
            </w:tcBorders>
            <w:vAlign w:val="center"/>
          </w:tcPr>
          <w:p w14:paraId="22CBAFF3"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Crecimiento del PIB</w:t>
            </w:r>
          </w:p>
        </w:tc>
        <w:tc>
          <w:tcPr>
            <w:tcW w:w="2072" w:type="dxa"/>
            <w:tcBorders>
              <w:top w:val="single" w:sz="4" w:space="0" w:color="auto"/>
              <w:left w:val="single" w:sz="4" w:space="0" w:color="auto"/>
              <w:right w:val="single" w:sz="4" w:space="0" w:color="auto"/>
            </w:tcBorders>
            <w:vAlign w:val="center"/>
          </w:tcPr>
          <w:p w14:paraId="7B29CDBF"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Entre 3.2 y 4.2%</w:t>
            </w:r>
          </w:p>
        </w:tc>
        <w:tc>
          <w:tcPr>
            <w:tcW w:w="2181" w:type="dxa"/>
            <w:tcBorders>
              <w:top w:val="single" w:sz="4" w:space="0" w:color="auto"/>
              <w:left w:val="single" w:sz="4" w:space="0" w:color="auto"/>
              <w:right w:val="single" w:sz="4" w:space="0" w:color="auto"/>
            </w:tcBorders>
            <w:vAlign w:val="center"/>
          </w:tcPr>
          <w:p w14:paraId="0DC71BBD"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Entre 3.3 y 4.3%</w:t>
            </w:r>
          </w:p>
        </w:tc>
      </w:tr>
      <w:tr w:rsidR="00387BB6" w:rsidRPr="00387BB6" w14:paraId="49C66E63" w14:textId="77777777" w:rsidTr="00387BB6">
        <w:trPr>
          <w:jc w:val="center"/>
        </w:trPr>
        <w:tc>
          <w:tcPr>
            <w:tcW w:w="2693" w:type="dxa"/>
            <w:tcBorders>
              <w:left w:val="single" w:sz="4" w:space="0" w:color="auto"/>
              <w:right w:val="single" w:sz="4" w:space="0" w:color="auto"/>
            </w:tcBorders>
            <w:vAlign w:val="center"/>
          </w:tcPr>
          <w:p w14:paraId="078795B7"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 xml:space="preserve">Inflación </w:t>
            </w:r>
          </w:p>
        </w:tc>
        <w:tc>
          <w:tcPr>
            <w:tcW w:w="2072" w:type="dxa"/>
            <w:tcBorders>
              <w:left w:val="single" w:sz="4" w:space="0" w:color="auto"/>
              <w:right w:val="single" w:sz="4" w:space="0" w:color="auto"/>
            </w:tcBorders>
            <w:vAlign w:val="center"/>
          </w:tcPr>
          <w:p w14:paraId="778740F4"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3%</w:t>
            </w:r>
          </w:p>
        </w:tc>
        <w:tc>
          <w:tcPr>
            <w:tcW w:w="2181" w:type="dxa"/>
            <w:tcBorders>
              <w:left w:val="single" w:sz="4" w:space="0" w:color="auto"/>
              <w:right w:val="single" w:sz="4" w:space="0" w:color="auto"/>
            </w:tcBorders>
            <w:vAlign w:val="center"/>
          </w:tcPr>
          <w:p w14:paraId="1AD3C8AE"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3%</w:t>
            </w:r>
          </w:p>
        </w:tc>
      </w:tr>
      <w:tr w:rsidR="00387BB6" w:rsidRPr="00387BB6" w14:paraId="455A1EE9" w14:textId="77777777" w:rsidTr="00387BB6">
        <w:trPr>
          <w:jc w:val="center"/>
        </w:trPr>
        <w:tc>
          <w:tcPr>
            <w:tcW w:w="2693" w:type="dxa"/>
            <w:tcBorders>
              <w:left w:val="single" w:sz="4" w:space="0" w:color="auto"/>
              <w:right w:val="single" w:sz="4" w:space="0" w:color="auto"/>
            </w:tcBorders>
            <w:vAlign w:val="center"/>
          </w:tcPr>
          <w:p w14:paraId="5C85A820"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Tipo de cambio (promedio)</w:t>
            </w:r>
          </w:p>
        </w:tc>
        <w:tc>
          <w:tcPr>
            <w:tcW w:w="2072" w:type="dxa"/>
            <w:tcBorders>
              <w:left w:val="single" w:sz="4" w:space="0" w:color="auto"/>
              <w:right w:val="single" w:sz="4" w:space="0" w:color="auto"/>
            </w:tcBorders>
            <w:vAlign w:val="center"/>
          </w:tcPr>
          <w:p w14:paraId="0E8FBD81"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14.8 pesos por dólar</w:t>
            </w:r>
          </w:p>
        </w:tc>
        <w:tc>
          <w:tcPr>
            <w:tcW w:w="2181" w:type="dxa"/>
            <w:tcBorders>
              <w:left w:val="single" w:sz="4" w:space="0" w:color="auto"/>
              <w:right w:val="single" w:sz="4" w:space="0" w:color="auto"/>
            </w:tcBorders>
            <w:vAlign w:val="center"/>
          </w:tcPr>
          <w:p w14:paraId="3B65A43A"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14.5 pesos por dólar</w:t>
            </w:r>
          </w:p>
        </w:tc>
      </w:tr>
      <w:tr w:rsidR="00387BB6" w:rsidRPr="00387BB6" w14:paraId="2AF749EC" w14:textId="77777777" w:rsidTr="00387BB6">
        <w:trPr>
          <w:jc w:val="center"/>
        </w:trPr>
        <w:tc>
          <w:tcPr>
            <w:tcW w:w="2693" w:type="dxa"/>
            <w:tcBorders>
              <w:left w:val="single" w:sz="4" w:space="0" w:color="auto"/>
              <w:bottom w:val="single" w:sz="4" w:space="0" w:color="auto"/>
              <w:right w:val="single" w:sz="4" w:space="0" w:color="auto"/>
            </w:tcBorders>
            <w:vAlign w:val="center"/>
          </w:tcPr>
          <w:p w14:paraId="2D60A251"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Precio del petróleo</w:t>
            </w:r>
          </w:p>
        </w:tc>
        <w:tc>
          <w:tcPr>
            <w:tcW w:w="2072" w:type="dxa"/>
            <w:tcBorders>
              <w:left w:val="single" w:sz="4" w:space="0" w:color="auto"/>
              <w:bottom w:val="single" w:sz="4" w:space="0" w:color="auto"/>
              <w:right w:val="single" w:sz="4" w:space="0" w:color="auto"/>
            </w:tcBorders>
            <w:vAlign w:val="center"/>
          </w:tcPr>
          <w:p w14:paraId="6F3FD6D0"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50 dólares por barril</w:t>
            </w:r>
          </w:p>
        </w:tc>
        <w:tc>
          <w:tcPr>
            <w:tcW w:w="2181" w:type="dxa"/>
            <w:tcBorders>
              <w:left w:val="single" w:sz="4" w:space="0" w:color="auto"/>
              <w:bottom w:val="single" w:sz="4" w:space="0" w:color="auto"/>
              <w:right w:val="single" w:sz="4" w:space="0" w:color="auto"/>
            </w:tcBorders>
            <w:vAlign w:val="center"/>
          </w:tcPr>
          <w:p w14:paraId="7F20DE26"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55 dólares por barril</w:t>
            </w:r>
          </w:p>
        </w:tc>
      </w:tr>
      <w:tr w:rsidR="00387BB6" w:rsidRPr="00387BB6" w14:paraId="65CD3CDE" w14:textId="77777777" w:rsidTr="00956231">
        <w:trPr>
          <w:jc w:val="center"/>
        </w:trPr>
        <w:tc>
          <w:tcPr>
            <w:tcW w:w="6946" w:type="dxa"/>
            <w:gridSpan w:val="3"/>
            <w:tcBorders>
              <w:top w:val="single" w:sz="4" w:space="0" w:color="auto"/>
              <w:left w:val="nil"/>
              <w:bottom w:val="nil"/>
              <w:right w:val="nil"/>
            </w:tcBorders>
          </w:tcPr>
          <w:p w14:paraId="6BDBAEC9" w14:textId="77777777" w:rsidR="00387BB6" w:rsidRPr="00387BB6" w:rsidRDefault="00387BB6" w:rsidP="00387BB6">
            <w:pPr>
              <w:spacing w:before="20" w:after="20" w:line="276" w:lineRule="auto"/>
              <w:jc w:val="both"/>
              <w:rPr>
                <w:rFonts w:eastAsia="Calibri"/>
                <w:sz w:val="20"/>
                <w:szCs w:val="18"/>
                <w:lang w:val="es-ES" w:eastAsia="en-US"/>
              </w:rPr>
            </w:pPr>
            <w:r w:rsidRPr="00387BB6">
              <w:rPr>
                <w:rFonts w:eastAsia="Calibri"/>
                <w:sz w:val="20"/>
                <w:szCs w:val="18"/>
                <w:lang w:val="es-ES" w:eastAsia="en-US"/>
              </w:rPr>
              <w:t>FUENTE: Forbes México.</w:t>
            </w:r>
          </w:p>
        </w:tc>
      </w:tr>
    </w:tbl>
    <w:p w14:paraId="0DA50790" w14:textId="77777777" w:rsidR="00387BB6" w:rsidRPr="00387BB6" w:rsidRDefault="00387BB6" w:rsidP="00387BB6">
      <w:pPr>
        <w:spacing w:after="360" w:line="360" w:lineRule="auto"/>
        <w:ind w:right="-159"/>
        <w:jc w:val="both"/>
        <w:rPr>
          <w:rFonts w:eastAsia="Calibri"/>
          <w:sz w:val="26"/>
          <w:szCs w:val="26"/>
          <w:lang w:val="es-ES" w:eastAsia="en-US"/>
        </w:rPr>
      </w:pPr>
    </w:p>
    <w:p w14:paraId="0F1FDCE8" w14:textId="77777777" w:rsidR="00387BB6" w:rsidRPr="00387BB6" w:rsidRDefault="00387BB6" w:rsidP="00387BB6">
      <w:pPr>
        <w:ind w:right="-159"/>
        <w:jc w:val="both"/>
        <w:rPr>
          <w:rFonts w:eastAsia="Calibri"/>
          <w:b/>
          <w:sz w:val="20"/>
          <w:szCs w:val="20"/>
          <w:lang w:eastAsia="en-US"/>
        </w:rPr>
      </w:pPr>
      <w:r w:rsidRPr="00387BB6">
        <w:rPr>
          <w:rFonts w:eastAsia="Calibri"/>
          <w:b/>
          <w:sz w:val="20"/>
          <w:szCs w:val="20"/>
          <w:lang w:eastAsia="en-US"/>
        </w:rPr>
        <w:t>Fuente de información:</w:t>
      </w:r>
    </w:p>
    <w:p w14:paraId="546A6F98" w14:textId="77777777" w:rsidR="00387BB6" w:rsidRPr="00A303E8" w:rsidRDefault="003C2C71" w:rsidP="00A303E8">
      <w:pPr>
        <w:spacing w:after="720"/>
        <w:ind w:right="-159"/>
        <w:jc w:val="both"/>
        <w:rPr>
          <w:rFonts w:eastAsia="Calibri"/>
          <w:b/>
          <w:color w:val="0000FF"/>
          <w:sz w:val="20"/>
          <w:szCs w:val="20"/>
          <w:lang w:val="es-ES" w:eastAsia="en-US"/>
        </w:rPr>
      </w:pPr>
      <w:hyperlink r:id="rId16" w:history="1">
        <w:r w:rsidR="00387BB6" w:rsidRPr="00A303E8">
          <w:rPr>
            <w:rFonts w:eastAsia="Calibri"/>
            <w:color w:val="0000FF"/>
            <w:sz w:val="20"/>
            <w:szCs w:val="20"/>
            <w:u w:val="single"/>
            <w:lang w:val="es-ES" w:eastAsia="en-US"/>
          </w:rPr>
          <w:t>http://www.forbes.com.mx/crecimiento-bajo-y-otro-recorte-al-gasto-los-mayores-riesgos-para-2016/</w:t>
        </w:r>
      </w:hyperlink>
    </w:p>
    <w:p w14:paraId="62E84953" w14:textId="77777777" w:rsidR="00F3262F" w:rsidRPr="00F3262F" w:rsidRDefault="00F3262F" w:rsidP="00F3262F">
      <w:pPr>
        <w:spacing w:after="360" w:line="360" w:lineRule="auto"/>
        <w:ind w:right="-159"/>
        <w:rPr>
          <w:rFonts w:eastAsia="Times New Roman"/>
          <w:b/>
          <w:sz w:val="26"/>
          <w:szCs w:val="26"/>
          <w:lang w:val="es-ES"/>
        </w:rPr>
      </w:pPr>
      <w:r w:rsidRPr="00F3262F">
        <w:rPr>
          <w:rFonts w:eastAsia="Times New Roman"/>
          <w:b/>
          <w:iCs/>
          <w:sz w:val="26"/>
          <w:szCs w:val="26"/>
          <w:lang w:val="es-ES"/>
        </w:rPr>
        <w:t>Pronósticos económicos 2013-2014</w:t>
      </w:r>
      <w:r w:rsidRPr="00F3262F">
        <w:rPr>
          <w:rFonts w:eastAsia="Times New Roman"/>
          <w:b/>
          <w:sz w:val="26"/>
          <w:szCs w:val="26"/>
          <w:lang w:val="es-ES"/>
        </w:rPr>
        <w:t xml:space="preserve"> (CEMPE)</w:t>
      </w:r>
    </w:p>
    <w:p w14:paraId="0451D118" w14:textId="4593BA26" w:rsidR="00F3262F" w:rsidRDefault="00F3262F" w:rsidP="00F3262F">
      <w:pPr>
        <w:spacing w:after="360" w:line="360" w:lineRule="auto"/>
        <w:ind w:right="-159"/>
        <w:jc w:val="both"/>
        <w:rPr>
          <w:rFonts w:eastAsia="Times New Roman"/>
          <w:bCs/>
          <w:iCs/>
          <w:sz w:val="26"/>
          <w:szCs w:val="26"/>
          <w:lang w:val="es-ES"/>
        </w:rPr>
      </w:pPr>
      <w:r w:rsidRPr="00F3262F">
        <w:rPr>
          <w:rFonts w:eastAsia="Times New Roman"/>
          <w:bCs/>
          <w:sz w:val="26"/>
          <w:szCs w:val="26"/>
          <w:lang w:val="es-ES"/>
        </w:rPr>
        <w:t xml:space="preserve">El 24 de marzo de 2015, en el marco de su primera </w:t>
      </w:r>
      <w:r w:rsidRPr="00F3262F">
        <w:rPr>
          <w:rFonts w:eastAsia="Times New Roman"/>
          <w:bCs/>
          <w:sz w:val="26"/>
          <w:szCs w:val="26"/>
        </w:rPr>
        <w:t xml:space="preserve">reunión trimestral del año en curso, </w:t>
      </w:r>
      <w:r w:rsidRPr="00F3262F">
        <w:rPr>
          <w:rFonts w:eastAsia="Times New Roman"/>
          <w:bCs/>
          <w:sz w:val="26"/>
          <w:szCs w:val="26"/>
          <w:lang w:val="es-ES"/>
        </w:rPr>
        <w:t>el Centro de Modelística y Pronósticos Económicos (CEMPE), de la Facultad de Economía de la Universidad Nacional Autónoma de México (UNAM), presentó sus “</w:t>
      </w:r>
      <w:r w:rsidRPr="00F3262F">
        <w:rPr>
          <w:rFonts w:eastAsia="Times New Roman"/>
          <w:bCs/>
          <w:iCs/>
          <w:sz w:val="26"/>
          <w:szCs w:val="26"/>
          <w:lang w:val="es-ES"/>
        </w:rPr>
        <w:t>Pronósticos económicos 2015-2016” para la economía mexicana. A continuación</w:t>
      </w:r>
      <w:r w:rsidR="00F7672E">
        <w:rPr>
          <w:rFonts w:eastAsia="Times New Roman"/>
          <w:bCs/>
          <w:iCs/>
          <w:sz w:val="26"/>
          <w:szCs w:val="26"/>
          <w:lang w:val="es-ES"/>
        </w:rPr>
        <w:t xml:space="preserve"> se presentan</w:t>
      </w:r>
      <w:r w:rsidRPr="00F3262F">
        <w:rPr>
          <w:rFonts w:eastAsia="Times New Roman"/>
          <w:bCs/>
          <w:iCs/>
          <w:sz w:val="26"/>
          <w:szCs w:val="26"/>
          <w:lang w:val="es-ES"/>
        </w:rPr>
        <w:t xml:space="preserve"> los pormenores.</w:t>
      </w:r>
    </w:p>
    <w:p w14:paraId="008482B8" w14:textId="77777777" w:rsidR="001E7CBA" w:rsidRDefault="001E7CBA" w:rsidP="00F3262F">
      <w:pPr>
        <w:spacing w:after="360" w:line="360" w:lineRule="auto"/>
        <w:ind w:right="-159"/>
        <w:jc w:val="both"/>
        <w:rPr>
          <w:rFonts w:eastAsia="Times New Roman"/>
          <w:bCs/>
          <w:iCs/>
          <w:sz w:val="26"/>
          <w:szCs w:val="26"/>
          <w:lang w:val="es-ES"/>
        </w:rPr>
      </w:pPr>
    </w:p>
    <w:p w14:paraId="76977753" w14:textId="77777777" w:rsidR="001E7CBA" w:rsidRDefault="001E7CBA" w:rsidP="00F3262F">
      <w:pPr>
        <w:spacing w:after="360" w:line="360" w:lineRule="auto"/>
        <w:ind w:right="-159"/>
        <w:jc w:val="both"/>
        <w:rPr>
          <w:rFonts w:eastAsia="Times New Roman"/>
          <w:bCs/>
          <w:iCs/>
          <w:sz w:val="26"/>
          <w:szCs w:val="26"/>
          <w:lang w:val="es-ES"/>
        </w:rPr>
      </w:pPr>
    </w:p>
    <w:p w14:paraId="2BC9AAFC" w14:textId="77777777" w:rsidR="001E7CBA" w:rsidRDefault="001E7CBA" w:rsidP="00F3262F">
      <w:pPr>
        <w:spacing w:after="360" w:line="360" w:lineRule="auto"/>
        <w:ind w:right="-159"/>
        <w:jc w:val="both"/>
        <w:rPr>
          <w:rFonts w:eastAsia="Times New Roman"/>
          <w:bCs/>
          <w:iCs/>
          <w:sz w:val="26"/>
          <w:szCs w:val="26"/>
          <w:lang w:val="es-ES"/>
        </w:rPr>
      </w:pPr>
    </w:p>
    <w:p w14:paraId="72B13FEA" w14:textId="77777777" w:rsidR="001E7CBA" w:rsidRDefault="001E7CBA" w:rsidP="00F3262F">
      <w:pPr>
        <w:spacing w:after="360" w:line="360" w:lineRule="auto"/>
        <w:ind w:right="-159"/>
        <w:jc w:val="both"/>
        <w:rPr>
          <w:rFonts w:eastAsia="Times New Roman"/>
          <w:bCs/>
          <w:iCs/>
          <w:sz w:val="26"/>
          <w:szCs w:val="26"/>
          <w:lang w:val="es-ES"/>
        </w:rPr>
      </w:pPr>
    </w:p>
    <w:p w14:paraId="6FABA902" w14:textId="77777777" w:rsidR="00052757" w:rsidRPr="00F3262F" w:rsidRDefault="00052757" w:rsidP="00F3262F">
      <w:pPr>
        <w:spacing w:after="360" w:line="360" w:lineRule="auto"/>
        <w:ind w:right="-159"/>
        <w:jc w:val="both"/>
        <w:rPr>
          <w:rFonts w:eastAsia="Times New Roman"/>
          <w:bCs/>
          <w:iCs/>
          <w:sz w:val="26"/>
          <w:szCs w:val="26"/>
          <w:lang w:val="es-ES"/>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89"/>
        <w:gridCol w:w="2126"/>
        <w:gridCol w:w="2126"/>
      </w:tblGrid>
      <w:tr w:rsidR="00F3262F" w:rsidRPr="00F3262F" w14:paraId="15172D3F" w14:textId="77777777" w:rsidTr="00F7672E">
        <w:trPr>
          <w:jc w:val="center"/>
        </w:trPr>
        <w:tc>
          <w:tcPr>
            <w:tcW w:w="6641" w:type="dxa"/>
            <w:gridSpan w:val="3"/>
            <w:tcBorders>
              <w:top w:val="nil"/>
              <w:left w:val="nil"/>
              <w:bottom w:val="single" w:sz="2" w:space="0" w:color="auto"/>
              <w:right w:val="nil"/>
            </w:tcBorders>
            <w:shd w:val="clear" w:color="auto" w:fill="auto"/>
          </w:tcPr>
          <w:p w14:paraId="51CF3453" w14:textId="77777777" w:rsidR="00F3262F" w:rsidRPr="00F3262F" w:rsidRDefault="00F3262F" w:rsidP="00F3262F">
            <w:pPr>
              <w:spacing w:after="120"/>
              <w:jc w:val="center"/>
              <w:rPr>
                <w:rFonts w:eastAsia="Times New Roman"/>
                <w:b/>
                <w:sz w:val="20"/>
                <w:szCs w:val="20"/>
                <w:lang w:val="es-ES"/>
              </w:rPr>
            </w:pPr>
            <w:r w:rsidRPr="00F3262F">
              <w:rPr>
                <w:rFonts w:eastAsia="Times New Roman"/>
                <w:b/>
                <w:sz w:val="20"/>
                <w:szCs w:val="20"/>
                <w:lang w:val="es-ES"/>
              </w:rPr>
              <w:lastRenderedPageBreak/>
              <w:t>ECONOMÍA MEXICANA Y DE LOS ESTADOS UNIDOS DE NORTEAMÉRICA, PRONÓSTICO INERCIAL 2015-2016</w:t>
            </w:r>
          </w:p>
        </w:tc>
      </w:tr>
      <w:tr w:rsidR="00F3262F" w:rsidRPr="00F3262F" w14:paraId="7839A386" w14:textId="77777777" w:rsidTr="00F7672E">
        <w:trPr>
          <w:jc w:val="center"/>
        </w:trPr>
        <w:tc>
          <w:tcPr>
            <w:tcW w:w="2389" w:type="dxa"/>
            <w:tcBorders>
              <w:bottom w:val="single" w:sz="2" w:space="0" w:color="auto"/>
            </w:tcBorders>
            <w:shd w:val="clear" w:color="auto" w:fill="auto"/>
          </w:tcPr>
          <w:p w14:paraId="352F7C3D" w14:textId="77777777" w:rsidR="00F3262F" w:rsidRPr="00F3262F" w:rsidRDefault="00F3262F" w:rsidP="00F3262F">
            <w:pPr>
              <w:jc w:val="center"/>
              <w:rPr>
                <w:rFonts w:eastAsia="Times New Roman"/>
                <w:b/>
                <w:sz w:val="20"/>
                <w:szCs w:val="20"/>
                <w:lang w:val="es-ES"/>
              </w:rPr>
            </w:pPr>
            <w:r w:rsidRPr="00F3262F">
              <w:rPr>
                <w:rFonts w:eastAsia="Times New Roman"/>
                <w:b/>
                <w:sz w:val="20"/>
                <w:szCs w:val="20"/>
                <w:lang w:val="es-ES"/>
              </w:rPr>
              <w:t>Variable</w:t>
            </w:r>
          </w:p>
        </w:tc>
        <w:tc>
          <w:tcPr>
            <w:tcW w:w="2126" w:type="dxa"/>
            <w:tcBorders>
              <w:bottom w:val="single" w:sz="2" w:space="0" w:color="auto"/>
            </w:tcBorders>
            <w:shd w:val="clear" w:color="auto" w:fill="auto"/>
          </w:tcPr>
          <w:p w14:paraId="79BE0C65" w14:textId="77777777" w:rsidR="00F3262F" w:rsidRPr="00F3262F" w:rsidRDefault="00F3262F" w:rsidP="00F3262F">
            <w:pPr>
              <w:jc w:val="center"/>
              <w:rPr>
                <w:rFonts w:eastAsia="Times New Roman"/>
                <w:b/>
                <w:sz w:val="20"/>
                <w:szCs w:val="20"/>
                <w:lang w:val="es-ES"/>
              </w:rPr>
            </w:pPr>
            <w:r w:rsidRPr="00F3262F">
              <w:rPr>
                <w:rFonts w:eastAsia="Times New Roman"/>
                <w:b/>
                <w:sz w:val="20"/>
                <w:szCs w:val="20"/>
                <w:lang w:val="es-ES"/>
              </w:rPr>
              <w:t>2015</w:t>
            </w:r>
          </w:p>
        </w:tc>
        <w:tc>
          <w:tcPr>
            <w:tcW w:w="2126" w:type="dxa"/>
            <w:tcBorders>
              <w:bottom w:val="single" w:sz="2" w:space="0" w:color="auto"/>
            </w:tcBorders>
            <w:shd w:val="clear" w:color="auto" w:fill="auto"/>
          </w:tcPr>
          <w:p w14:paraId="0AEE6F89" w14:textId="77777777" w:rsidR="00F3262F" w:rsidRPr="00F3262F" w:rsidRDefault="00F3262F" w:rsidP="00F3262F">
            <w:pPr>
              <w:jc w:val="center"/>
              <w:rPr>
                <w:rFonts w:eastAsia="Times New Roman"/>
                <w:b/>
                <w:sz w:val="20"/>
                <w:szCs w:val="20"/>
                <w:lang w:val="es-ES"/>
              </w:rPr>
            </w:pPr>
            <w:r w:rsidRPr="00F3262F">
              <w:rPr>
                <w:rFonts w:eastAsia="Times New Roman"/>
                <w:b/>
                <w:sz w:val="20"/>
                <w:szCs w:val="20"/>
                <w:lang w:val="es-ES"/>
              </w:rPr>
              <w:t>2016</w:t>
            </w:r>
          </w:p>
        </w:tc>
      </w:tr>
      <w:tr w:rsidR="00F3262F" w:rsidRPr="00F3262F" w14:paraId="75E889DB" w14:textId="77777777" w:rsidTr="00F7672E">
        <w:trPr>
          <w:jc w:val="center"/>
        </w:trPr>
        <w:tc>
          <w:tcPr>
            <w:tcW w:w="2389" w:type="dxa"/>
            <w:tcBorders>
              <w:top w:val="single" w:sz="2" w:space="0" w:color="auto"/>
              <w:bottom w:val="nil"/>
            </w:tcBorders>
            <w:shd w:val="clear" w:color="auto" w:fill="auto"/>
          </w:tcPr>
          <w:p w14:paraId="564333D4"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PIB</w:t>
            </w:r>
          </w:p>
        </w:tc>
        <w:tc>
          <w:tcPr>
            <w:tcW w:w="2126" w:type="dxa"/>
            <w:tcBorders>
              <w:top w:val="single" w:sz="2" w:space="0" w:color="auto"/>
              <w:bottom w:val="nil"/>
            </w:tcBorders>
            <w:shd w:val="clear" w:color="auto" w:fill="auto"/>
          </w:tcPr>
          <w:p w14:paraId="6B28386F" w14:textId="77777777" w:rsidR="00F3262F" w:rsidRPr="00F3262F" w:rsidRDefault="00F3262F" w:rsidP="00F7672E">
            <w:pPr>
              <w:ind w:right="454"/>
              <w:jc w:val="right"/>
              <w:rPr>
                <w:rFonts w:eastAsia="Times New Roman"/>
                <w:b/>
                <w:sz w:val="20"/>
                <w:szCs w:val="20"/>
                <w:lang w:val="es-ES"/>
              </w:rPr>
            </w:pPr>
            <w:r w:rsidRPr="00F3262F">
              <w:rPr>
                <w:rFonts w:eastAsia="Times New Roman"/>
                <w:b/>
                <w:sz w:val="20"/>
                <w:szCs w:val="20"/>
                <w:lang w:val="es-ES"/>
              </w:rPr>
              <w:t>2.45-2.96</w:t>
            </w:r>
            <w:r w:rsidRPr="00F3262F">
              <w:rPr>
                <w:rFonts w:eastAsia="Times New Roman"/>
                <w:b/>
                <w:bCs/>
                <w:sz w:val="20"/>
                <w:szCs w:val="20"/>
                <w:vertAlign w:val="superscript"/>
                <w:lang w:val="en-US"/>
              </w:rPr>
              <w:t xml:space="preserve"> </w:t>
            </w:r>
            <w:r w:rsidRPr="00F3262F">
              <w:rPr>
                <w:rFonts w:eastAsia="Times New Roman"/>
                <w:b/>
                <w:bCs/>
                <w:sz w:val="20"/>
                <w:szCs w:val="20"/>
                <w:u w:val="single"/>
                <w:vertAlign w:val="superscript"/>
                <w:lang w:val="en-US"/>
              </w:rPr>
              <w:t>a</w:t>
            </w:r>
            <w:r w:rsidRPr="00F3262F">
              <w:rPr>
                <w:rFonts w:eastAsia="Times New Roman"/>
                <w:b/>
                <w:bCs/>
                <w:sz w:val="20"/>
                <w:szCs w:val="20"/>
                <w:vertAlign w:val="superscript"/>
                <w:lang w:val="en-US"/>
              </w:rPr>
              <w:t>/</w:t>
            </w:r>
          </w:p>
        </w:tc>
        <w:tc>
          <w:tcPr>
            <w:tcW w:w="2126" w:type="dxa"/>
            <w:tcBorders>
              <w:top w:val="single" w:sz="2" w:space="0" w:color="auto"/>
              <w:bottom w:val="nil"/>
            </w:tcBorders>
            <w:shd w:val="clear" w:color="auto" w:fill="auto"/>
          </w:tcPr>
          <w:p w14:paraId="0109F429" w14:textId="77777777" w:rsidR="00F3262F" w:rsidRPr="00F3262F" w:rsidRDefault="00F3262F" w:rsidP="00F7672E">
            <w:pPr>
              <w:ind w:right="454"/>
              <w:jc w:val="right"/>
              <w:rPr>
                <w:rFonts w:eastAsia="Times New Roman"/>
                <w:b/>
                <w:bCs/>
                <w:sz w:val="20"/>
                <w:szCs w:val="20"/>
                <w:lang w:val="en-US"/>
              </w:rPr>
            </w:pPr>
            <w:r w:rsidRPr="00F3262F">
              <w:rPr>
                <w:rFonts w:eastAsia="Times New Roman"/>
                <w:b/>
                <w:bCs/>
                <w:sz w:val="20"/>
                <w:szCs w:val="20"/>
                <w:lang w:val="en-US"/>
              </w:rPr>
              <w:t xml:space="preserve">3.10-3.24 </w:t>
            </w:r>
            <w:r w:rsidRPr="00F3262F">
              <w:rPr>
                <w:rFonts w:eastAsia="Times New Roman"/>
                <w:b/>
                <w:bCs/>
                <w:sz w:val="20"/>
                <w:szCs w:val="20"/>
                <w:u w:val="single"/>
                <w:vertAlign w:val="superscript"/>
                <w:lang w:val="en-US"/>
              </w:rPr>
              <w:t>a</w:t>
            </w:r>
            <w:r w:rsidRPr="00F3262F">
              <w:rPr>
                <w:rFonts w:eastAsia="Times New Roman"/>
                <w:b/>
                <w:bCs/>
                <w:sz w:val="20"/>
                <w:szCs w:val="20"/>
                <w:vertAlign w:val="superscript"/>
                <w:lang w:val="en-US"/>
              </w:rPr>
              <w:t>/</w:t>
            </w:r>
          </w:p>
        </w:tc>
      </w:tr>
      <w:tr w:rsidR="00007242" w:rsidRPr="00F3262F" w14:paraId="100212B6" w14:textId="77777777" w:rsidTr="00F7672E">
        <w:trPr>
          <w:jc w:val="center"/>
        </w:trPr>
        <w:tc>
          <w:tcPr>
            <w:tcW w:w="2389" w:type="dxa"/>
            <w:tcBorders>
              <w:top w:val="nil"/>
              <w:bottom w:val="nil"/>
            </w:tcBorders>
            <w:shd w:val="clear" w:color="auto" w:fill="auto"/>
          </w:tcPr>
          <w:p w14:paraId="74FD82E7"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w:t>
            </w:r>
          </w:p>
        </w:tc>
        <w:tc>
          <w:tcPr>
            <w:tcW w:w="2126" w:type="dxa"/>
            <w:tcBorders>
              <w:top w:val="nil"/>
              <w:bottom w:val="nil"/>
            </w:tcBorders>
            <w:shd w:val="clear" w:color="auto" w:fill="auto"/>
          </w:tcPr>
          <w:p w14:paraId="3C93D653" w14:textId="77777777" w:rsidR="00F3262F" w:rsidRPr="00F3262F" w:rsidRDefault="00F3262F" w:rsidP="00F7672E">
            <w:pPr>
              <w:ind w:right="584"/>
              <w:jc w:val="right"/>
              <w:rPr>
                <w:rFonts w:eastAsia="Times New Roman"/>
                <w:sz w:val="20"/>
                <w:szCs w:val="20"/>
                <w:lang w:val="es-ES"/>
              </w:rPr>
            </w:pPr>
            <w:r w:rsidRPr="00F3262F">
              <w:rPr>
                <w:rFonts w:eastAsia="Times New Roman"/>
                <w:sz w:val="20"/>
                <w:szCs w:val="20"/>
                <w:lang w:val="es-ES"/>
              </w:rPr>
              <w:t>1.91-2.39</w:t>
            </w:r>
          </w:p>
        </w:tc>
        <w:tc>
          <w:tcPr>
            <w:tcW w:w="2126" w:type="dxa"/>
            <w:tcBorders>
              <w:top w:val="nil"/>
              <w:bottom w:val="nil"/>
            </w:tcBorders>
            <w:shd w:val="clear" w:color="auto" w:fill="auto"/>
          </w:tcPr>
          <w:p w14:paraId="0E91F21E" w14:textId="77777777" w:rsidR="00F3262F" w:rsidRPr="00F3262F" w:rsidRDefault="00F3262F" w:rsidP="00F7672E">
            <w:pPr>
              <w:ind w:right="584"/>
              <w:jc w:val="right"/>
              <w:rPr>
                <w:rFonts w:eastAsia="Times New Roman"/>
                <w:sz w:val="20"/>
                <w:szCs w:val="20"/>
                <w:lang w:val="en-US"/>
              </w:rPr>
            </w:pPr>
            <w:r w:rsidRPr="00F3262F">
              <w:rPr>
                <w:rFonts w:eastAsia="Times New Roman"/>
                <w:sz w:val="20"/>
                <w:szCs w:val="20"/>
                <w:lang w:val="en-US"/>
              </w:rPr>
              <w:t>3.10-3.28</w:t>
            </w:r>
          </w:p>
        </w:tc>
      </w:tr>
      <w:tr w:rsidR="00F3262F" w:rsidRPr="00F3262F" w14:paraId="706B928B" w14:textId="77777777" w:rsidTr="00F7672E">
        <w:trPr>
          <w:jc w:val="center"/>
        </w:trPr>
        <w:tc>
          <w:tcPr>
            <w:tcW w:w="2389" w:type="dxa"/>
            <w:tcBorders>
              <w:top w:val="nil"/>
              <w:bottom w:val="nil"/>
            </w:tcBorders>
            <w:shd w:val="clear" w:color="auto" w:fill="auto"/>
          </w:tcPr>
          <w:p w14:paraId="3A94913B"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II</w:t>
            </w:r>
          </w:p>
        </w:tc>
        <w:tc>
          <w:tcPr>
            <w:tcW w:w="2126" w:type="dxa"/>
            <w:tcBorders>
              <w:top w:val="nil"/>
              <w:bottom w:val="nil"/>
            </w:tcBorders>
            <w:shd w:val="clear" w:color="auto" w:fill="auto"/>
          </w:tcPr>
          <w:p w14:paraId="7094585A" w14:textId="77777777" w:rsidR="00F3262F" w:rsidRPr="00F3262F" w:rsidRDefault="00F3262F" w:rsidP="00F7672E">
            <w:pPr>
              <w:ind w:right="584"/>
              <w:jc w:val="right"/>
              <w:rPr>
                <w:rFonts w:eastAsia="Times New Roman"/>
                <w:sz w:val="20"/>
                <w:szCs w:val="20"/>
                <w:lang w:val="es-ES"/>
              </w:rPr>
            </w:pPr>
            <w:r w:rsidRPr="00F3262F">
              <w:rPr>
                <w:rFonts w:eastAsia="Times New Roman"/>
                <w:sz w:val="20"/>
                <w:szCs w:val="20"/>
                <w:lang w:val="es-ES"/>
              </w:rPr>
              <w:t>2.47-3.46</w:t>
            </w:r>
          </w:p>
        </w:tc>
        <w:tc>
          <w:tcPr>
            <w:tcW w:w="2126" w:type="dxa"/>
            <w:tcBorders>
              <w:top w:val="nil"/>
              <w:bottom w:val="nil"/>
            </w:tcBorders>
            <w:shd w:val="clear" w:color="auto" w:fill="auto"/>
          </w:tcPr>
          <w:p w14:paraId="060E5F52" w14:textId="77777777" w:rsidR="00F3262F" w:rsidRPr="00F3262F" w:rsidRDefault="00F3262F" w:rsidP="00F7672E">
            <w:pPr>
              <w:ind w:right="584"/>
              <w:jc w:val="right"/>
              <w:rPr>
                <w:rFonts w:eastAsia="Times New Roman"/>
                <w:sz w:val="20"/>
                <w:szCs w:val="20"/>
                <w:lang w:val="es-ES"/>
              </w:rPr>
            </w:pPr>
            <w:r w:rsidRPr="00F3262F">
              <w:rPr>
                <w:rFonts w:eastAsia="Times New Roman"/>
                <w:sz w:val="20"/>
                <w:szCs w:val="20"/>
                <w:lang w:val="es-ES"/>
              </w:rPr>
              <w:t>2.57-2.93</w:t>
            </w:r>
          </w:p>
        </w:tc>
      </w:tr>
      <w:tr w:rsidR="00007242" w:rsidRPr="00F3262F" w14:paraId="610D7C07" w14:textId="77777777" w:rsidTr="00F7672E">
        <w:trPr>
          <w:jc w:val="center"/>
        </w:trPr>
        <w:tc>
          <w:tcPr>
            <w:tcW w:w="2389" w:type="dxa"/>
            <w:tcBorders>
              <w:top w:val="nil"/>
              <w:bottom w:val="nil"/>
            </w:tcBorders>
            <w:shd w:val="clear" w:color="auto" w:fill="auto"/>
          </w:tcPr>
          <w:p w14:paraId="69E1E2D1"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III</w:t>
            </w:r>
          </w:p>
        </w:tc>
        <w:tc>
          <w:tcPr>
            <w:tcW w:w="2126" w:type="dxa"/>
            <w:tcBorders>
              <w:top w:val="nil"/>
              <w:bottom w:val="nil"/>
            </w:tcBorders>
            <w:shd w:val="clear" w:color="auto" w:fill="auto"/>
          </w:tcPr>
          <w:p w14:paraId="19C763BD" w14:textId="77777777" w:rsidR="00F3262F" w:rsidRPr="00F3262F" w:rsidRDefault="00F3262F" w:rsidP="00F7672E">
            <w:pPr>
              <w:ind w:right="584"/>
              <w:jc w:val="right"/>
              <w:rPr>
                <w:rFonts w:eastAsia="Times New Roman"/>
                <w:sz w:val="20"/>
                <w:szCs w:val="20"/>
                <w:lang w:val="es-ES"/>
              </w:rPr>
            </w:pPr>
            <w:r w:rsidRPr="00F3262F">
              <w:rPr>
                <w:rFonts w:eastAsia="Times New Roman"/>
                <w:sz w:val="20"/>
                <w:szCs w:val="20"/>
                <w:lang w:val="es-ES"/>
              </w:rPr>
              <w:t>2.23-3.00</w:t>
            </w:r>
          </w:p>
        </w:tc>
        <w:tc>
          <w:tcPr>
            <w:tcW w:w="2126" w:type="dxa"/>
            <w:tcBorders>
              <w:top w:val="nil"/>
              <w:bottom w:val="nil"/>
            </w:tcBorders>
            <w:shd w:val="clear" w:color="auto" w:fill="auto"/>
          </w:tcPr>
          <w:p w14:paraId="114A0E26" w14:textId="77777777" w:rsidR="00F3262F" w:rsidRPr="00F7672E" w:rsidRDefault="00F3262F" w:rsidP="00F7672E">
            <w:pPr>
              <w:ind w:right="584"/>
              <w:jc w:val="right"/>
              <w:rPr>
                <w:rFonts w:eastAsia="Times New Roman"/>
                <w:sz w:val="20"/>
                <w:szCs w:val="20"/>
                <w:lang w:val="es-ES"/>
              </w:rPr>
            </w:pPr>
            <w:r w:rsidRPr="00F7672E">
              <w:rPr>
                <w:rFonts w:eastAsia="Times New Roman"/>
                <w:sz w:val="20"/>
                <w:szCs w:val="20"/>
                <w:lang w:val="es-ES"/>
              </w:rPr>
              <w:t>2.53-3.60</w:t>
            </w:r>
          </w:p>
        </w:tc>
      </w:tr>
      <w:tr w:rsidR="00F3262F" w:rsidRPr="00F3262F" w14:paraId="5838562B" w14:textId="77777777" w:rsidTr="00F7672E">
        <w:trPr>
          <w:jc w:val="center"/>
        </w:trPr>
        <w:tc>
          <w:tcPr>
            <w:tcW w:w="2389" w:type="dxa"/>
            <w:tcBorders>
              <w:top w:val="nil"/>
              <w:bottom w:val="nil"/>
            </w:tcBorders>
            <w:shd w:val="clear" w:color="auto" w:fill="auto"/>
          </w:tcPr>
          <w:p w14:paraId="5D5C0989"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IV</w:t>
            </w:r>
          </w:p>
        </w:tc>
        <w:tc>
          <w:tcPr>
            <w:tcW w:w="2126" w:type="dxa"/>
            <w:tcBorders>
              <w:top w:val="nil"/>
              <w:bottom w:val="nil"/>
            </w:tcBorders>
            <w:shd w:val="clear" w:color="auto" w:fill="auto"/>
          </w:tcPr>
          <w:p w14:paraId="2EE6A350" w14:textId="77777777" w:rsidR="00F3262F" w:rsidRPr="00F3262F" w:rsidRDefault="00F3262F" w:rsidP="00F7672E">
            <w:pPr>
              <w:ind w:right="584"/>
              <w:jc w:val="right"/>
              <w:rPr>
                <w:rFonts w:eastAsia="Times New Roman"/>
                <w:sz w:val="20"/>
                <w:szCs w:val="20"/>
                <w:lang w:val="es-ES"/>
              </w:rPr>
            </w:pPr>
            <w:r w:rsidRPr="00F3262F">
              <w:rPr>
                <w:rFonts w:eastAsia="Times New Roman"/>
                <w:sz w:val="20"/>
                <w:szCs w:val="20"/>
                <w:lang w:val="es-ES"/>
              </w:rPr>
              <w:t>3.13-3.25</w:t>
            </w:r>
          </w:p>
        </w:tc>
        <w:tc>
          <w:tcPr>
            <w:tcW w:w="2126" w:type="dxa"/>
            <w:tcBorders>
              <w:top w:val="nil"/>
              <w:bottom w:val="nil"/>
            </w:tcBorders>
            <w:shd w:val="clear" w:color="auto" w:fill="auto"/>
          </w:tcPr>
          <w:p w14:paraId="61140608" w14:textId="77777777" w:rsidR="00F3262F" w:rsidRPr="00F7672E" w:rsidRDefault="00F3262F" w:rsidP="00F7672E">
            <w:pPr>
              <w:ind w:right="584"/>
              <w:jc w:val="right"/>
              <w:rPr>
                <w:rFonts w:eastAsia="Times New Roman"/>
                <w:sz w:val="20"/>
                <w:szCs w:val="20"/>
                <w:lang w:val="es-ES"/>
              </w:rPr>
            </w:pPr>
            <w:r w:rsidRPr="00F7672E">
              <w:rPr>
                <w:rFonts w:eastAsia="Times New Roman"/>
                <w:sz w:val="20"/>
                <w:szCs w:val="20"/>
                <w:lang w:val="es-ES"/>
              </w:rPr>
              <w:t>3.02-3.16</w:t>
            </w:r>
          </w:p>
        </w:tc>
      </w:tr>
      <w:tr w:rsidR="00F3262F" w:rsidRPr="00F3262F" w14:paraId="5F3306AF" w14:textId="77777777" w:rsidTr="00F7672E">
        <w:trPr>
          <w:jc w:val="center"/>
        </w:trPr>
        <w:tc>
          <w:tcPr>
            <w:tcW w:w="2389" w:type="dxa"/>
            <w:tcBorders>
              <w:top w:val="nil"/>
              <w:bottom w:val="nil"/>
            </w:tcBorders>
            <w:shd w:val="clear" w:color="auto" w:fill="auto"/>
          </w:tcPr>
          <w:p w14:paraId="044E93BB" w14:textId="77777777" w:rsidR="00F3262F" w:rsidRPr="00F3262F" w:rsidRDefault="00F3262F" w:rsidP="00F3262F">
            <w:pPr>
              <w:jc w:val="center"/>
              <w:rPr>
                <w:rFonts w:eastAsia="Times New Roman"/>
                <w:b/>
                <w:sz w:val="20"/>
                <w:szCs w:val="20"/>
                <w:lang w:val="es-ES"/>
              </w:rPr>
            </w:pPr>
            <w:r w:rsidRPr="00F3262F">
              <w:rPr>
                <w:rFonts w:eastAsia="Times New Roman"/>
                <w:b/>
                <w:sz w:val="20"/>
                <w:szCs w:val="20"/>
                <w:lang w:val="es-ES"/>
              </w:rPr>
              <w:t>Desempleo</w:t>
            </w:r>
          </w:p>
        </w:tc>
        <w:tc>
          <w:tcPr>
            <w:tcW w:w="2126" w:type="dxa"/>
            <w:tcBorders>
              <w:top w:val="nil"/>
              <w:bottom w:val="nil"/>
            </w:tcBorders>
            <w:shd w:val="clear" w:color="auto" w:fill="auto"/>
          </w:tcPr>
          <w:p w14:paraId="558613D2" w14:textId="2F51D2D4" w:rsidR="00F3262F" w:rsidRPr="00F3262F" w:rsidRDefault="00F3262F" w:rsidP="00F7672E">
            <w:pPr>
              <w:ind w:right="567"/>
              <w:jc w:val="right"/>
              <w:rPr>
                <w:rFonts w:eastAsia="Times New Roman"/>
                <w:b/>
                <w:sz w:val="20"/>
                <w:szCs w:val="20"/>
                <w:lang w:val="es-ES"/>
              </w:rPr>
            </w:pPr>
            <w:r w:rsidRPr="00F3262F">
              <w:rPr>
                <w:rFonts w:eastAsia="Times New Roman"/>
                <w:b/>
                <w:sz w:val="20"/>
                <w:szCs w:val="20"/>
                <w:lang w:val="es-ES"/>
              </w:rPr>
              <w:t>5.2</w:t>
            </w:r>
            <w:r w:rsidRPr="00F3262F">
              <w:rPr>
                <w:rFonts w:eastAsia="Times New Roman"/>
                <w:b/>
                <w:bCs/>
                <w:sz w:val="20"/>
                <w:szCs w:val="20"/>
                <w:u w:val="single"/>
                <w:vertAlign w:val="superscript"/>
              </w:rPr>
              <w:t>b</w:t>
            </w:r>
            <w:r w:rsidRPr="00F3262F">
              <w:rPr>
                <w:rFonts w:eastAsia="Times New Roman"/>
                <w:b/>
                <w:bCs/>
                <w:sz w:val="20"/>
                <w:szCs w:val="20"/>
                <w:vertAlign w:val="superscript"/>
              </w:rPr>
              <w:t>/</w:t>
            </w:r>
          </w:p>
        </w:tc>
        <w:tc>
          <w:tcPr>
            <w:tcW w:w="2126" w:type="dxa"/>
            <w:tcBorders>
              <w:top w:val="nil"/>
              <w:bottom w:val="nil"/>
            </w:tcBorders>
            <w:shd w:val="clear" w:color="auto" w:fill="auto"/>
          </w:tcPr>
          <w:p w14:paraId="13B3438C" w14:textId="2B2D76BC" w:rsidR="00F3262F" w:rsidRPr="00F3262F" w:rsidRDefault="00F3262F" w:rsidP="00F7672E">
            <w:pPr>
              <w:ind w:right="567"/>
              <w:jc w:val="right"/>
              <w:rPr>
                <w:rFonts w:eastAsia="Times New Roman"/>
                <w:b/>
                <w:bCs/>
                <w:sz w:val="20"/>
                <w:szCs w:val="20"/>
              </w:rPr>
            </w:pPr>
            <w:r w:rsidRPr="00F3262F">
              <w:rPr>
                <w:rFonts w:eastAsia="Times New Roman"/>
                <w:b/>
                <w:bCs/>
                <w:sz w:val="20"/>
                <w:szCs w:val="20"/>
              </w:rPr>
              <w:t>5.2</w:t>
            </w:r>
            <w:r w:rsidRPr="00F3262F">
              <w:rPr>
                <w:rFonts w:eastAsia="Times New Roman"/>
                <w:b/>
                <w:bCs/>
                <w:sz w:val="20"/>
                <w:szCs w:val="20"/>
                <w:u w:val="single"/>
                <w:vertAlign w:val="superscript"/>
              </w:rPr>
              <w:t>b</w:t>
            </w:r>
            <w:r w:rsidRPr="00F3262F">
              <w:rPr>
                <w:rFonts w:eastAsia="Times New Roman"/>
                <w:b/>
                <w:bCs/>
                <w:sz w:val="20"/>
                <w:szCs w:val="20"/>
                <w:vertAlign w:val="superscript"/>
              </w:rPr>
              <w:t>/</w:t>
            </w:r>
          </w:p>
        </w:tc>
      </w:tr>
      <w:tr w:rsidR="00007242" w:rsidRPr="00F3262F" w14:paraId="3D30688D" w14:textId="77777777" w:rsidTr="00F7672E">
        <w:trPr>
          <w:jc w:val="center"/>
        </w:trPr>
        <w:tc>
          <w:tcPr>
            <w:tcW w:w="2389" w:type="dxa"/>
            <w:tcBorders>
              <w:top w:val="nil"/>
              <w:bottom w:val="nil"/>
            </w:tcBorders>
            <w:shd w:val="clear" w:color="auto" w:fill="auto"/>
          </w:tcPr>
          <w:p w14:paraId="43944396"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w:t>
            </w:r>
          </w:p>
        </w:tc>
        <w:tc>
          <w:tcPr>
            <w:tcW w:w="2126" w:type="dxa"/>
            <w:tcBorders>
              <w:top w:val="nil"/>
              <w:bottom w:val="nil"/>
            </w:tcBorders>
            <w:shd w:val="clear" w:color="auto" w:fill="auto"/>
          </w:tcPr>
          <w:p w14:paraId="29F1AD6E"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5.2</w:t>
            </w:r>
          </w:p>
        </w:tc>
        <w:tc>
          <w:tcPr>
            <w:tcW w:w="2126" w:type="dxa"/>
            <w:tcBorders>
              <w:top w:val="nil"/>
              <w:bottom w:val="nil"/>
            </w:tcBorders>
            <w:shd w:val="clear" w:color="auto" w:fill="auto"/>
          </w:tcPr>
          <w:p w14:paraId="379729EE"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5.2</w:t>
            </w:r>
          </w:p>
        </w:tc>
      </w:tr>
      <w:tr w:rsidR="00F3262F" w:rsidRPr="00F3262F" w14:paraId="550FD7DF" w14:textId="77777777" w:rsidTr="00F7672E">
        <w:trPr>
          <w:jc w:val="center"/>
        </w:trPr>
        <w:tc>
          <w:tcPr>
            <w:tcW w:w="2389" w:type="dxa"/>
            <w:tcBorders>
              <w:top w:val="nil"/>
              <w:bottom w:val="nil"/>
            </w:tcBorders>
            <w:shd w:val="clear" w:color="auto" w:fill="auto"/>
          </w:tcPr>
          <w:p w14:paraId="0527C1F1"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II</w:t>
            </w:r>
          </w:p>
        </w:tc>
        <w:tc>
          <w:tcPr>
            <w:tcW w:w="2126" w:type="dxa"/>
            <w:tcBorders>
              <w:top w:val="nil"/>
              <w:bottom w:val="nil"/>
            </w:tcBorders>
            <w:shd w:val="clear" w:color="auto" w:fill="auto"/>
          </w:tcPr>
          <w:p w14:paraId="6147F06C"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5.2</w:t>
            </w:r>
          </w:p>
        </w:tc>
        <w:tc>
          <w:tcPr>
            <w:tcW w:w="2126" w:type="dxa"/>
            <w:tcBorders>
              <w:top w:val="nil"/>
              <w:bottom w:val="nil"/>
            </w:tcBorders>
            <w:shd w:val="clear" w:color="auto" w:fill="auto"/>
          </w:tcPr>
          <w:p w14:paraId="1FDF5014"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5.2</w:t>
            </w:r>
          </w:p>
        </w:tc>
      </w:tr>
      <w:tr w:rsidR="00007242" w:rsidRPr="00F3262F" w14:paraId="3D79FBDF" w14:textId="77777777" w:rsidTr="00F7672E">
        <w:trPr>
          <w:jc w:val="center"/>
        </w:trPr>
        <w:tc>
          <w:tcPr>
            <w:tcW w:w="2389" w:type="dxa"/>
            <w:tcBorders>
              <w:top w:val="nil"/>
              <w:bottom w:val="nil"/>
            </w:tcBorders>
            <w:shd w:val="clear" w:color="auto" w:fill="auto"/>
          </w:tcPr>
          <w:p w14:paraId="5BD96039"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III</w:t>
            </w:r>
          </w:p>
        </w:tc>
        <w:tc>
          <w:tcPr>
            <w:tcW w:w="2126" w:type="dxa"/>
            <w:tcBorders>
              <w:top w:val="nil"/>
              <w:bottom w:val="nil"/>
            </w:tcBorders>
            <w:shd w:val="clear" w:color="auto" w:fill="auto"/>
          </w:tcPr>
          <w:p w14:paraId="3D4D5F39"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5.3</w:t>
            </w:r>
          </w:p>
        </w:tc>
        <w:tc>
          <w:tcPr>
            <w:tcW w:w="2126" w:type="dxa"/>
            <w:tcBorders>
              <w:top w:val="nil"/>
              <w:bottom w:val="nil"/>
            </w:tcBorders>
            <w:shd w:val="clear" w:color="auto" w:fill="auto"/>
          </w:tcPr>
          <w:p w14:paraId="5C4AD27D"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5.4</w:t>
            </w:r>
          </w:p>
        </w:tc>
      </w:tr>
      <w:tr w:rsidR="00F3262F" w:rsidRPr="00F3262F" w14:paraId="45A7B10E" w14:textId="77777777" w:rsidTr="00F7672E">
        <w:trPr>
          <w:jc w:val="center"/>
        </w:trPr>
        <w:tc>
          <w:tcPr>
            <w:tcW w:w="2389" w:type="dxa"/>
            <w:tcBorders>
              <w:top w:val="nil"/>
              <w:bottom w:val="nil"/>
            </w:tcBorders>
            <w:shd w:val="clear" w:color="auto" w:fill="auto"/>
          </w:tcPr>
          <w:p w14:paraId="0BC07A86"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IV</w:t>
            </w:r>
          </w:p>
        </w:tc>
        <w:tc>
          <w:tcPr>
            <w:tcW w:w="2126" w:type="dxa"/>
            <w:tcBorders>
              <w:top w:val="nil"/>
              <w:bottom w:val="nil"/>
            </w:tcBorders>
            <w:shd w:val="clear" w:color="auto" w:fill="auto"/>
          </w:tcPr>
          <w:p w14:paraId="7229185B"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5.0</w:t>
            </w:r>
          </w:p>
        </w:tc>
        <w:tc>
          <w:tcPr>
            <w:tcW w:w="2126" w:type="dxa"/>
            <w:tcBorders>
              <w:top w:val="nil"/>
              <w:bottom w:val="nil"/>
            </w:tcBorders>
            <w:shd w:val="clear" w:color="auto" w:fill="auto"/>
          </w:tcPr>
          <w:p w14:paraId="2D98454F" w14:textId="77777777" w:rsidR="00F3262F" w:rsidRPr="00F3262F" w:rsidRDefault="00F3262F" w:rsidP="00F7672E">
            <w:pPr>
              <w:ind w:right="680"/>
              <w:jc w:val="right"/>
              <w:rPr>
                <w:rFonts w:eastAsia="Times New Roman"/>
                <w:sz w:val="20"/>
                <w:szCs w:val="20"/>
                <w:lang w:val="es-ES"/>
              </w:rPr>
            </w:pPr>
            <w:r w:rsidRPr="00F3262F">
              <w:rPr>
                <w:rFonts w:eastAsia="Times New Roman"/>
                <w:sz w:val="20"/>
                <w:szCs w:val="20"/>
                <w:lang w:val="es-ES"/>
              </w:rPr>
              <w:t>4.9</w:t>
            </w:r>
          </w:p>
        </w:tc>
      </w:tr>
      <w:tr w:rsidR="00F3262F" w:rsidRPr="00F3262F" w14:paraId="312EC12F" w14:textId="77777777" w:rsidTr="00F7672E">
        <w:trPr>
          <w:jc w:val="center"/>
        </w:trPr>
        <w:tc>
          <w:tcPr>
            <w:tcW w:w="2389" w:type="dxa"/>
            <w:tcBorders>
              <w:top w:val="nil"/>
              <w:bottom w:val="nil"/>
            </w:tcBorders>
            <w:shd w:val="clear" w:color="auto" w:fill="auto"/>
          </w:tcPr>
          <w:p w14:paraId="4D403941" w14:textId="77777777" w:rsidR="00F3262F" w:rsidRPr="00F3262F" w:rsidRDefault="00F3262F" w:rsidP="00F3262F">
            <w:pPr>
              <w:jc w:val="center"/>
              <w:rPr>
                <w:rFonts w:eastAsia="Times New Roman"/>
                <w:b/>
                <w:sz w:val="20"/>
                <w:szCs w:val="20"/>
                <w:lang w:val="es-ES"/>
              </w:rPr>
            </w:pPr>
            <w:r w:rsidRPr="00F3262F">
              <w:rPr>
                <w:rFonts w:eastAsia="Times New Roman"/>
                <w:b/>
                <w:sz w:val="20"/>
                <w:szCs w:val="20"/>
                <w:lang w:val="es-ES"/>
              </w:rPr>
              <w:t>PIB industrial de Estados Unidos de Norteamérica</w:t>
            </w:r>
          </w:p>
        </w:tc>
        <w:tc>
          <w:tcPr>
            <w:tcW w:w="2126" w:type="dxa"/>
            <w:tcBorders>
              <w:top w:val="nil"/>
              <w:bottom w:val="nil"/>
            </w:tcBorders>
            <w:shd w:val="clear" w:color="auto" w:fill="auto"/>
            <w:vAlign w:val="center"/>
          </w:tcPr>
          <w:p w14:paraId="33E16448" w14:textId="7111D838" w:rsidR="00F3262F" w:rsidRPr="00F3262F" w:rsidRDefault="00F3262F" w:rsidP="00F7672E">
            <w:pPr>
              <w:ind w:right="454"/>
              <w:jc w:val="right"/>
              <w:rPr>
                <w:rFonts w:eastAsia="Times New Roman"/>
                <w:b/>
                <w:sz w:val="20"/>
                <w:szCs w:val="20"/>
                <w:lang w:val="es-ES"/>
              </w:rPr>
            </w:pPr>
            <w:r w:rsidRPr="00F3262F">
              <w:rPr>
                <w:rFonts w:eastAsia="Times New Roman"/>
                <w:b/>
                <w:sz w:val="20"/>
                <w:szCs w:val="20"/>
                <w:lang w:val="es-ES"/>
              </w:rPr>
              <w:t>5.30</w:t>
            </w:r>
            <w:r w:rsidRPr="00F3262F">
              <w:rPr>
                <w:rFonts w:eastAsia="Times New Roman"/>
                <w:b/>
                <w:bCs/>
                <w:sz w:val="20"/>
                <w:szCs w:val="20"/>
                <w:u w:val="single"/>
                <w:vertAlign w:val="superscript"/>
                <w:lang w:val="en-US"/>
              </w:rPr>
              <w:t>a</w:t>
            </w:r>
            <w:r w:rsidRPr="00F3262F">
              <w:rPr>
                <w:rFonts w:eastAsia="Times New Roman"/>
                <w:b/>
                <w:bCs/>
                <w:sz w:val="20"/>
                <w:szCs w:val="20"/>
                <w:vertAlign w:val="superscript"/>
                <w:lang w:val="en-US"/>
              </w:rPr>
              <w:t>/</w:t>
            </w:r>
          </w:p>
        </w:tc>
        <w:tc>
          <w:tcPr>
            <w:tcW w:w="2126" w:type="dxa"/>
            <w:tcBorders>
              <w:top w:val="nil"/>
              <w:bottom w:val="nil"/>
            </w:tcBorders>
            <w:shd w:val="clear" w:color="auto" w:fill="auto"/>
            <w:vAlign w:val="center"/>
          </w:tcPr>
          <w:p w14:paraId="68D0E6AF" w14:textId="52D135DA" w:rsidR="00F3262F" w:rsidRPr="00F3262F" w:rsidRDefault="00F3262F" w:rsidP="00F7672E">
            <w:pPr>
              <w:ind w:right="454"/>
              <w:jc w:val="right"/>
              <w:rPr>
                <w:rFonts w:eastAsia="Times New Roman"/>
                <w:b/>
                <w:sz w:val="20"/>
                <w:szCs w:val="20"/>
                <w:lang w:val="es-ES"/>
              </w:rPr>
            </w:pPr>
            <w:r w:rsidRPr="00F3262F">
              <w:rPr>
                <w:rFonts w:eastAsia="Times New Roman"/>
                <w:b/>
                <w:sz w:val="20"/>
                <w:szCs w:val="20"/>
                <w:lang w:val="es-ES"/>
              </w:rPr>
              <w:t>4.90</w:t>
            </w:r>
            <w:r w:rsidRPr="00F3262F">
              <w:rPr>
                <w:rFonts w:eastAsia="Times New Roman"/>
                <w:b/>
                <w:bCs/>
                <w:sz w:val="20"/>
                <w:szCs w:val="20"/>
                <w:u w:val="single"/>
                <w:vertAlign w:val="superscript"/>
                <w:lang w:val="en-US"/>
              </w:rPr>
              <w:t>a</w:t>
            </w:r>
            <w:r w:rsidRPr="00F3262F">
              <w:rPr>
                <w:rFonts w:eastAsia="Times New Roman"/>
                <w:b/>
                <w:bCs/>
                <w:sz w:val="20"/>
                <w:szCs w:val="20"/>
                <w:vertAlign w:val="superscript"/>
                <w:lang w:val="en-US"/>
              </w:rPr>
              <w:t>/</w:t>
            </w:r>
          </w:p>
        </w:tc>
      </w:tr>
      <w:tr w:rsidR="00007242" w:rsidRPr="00F3262F" w14:paraId="56FC70B1" w14:textId="77777777" w:rsidTr="00F7672E">
        <w:trPr>
          <w:jc w:val="center"/>
        </w:trPr>
        <w:tc>
          <w:tcPr>
            <w:tcW w:w="2389" w:type="dxa"/>
            <w:tcBorders>
              <w:top w:val="nil"/>
              <w:bottom w:val="nil"/>
            </w:tcBorders>
            <w:shd w:val="clear" w:color="auto" w:fill="auto"/>
          </w:tcPr>
          <w:p w14:paraId="69B5FA58"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w:t>
            </w:r>
          </w:p>
        </w:tc>
        <w:tc>
          <w:tcPr>
            <w:tcW w:w="2126" w:type="dxa"/>
            <w:tcBorders>
              <w:top w:val="nil"/>
              <w:bottom w:val="nil"/>
            </w:tcBorders>
            <w:shd w:val="clear" w:color="auto" w:fill="auto"/>
          </w:tcPr>
          <w:p w14:paraId="0551ECBF"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5.48</w:t>
            </w:r>
          </w:p>
        </w:tc>
        <w:tc>
          <w:tcPr>
            <w:tcW w:w="2126" w:type="dxa"/>
            <w:tcBorders>
              <w:top w:val="nil"/>
              <w:bottom w:val="nil"/>
            </w:tcBorders>
            <w:shd w:val="clear" w:color="auto" w:fill="auto"/>
          </w:tcPr>
          <w:p w14:paraId="32F408A5"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4.90</w:t>
            </w:r>
          </w:p>
        </w:tc>
      </w:tr>
      <w:tr w:rsidR="00F3262F" w:rsidRPr="00F3262F" w14:paraId="0246525F" w14:textId="77777777" w:rsidTr="00F7672E">
        <w:trPr>
          <w:jc w:val="center"/>
        </w:trPr>
        <w:tc>
          <w:tcPr>
            <w:tcW w:w="2389" w:type="dxa"/>
            <w:tcBorders>
              <w:top w:val="nil"/>
              <w:bottom w:val="nil"/>
            </w:tcBorders>
            <w:shd w:val="clear" w:color="auto" w:fill="auto"/>
          </w:tcPr>
          <w:p w14:paraId="2D7C0C78"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II</w:t>
            </w:r>
          </w:p>
        </w:tc>
        <w:tc>
          <w:tcPr>
            <w:tcW w:w="2126" w:type="dxa"/>
            <w:tcBorders>
              <w:top w:val="nil"/>
              <w:bottom w:val="nil"/>
            </w:tcBorders>
            <w:shd w:val="clear" w:color="auto" w:fill="auto"/>
          </w:tcPr>
          <w:p w14:paraId="0AF72D17"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5.89</w:t>
            </w:r>
          </w:p>
        </w:tc>
        <w:tc>
          <w:tcPr>
            <w:tcW w:w="2126" w:type="dxa"/>
            <w:tcBorders>
              <w:top w:val="nil"/>
              <w:bottom w:val="nil"/>
            </w:tcBorders>
            <w:shd w:val="clear" w:color="auto" w:fill="auto"/>
          </w:tcPr>
          <w:p w14:paraId="4789887F"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4.89</w:t>
            </w:r>
          </w:p>
        </w:tc>
      </w:tr>
      <w:tr w:rsidR="00007242" w:rsidRPr="00F3262F" w14:paraId="598AFB6C" w14:textId="77777777" w:rsidTr="00F7672E">
        <w:trPr>
          <w:jc w:val="center"/>
        </w:trPr>
        <w:tc>
          <w:tcPr>
            <w:tcW w:w="2389" w:type="dxa"/>
            <w:tcBorders>
              <w:top w:val="nil"/>
              <w:bottom w:val="nil"/>
            </w:tcBorders>
            <w:shd w:val="clear" w:color="auto" w:fill="auto"/>
          </w:tcPr>
          <w:p w14:paraId="5ED2BF02"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III</w:t>
            </w:r>
          </w:p>
        </w:tc>
        <w:tc>
          <w:tcPr>
            <w:tcW w:w="2126" w:type="dxa"/>
            <w:tcBorders>
              <w:top w:val="nil"/>
              <w:bottom w:val="nil"/>
            </w:tcBorders>
            <w:shd w:val="clear" w:color="auto" w:fill="auto"/>
          </w:tcPr>
          <w:p w14:paraId="55F687EB"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5.19</w:t>
            </w:r>
          </w:p>
        </w:tc>
        <w:tc>
          <w:tcPr>
            <w:tcW w:w="2126" w:type="dxa"/>
            <w:tcBorders>
              <w:top w:val="nil"/>
              <w:bottom w:val="nil"/>
            </w:tcBorders>
            <w:shd w:val="clear" w:color="auto" w:fill="auto"/>
          </w:tcPr>
          <w:p w14:paraId="6DC92B31"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4.90</w:t>
            </w:r>
          </w:p>
        </w:tc>
      </w:tr>
      <w:tr w:rsidR="00F3262F" w:rsidRPr="00F3262F" w14:paraId="2A73A0C4" w14:textId="77777777" w:rsidTr="00F7672E">
        <w:trPr>
          <w:jc w:val="center"/>
        </w:trPr>
        <w:tc>
          <w:tcPr>
            <w:tcW w:w="2389" w:type="dxa"/>
            <w:tcBorders>
              <w:top w:val="nil"/>
              <w:bottom w:val="single" w:sz="2" w:space="0" w:color="auto"/>
            </w:tcBorders>
            <w:shd w:val="clear" w:color="auto" w:fill="auto"/>
          </w:tcPr>
          <w:p w14:paraId="43DC4B8E" w14:textId="77777777" w:rsidR="00F3262F" w:rsidRPr="00F3262F" w:rsidRDefault="00F3262F" w:rsidP="00F3262F">
            <w:pPr>
              <w:jc w:val="center"/>
              <w:rPr>
                <w:rFonts w:eastAsia="Times New Roman"/>
                <w:sz w:val="20"/>
                <w:szCs w:val="20"/>
                <w:lang w:val="es-ES"/>
              </w:rPr>
            </w:pPr>
            <w:r w:rsidRPr="00F3262F">
              <w:rPr>
                <w:rFonts w:eastAsia="Times New Roman"/>
                <w:sz w:val="20"/>
                <w:szCs w:val="20"/>
                <w:lang w:val="es-ES"/>
              </w:rPr>
              <w:t>IV</w:t>
            </w:r>
          </w:p>
        </w:tc>
        <w:tc>
          <w:tcPr>
            <w:tcW w:w="2126" w:type="dxa"/>
            <w:tcBorders>
              <w:top w:val="nil"/>
              <w:bottom w:val="single" w:sz="2" w:space="0" w:color="auto"/>
            </w:tcBorders>
            <w:shd w:val="clear" w:color="auto" w:fill="auto"/>
          </w:tcPr>
          <w:p w14:paraId="754B60F2"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4.89</w:t>
            </w:r>
          </w:p>
        </w:tc>
        <w:tc>
          <w:tcPr>
            <w:tcW w:w="2126" w:type="dxa"/>
            <w:tcBorders>
              <w:top w:val="nil"/>
              <w:bottom w:val="single" w:sz="2" w:space="0" w:color="auto"/>
            </w:tcBorders>
            <w:shd w:val="clear" w:color="auto" w:fill="auto"/>
          </w:tcPr>
          <w:p w14:paraId="67D3265D" w14:textId="77777777" w:rsidR="00F3262F" w:rsidRPr="00F3262F" w:rsidRDefault="00F3262F" w:rsidP="00F7672E">
            <w:pPr>
              <w:ind w:right="567"/>
              <w:jc w:val="right"/>
              <w:rPr>
                <w:rFonts w:eastAsia="Times New Roman"/>
                <w:sz w:val="20"/>
                <w:szCs w:val="20"/>
                <w:lang w:val="es-ES"/>
              </w:rPr>
            </w:pPr>
            <w:r w:rsidRPr="00F3262F">
              <w:rPr>
                <w:rFonts w:eastAsia="Times New Roman"/>
                <w:sz w:val="20"/>
                <w:szCs w:val="20"/>
                <w:lang w:val="es-ES"/>
              </w:rPr>
              <w:t>4.89</w:t>
            </w:r>
          </w:p>
        </w:tc>
      </w:tr>
      <w:tr w:rsidR="00F3262F" w:rsidRPr="00F3262F" w14:paraId="375B1B57" w14:textId="77777777" w:rsidTr="00007242">
        <w:trPr>
          <w:jc w:val="center"/>
        </w:trPr>
        <w:tc>
          <w:tcPr>
            <w:tcW w:w="6641" w:type="dxa"/>
            <w:gridSpan w:val="3"/>
            <w:tcBorders>
              <w:left w:val="nil"/>
              <w:bottom w:val="nil"/>
              <w:right w:val="nil"/>
            </w:tcBorders>
            <w:shd w:val="clear" w:color="auto" w:fill="auto"/>
          </w:tcPr>
          <w:p w14:paraId="30EB5705" w14:textId="77777777" w:rsidR="00F3262F" w:rsidRPr="00F3262F" w:rsidRDefault="00F3262F" w:rsidP="00F3262F">
            <w:pPr>
              <w:spacing w:before="120"/>
              <w:jc w:val="both"/>
              <w:rPr>
                <w:rFonts w:eastAsia="Times New Roman"/>
                <w:sz w:val="20"/>
                <w:szCs w:val="20"/>
                <w:lang w:val="es-ES"/>
              </w:rPr>
            </w:pPr>
            <w:r w:rsidRPr="00F3262F">
              <w:rPr>
                <w:rFonts w:eastAsia="Times New Roman"/>
                <w:b/>
                <w:bCs/>
                <w:sz w:val="20"/>
                <w:szCs w:val="20"/>
                <w:u w:val="single"/>
                <w:vertAlign w:val="superscript"/>
                <w:lang w:val="en-US"/>
              </w:rPr>
              <w:t>a</w:t>
            </w:r>
            <w:r w:rsidRPr="00F3262F">
              <w:rPr>
                <w:rFonts w:eastAsia="Times New Roman"/>
                <w:b/>
                <w:bCs/>
                <w:sz w:val="20"/>
                <w:szCs w:val="20"/>
                <w:vertAlign w:val="superscript"/>
                <w:lang w:val="en-US"/>
              </w:rPr>
              <w:t>/</w:t>
            </w:r>
            <w:r w:rsidRPr="00F3262F">
              <w:rPr>
                <w:rFonts w:eastAsia="Times New Roman"/>
                <w:sz w:val="20"/>
                <w:szCs w:val="20"/>
                <w:lang w:val="es-ES"/>
              </w:rPr>
              <w:t xml:space="preserve"> Tasas de crecimiento anuales.</w:t>
            </w:r>
          </w:p>
          <w:p w14:paraId="4F763029" w14:textId="77777777" w:rsidR="00F3262F" w:rsidRPr="00F3262F" w:rsidRDefault="00F3262F" w:rsidP="00F3262F">
            <w:pPr>
              <w:jc w:val="both"/>
              <w:rPr>
                <w:rFonts w:eastAsia="Times New Roman"/>
                <w:sz w:val="20"/>
                <w:szCs w:val="20"/>
                <w:lang w:val="es-ES"/>
              </w:rPr>
            </w:pPr>
            <w:r w:rsidRPr="00F3262F">
              <w:rPr>
                <w:rFonts w:eastAsia="Times New Roman"/>
                <w:b/>
                <w:bCs/>
                <w:sz w:val="20"/>
                <w:szCs w:val="20"/>
                <w:u w:val="single"/>
                <w:vertAlign w:val="superscript"/>
              </w:rPr>
              <w:t>b</w:t>
            </w:r>
            <w:r w:rsidRPr="00F3262F">
              <w:rPr>
                <w:rFonts w:eastAsia="Times New Roman"/>
                <w:b/>
                <w:bCs/>
                <w:sz w:val="20"/>
                <w:szCs w:val="20"/>
                <w:vertAlign w:val="superscript"/>
              </w:rPr>
              <w:t>/</w:t>
            </w:r>
            <w:r w:rsidRPr="00F3262F">
              <w:rPr>
                <w:rFonts w:eastAsia="Times New Roman"/>
                <w:sz w:val="20"/>
                <w:szCs w:val="20"/>
                <w:lang w:val="es-ES"/>
              </w:rPr>
              <w:t xml:space="preserve"> Promedio anual.</w:t>
            </w:r>
          </w:p>
          <w:p w14:paraId="04226A77" w14:textId="77777777" w:rsidR="00F3262F" w:rsidRPr="00F3262F" w:rsidRDefault="00F3262F" w:rsidP="00F3262F">
            <w:pPr>
              <w:rPr>
                <w:rFonts w:eastAsia="Times New Roman"/>
                <w:sz w:val="20"/>
                <w:szCs w:val="20"/>
                <w:lang w:val="es-ES"/>
              </w:rPr>
            </w:pPr>
            <w:r w:rsidRPr="00F3262F">
              <w:rPr>
                <w:rFonts w:eastAsia="Times New Roman"/>
                <w:sz w:val="20"/>
                <w:szCs w:val="20"/>
                <w:lang w:val="es-ES"/>
              </w:rPr>
              <w:t xml:space="preserve">FUENTE: CEMPE, estimaciones realizadas el </w:t>
            </w:r>
            <w:r w:rsidRPr="00F3262F">
              <w:rPr>
                <w:rFonts w:eastAsia="Times New Roman"/>
                <w:sz w:val="20"/>
                <w:szCs w:val="20"/>
              </w:rPr>
              <w:t>21 de noviembre de 2014</w:t>
            </w:r>
            <w:r w:rsidRPr="00F3262F">
              <w:rPr>
                <w:rFonts w:eastAsia="Times New Roman"/>
                <w:sz w:val="20"/>
                <w:szCs w:val="20"/>
                <w:lang w:val="es-ES"/>
              </w:rPr>
              <w:t>.</w:t>
            </w:r>
          </w:p>
        </w:tc>
      </w:tr>
    </w:tbl>
    <w:p w14:paraId="3D34B6B7" w14:textId="77777777" w:rsidR="00F3262F" w:rsidRPr="00F3262F" w:rsidRDefault="00F3262F" w:rsidP="00F3262F">
      <w:pPr>
        <w:rPr>
          <w:rFonts w:eastAsia="Times New Roman"/>
          <w:sz w:val="20"/>
          <w:szCs w:val="20"/>
          <w:lang w:val="es-ES"/>
        </w:rPr>
      </w:pPr>
    </w:p>
    <w:p w14:paraId="2A5269B7" w14:textId="77777777" w:rsidR="00F3262F" w:rsidRPr="00F3262F" w:rsidRDefault="00F3262F" w:rsidP="00F3262F">
      <w:pPr>
        <w:rPr>
          <w:rFonts w:eastAsia="Times New Roman"/>
          <w:sz w:val="20"/>
          <w:szCs w:val="20"/>
          <w:lang w:val="es-ES"/>
        </w:rPr>
      </w:pPr>
    </w:p>
    <w:p w14:paraId="36AE6626" w14:textId="77777777" w:rsidR="00F3262F" w:rsidRPr="00F3262F" w:rsidRDefault="00F3262F" w:rsidP="00F3262F">
      <w:pPr>
        <w:rPr>
          <w:rFonts w:eastAsia="Times New Roman"/>
          <w:sz w:val="20"/>
          <w:szCs w:val="20"/>
          <w:lang w:val="es-ES"/>
        </w:rPr>
      </w:pPr>
      <w:r w:rsidRPr="00F3262F">
        <w:rPr>
          <w:rFonts w:eastAsia="Times New Roman"/>
          <w:b/>
          <w:sz w:val="20"/>
          <w:szCs w:val="20"/>
          <w:lang w:val="es-ES"/>
        </w:rPr>
        <w:t>Fuente de información</w:t>
      </w:r>
      <w:r w:rsidRPr="00F3262F">
        <w:rPr>
          <w:rFonts w:eastAsia="Times New Roman"/>
          <w:sz w:val="20"/>
          <w:szCs w:val="20"/>
          <w:lang w:val="es-ES"/>
        </w:rPr>
        <w:t>:</w:t>
      </w:r>
    </w:p>
    <w:p w14:paraId="5B91A362" w14:textId="77777777" w:rsidR="00F3262F" w:rsidRPr="00A303E8" w:rsidRDefault="003C2C71" w:rsidP="00F3262F">
      <w:pPr>
        <w:rPr>
          <w:rFonts w:eastAsia="Times New Roman"/>
          <w:color w:val="0000FF"/>
          <w:sz w:val="20"/>
          <w:szCs w:val="20"/>
          <w:u w:val="single"/>
          <w:lang w:val="es-ES"/>
        </w:rPr>
      </w:pPr>
      <w:hyperlink r:id="rId17" w:history="1">
        <w:r w:rsidR="00F3262F" w:rsidRPr="00A303E8">
          <w:rPr>
            <w:rFonts w:eastAsia="Times New Roman"/>
            <w:color w:val="0000FF"/>
            <w:sz w:val="20"/>
            <w:szCs w:val="20"/>
            <w:u w:val="single"/>
            <w:lang w:val="es-ES"/>
          </w:rPr>
          <w:t>http://www.economia.unam.mx/cempe/PDFs/Reuniones/15-1_mexico-productividad_y_mercados_laborales.pdf</w:t>
        </w:r>
      </w:hyperlink>
      <w:r w:rsidR="00F3262F" w:rsidRPr="00A303E8">
        <w:rPr>
          <w:rFonts w:eastAsia="Times New Roman"/>
          <w:color w:val="0000FF"/>
          <w:sz w:val="20"/>
          <w:szCs w:val="20"/>
          <w:u w:val="single"/>
          <w:lang w:val="es-ES"/>
        </w:rPr>
        <w:t xml:space="preserve"> </w:t>
      </w:r>
    </w:p>
    <w:p w14:paraId="7D35CFCC" w14:textId="77777777" w:rsidR="00F3262F" w:rsidRPr="00A303E8" w:rsidRDefault="00F3262F" w:rsidP="00F3262F">
      <w:pPr>
        <w:rPr>
          <w:rFonts w:eastAsia="Times New Roman"/>
          <w:sz w:val="20"/>
          <w:szCs w:val="20"/>
          <w:lang w:val="es-ES"/>
        </w:rPr>
      </w:pPr>
      <w:r w:rsidRPr="00A303E8">
        <w:rPr>
          <w:rFonts w:eastAsia="Times New Roman"/>
          <w:sz w:val="20"/>
          <w:szCs w:val="20"/>
          <w:lang w:val="es-ES"/>
        </w:rPr>
        <w:t>Para tener acceso a información relacionada visite:</w:t>
      </w:r>
    </w:p>
    <w:p w14:paraId="1471C637" w14:textId="77777777" w:rsidR="00F3262F" w:rsidRPr="00A303E8" w:rsidRDefault="003C2C71" w:rsidP="00F3262F">
      <w:pPr>
        <w:rPr>
          <w:rFonts w:eastAsia="Times New Roman"/>
          <w:color w:val="0000FF"/>
          <w:sz w:val="20"/>
          <w:szCs w:val="20"/>
          <w:u w:val="single"/>
          <w:lang w:val="es-ES"/>
        </w:rPr>
      </w:pPr>
      <w:hyperlink r:id="rId18" w:history="1">
        <w:r w:rsidR="00F3262F" w:rsidRPr="00A303E8">
          <w:rPr>
            <w:rFonts w:eastAsia="Times New Roman"/>
            <w:color w:val="0000FF"/>
            <w:sz w:val="20"/>
            <w:szCs w:val="20"/>
            <w:u w:val="single"/>
            <w:lang w:val="es-ES"/>
          </w:rPr>
          <w:t>http://www.economia.unam.mx/cempe/</w:t>
        </w:r>
      </w:hyperlink>
    </w:p>
    <w:p w14:paraId="6BCDDE41" w14:textId="77777777" w:rsidR="00F3262F" w:rsidRPr="00A303E8" w:rsidRDefault="003C2C71" w:rsidP="00F3262F">
      <w:pPr>
        <w:rPr>
          <w:rFonts w:eastAsia="Times New Roman"/>
          <w:color w:val="0000FF"/>
          <w:sz w:val="20"/>
          <w:szCs w:val="20"/>
          <w:lang w:val="es-ES"/>
        </w:rPr>
      </w:pPr>
      <w:hyperlink r:id="rId19" w:history="1">
        <w:r w:rsidR="00F3262F" w:rsidRPr="00A303E8">
          <w:rPr>
            <w:rFonts w:eastAsia="Times New Roman"/>
            <w:color w:val="0000FF"/>
            <w:sz w:val="20"/>
            <w:szCs w:val="20"/>
            <w:u w:val="single"/>
            <w:lang w:val="es-ES"/>
          </w:rPr>
          <w:t>http://www.economia.unam.mx/cempe/PDFs/Eventos/cartel_primera_reunion_2015.pdf</w:t>
        </w:r>
      </w:hyperlink>
      <w:r w:rsidR="00F3262F" w:rsidRPr="00A303E8">
        <w:rPr>
          <w:rFonts w:eastAsia="Times New Roman"/>
          <w:color w:val="0000FF"/>
          <w:sz w:val="20"/>
          <w:szCs w:val="20"/>
          <w:lang w:val="es-ES"/>
        </w:rPr>
        <w:t xml:space="preserve"> </w:t>
      </w:r>
    </w:p>
    <w:p w14:paraId="53D45F3E" w14:textId="77777777" w:rsidR="00F3262F" w:rsidRPr="00A303E8" w:rsidRDefault="003C2C71" w:rsidP="00F3262F">
      <w:pPr>
        <w:rPr>
          <w:rFonts w:eastAsia="Times New Roman"/>
          <w:color w:val="0000FF"/>
          <w:sz w:val="20"/>
          <w:szCs w:val="20"/>
          <w:lang w:val="es-ES"/>
        </w:rPr>
      </w:pPr>
      <w:hyperlink r:id="rId20" w:history="1">
        <w:r w:rsidR="00F3262F" w:rsidRPr="00A303E8">
          <w:rPr>
            <w:rFonts w:eastAsia="Times New Roman"/>
            <w:color w:val="0000FF"/>
            <w:sz w:val="20"/>
            <w:szCs w:val="20"/>
            <w:u w:val="single"/>
            <w:lang w:val="es-ES"/>
          </w:rPr>
          <w:t>http://www.economia.unam.mx/cempe/pronosticos.html</w:t>
        </w:r>
      </w:hyperlink>
      <w:r w:rsidR="00F3262F" w:rsidRPr="00A303E8">
        <w:rPr>
          <w:rFonts w:eastAsia="Times New Roman"/>
          <w:color w:val="0000FF"/>
          <w:sz w:val="20"/>
          <w:szCs w:val="20"/>
          <w:lang w:val="es-ES"/>
        </w:rPr>
        <w:t xml:space="preserve"> </w:t>
      </w:r>
    </w:p>
    <w:p w14:paraId="1556C2A4" w14:textId="77777777" w:rsidR="00F3262F" w:rsidRPr="00F3262F" w:rsidRDefault="003C2C71" w:rsidP="00A303E8">
      <w:pPr>
        <w:spacing w:after="720"/>
        <w:rPr>
          <w:rFonts w:eastAsia="Times New Roman"/>
          <w:sz w:val="20"/>
          <w:szCs w:val="20"/>
          <w:lang w:val="es-ES"/>
        </w:rPr>
      </w:pPr>
      <w:hyperlink r:id="rId21" w:history="1">
        <w:r w:rsidR="00F3262F" w:rsidRPr="00A303E8">
          <w:rPr>
            <w:rFonts w:eastAsia="Times New Roman"/>
            <w:color w:val="0000FF"/>
            <w:sz w:val="20"/>
            <w:szCs w:val="20"/>
            <w:u w:val="single"/>
            <w:lang w:val="es-ES"/>
          </w:rPr>
          <w:t>http://www.economia.unam.mx/cempe/PDFs/pronostico_inercial_anual/cuadro%20anual%20%2009012015-2016.pdf</w:t>
        </w:r>
      </w:hyperlink>
      <w:r w:rsidR="00F3262F" w:rsidRPr="00F3262F">
        <w:rPr>
          <w:rFonts w:eastAsia="Times New Roman"/>
          <w:sz w:val="20"/>
          <w:szCs w:val="20"/>
          <w:lang w:val="es-ES"/>
        </w:rPr>
        <w:t xml:space="preserve"> </w:t>
      </w:r>
    </w:p>
    <w:p w14:paraId="02197844" w14:textId="77777777" w:rsidR="009B1CF2" w:rsidRPr="009B1CF2" w:rsidRDefault="009B1CF2" w:rsidP="009B1CF2">
      <w:pPr>
        <w:ind w:right="-159"/>
        <w:jc w:val="both"/>
        <w:rPr>
          <w:rFonts w:eastAsia="Calibri"/>
          <w:b/>
          <w:sz w:val="26"/>
          <w:szCs w:val="26"/>
          <w:lang w:eastAsia="en-US"/>
        </w:rPr>
      </w:pPr>
      <w:r w:rsidRPr="009B1CF2">
        <w:rPr>
          <w:rFonts w:eastAsia="Calibri"/>
          <w:b/>
          <w:sz w:val="26"/>
          <w:szCs w:val="26"/>
          <w:lang w:eastAsia="en-US"/>
        </w:rPr>
        <w:t xml:space="preserve">Perspectivas de la Economía Mundial: Crecimiento </w:t>
      </w:r>
    </w:p>
    <w:p w14:paraId="26277EE1"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dispar; factores a corto y largo plazo (FMI)</w:t>
      </w:r>
    </w:p>
    <w:p w14:paraId="543B3DBA"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El 15 de abril de 2014, el Fondo Monetario Internacional (FMI) dio a conocer las “Perspectivas de la Economía Mundial: Crecimiento dispar; factores a corto y largo plazo”, del cual se presentan a continuación los Capítulos 1 y 2.</w:t>
      </w:r>
    </w:p>
    <w:p w14:paraId="6FBC2AEC" w14:textId="77777777" w:rsidR="008D5EEA" w:rsidRDefault="008D5EEA" w:rsidP="009B1CF2">
      <w:pPr>
        <w:spacing w:after="360" w:line="360" w:lineRule="auto"/>
        <w:ind w:right="-159"/>
        <w:jc w:val="both"/>
        <w:rPr>
          <w:rFonts w:eastAsia="Calibri"/>
          <w:sz w:val="26"/>
          <w:szCs w:val="26"/>
          <w:lang w:eastAsia="en-US"/>
        </w:rPr>
      </w:pPr>
    </w:p>
    <w:p w14:paraId="20C78FE7" w14:textId="77777777" w:rsidR="008D5EEA" w:rsidRPr="009B1CF2" w:rsidRDefault="008D5EEA" w:rsidP="009B1CF2">
      <w:pPr>
        <w:spacing w:after="360" w:line="360" w:lineRule="auto"/>
        <w:ind w:right="-159"/>
        <w:jc w:val="both"/>
        <w:rPr>
          <w:rFonts w:eastAsia="Calibri"/>
          <w:sz w:val="26"/>
          <w:szCs w:val="26"/>
          <w:lang w:eastAsia="en-US"/>
        </w:rPr>
      </w:pPr>
    </w:p>
    <w:p w14:paraId="7FBBFE0E"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lastRenderedPageBreak/>
        <w:t>Introducción</w:t>
      </w:r>
    </w:p>
    <w:p w14:paraId="6A0E581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 que me impresiona al momento de escribir esta introducción es la complejidad de las fuerzas que están moldeando la evolución macroeconómica del mundo entero y la consiguiente dificultad para extraer una conclusión global. Permítanme explicar. </w:t>
      </w:r>
    </w:p>
    <w:p w14:paraId="4356780C"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Dos fuerzas profundas están dando forma a las perspectivas a mediano plazo: </w:t>
      </w:r>
    </w:p>
    <w:p w14:paraId="67482A5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legados de la crisis financiera y de la crisis de la zona del euro aún son visibles en muchos países. En distinta medida, la debilidad de los bancos y los elevados niveles de deuda —de los gobiernos, las empresas o los hogares— siguen afectando negativamente el gasto y el crecimiento. La baja tasa de crecimiento, a su vez, enlentece el proceso de desapalancamiento. </w:t>
      </w:r>
    </w:p>
    <w:p w14:paraId="568D3E7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crecimiento del producto potencial ha disminuido. Tal como se señala en el     Capítulo 3, el crecimiento potencial de las economías avanzadas ya estaba disminuyendo antes de la crisis. También ha influido el envejecimiento, sumado a la desaceleración de la productividad total. La crisis empeoró la situación, ya que la fuerte contracción de la inversión enfrió aún más el crecimiento del capital. A medida que dejamos atrás la crisis, y tal como se sugiere en el Capítulo 4, el crecimiento del capital se recuperará, pero el envejecimiento y el débil aumento de la productividad continuarán actuando como lastres. Los efectos son aún más pronunciados en los mercados emergentes, donde el envejecimiento, la menor acumulación de capital y el menor aumento de la productividad se están combinando para reducir significativamente el crecimiento potencial en el futuro. El deterioro de las perspectivas conduce, a su vez, a recortes del gasto y a una disminución del crecimiento hoy. </w:t>
      </w:r>
    </w:p>
    <w:p w14:paraId="03A26CE5"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A estas dos fuerzas se suma el hecho de que la escena actual está dominada por dos factores con profundas implicaciones distributivas: el abaratamiento del petróleo y los fuertes movimientos de los tipos de cambio. </w:t>
      </w:r>
    </w:p>
    <w:p w14:paraId="093844D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El drástico descenso de los precios del petróleo fue sorpresivo. Las explicaciones que se han barajado son numerosas; las más convincentes se centran en el aumento continuo de la oferta de fuentes no convencionales, combinado con un cambio de estrategia por parte de la Organización de Países Exportadores de Petróleo (OPEP). La mayoría de estas explicaciones llevan a pensar que el descenso probablemente sea duradero. </w:t>
      </w:r>
    </w:p>
    <w:p w14:paraId="4EB6AA8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retroceso de los precios ha provocado una amplia reasignación del ingreso real desde los países exportadores de petróleo hacia los importadores. Los primeros datos apuntan a que en los países importadores de petróleo —desde Estados Unidos de Norteamérica hasta la zona del euro, China e India—, el aumento del ingreso real está estimulando el gasto. Los países exportadores de petróleo han recortado el gasto, pero en menor medida: muchos cuentan con reservas financieras sustanciales y pueden permitirse reducir el gasto con lentitud. </w:t>
      </w:r>
    </w:p>
    <w:p w14:paraId="50B9BC0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movimientos del tipo de cambio han sido inusitadamente pronunciados. Entre las principales monedas, el dólar ha experimentado una fuerte apreciación, y el euro y el yen, una fuerte depreciación. Estos movimientos reflejan sin duda profundas diferencias en materia de política monetaria: la previsión es que Estados Unidos de Norteamérica abandone el límite inferior cero de las tasas de interés este año, pero ese no es el caso ni en la zona del euro ni en Japón. Dado que estas diferencias están claras desde hace tiempo, lo sorprendente es cuánto tardaron en reaccionar los tipos de cambio. En la medida en que tanto la zona del euro como Japón corren el riesgo de sufrir una recaída, las depreciaciones del euro y del yen serán beneficiosas. En cierta medida, Estados Unidos de Norteamérica tiene margen de maniobra para neutralizar los efectos adversos de la apreciación del dólar. Por ende, este ajuste de los tipos de cambio debe considerarse, en términos netos, como positivo para la economía mundial. </w:t>
      </w:r>
    </w:p>
    <w:p w14:paraId="006EA24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Ahora miremos estas cuatro fuerzas en conjunto. Algunos países están aquejados por los legados de la crisis; otros, no. Algunos países están aquejados por la disminución </w:t>
      </w:r>
      <w:r w:rsidRPr="009B1CF2">
        <w:rPr>
          <w:rFonts w:eastAsia="Calibri"/>
          <w:sz w:val="26"/>
          <w:szCs w:val="26"/>
          <w:lang w:eastAsia="en-US"/>
        </w:rPr>
        <w:lastRenderedPageBreak/>
        <w:t>del crecimiento potencial; otros, no. Algunos países se benefician de la disminución de los precios del petróleo; otros se ven perjudicados. Las monedas de algunos países se mueven a la par del dólar; otras, a la par del euro y del yen. Añadamos a esto un par de sucesos idiosincrásicos, como los problemas económicos de Rusia o la debilidad de Brasil. No es sorprendente que las evaluaciones tengan que ser granulares. En términos netos, nuestro pronóstico de base es que las economías avanzadas tendrán un mejor desempeño este año que el año pasado, que los mercados emergentes y los países de bajo ingreso se desacelerarán en comparación con el año pasado, y que, en consecuencia, el crecimiento mundial será aproximadamente igual al del año pasado. Pero esas cifras agregadas no reflejan la diversidad de las situaciones individuales.</w:t>
      </w:r>
    </w:p>
    <w:p w14:paraId="2F5503F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Pasando de los pronósticos a los riesgos, ¿vemos un recrudecimiento? En mi opinión, los riesgos macroeconómicos se han disipado ligeramente. El principal riesgo del año pasado —a saber, una recesión en la zona del euro— ha disminuido, al igual que el riesgo de deflación. Pero los riesgos financieros y geopolíticos se han acentuado. Los fuertes movimientos de los precios relativos, ya se trate de tipos de cambio o del precio del petróleo, producen ganadores y perdedores. Las empresas de energía y los países productores de petróleo se enfrentan a condiciones más difíciles y a mayores riesgos. Lo mismo ocurre con las empresas fuera de Estados Unidos de Norteamérica y los gobiernos que se han endeudado en dólares. Si los fuertes movimientos de los tipos de cambio continúan, podrían exacerbar los riesgos financieros y poner nuevamente en el tapete el tema de una guerra de divisas. No se puede descartar una crisis en Grecia, lo que seguramente desestabilizaría los mercados financieros. La turbulencia continúa en Ucrania y Oriente Medio, pero por ahora sin implicaciones económicas sistémicas. </w:t>
      </w:r>
    </w:p>
    <w:p w14:paraId="6B860A13" w14:textId="4672E23F"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Por último, dada la diversidad de situaciones, es obvio que el asesoramiento en materia de políticas debe adaptarse a cada país. Con todo, algunos principios generales conservan relevancia. Las medidas orientadas a sustentar el crecimiento tanto a corto como a más largo plazo siguen revistiendo una importancia primordial. Ahora que la </w:t>
      </w:r>
      <w:r w:rsidRPr="009B1CF2">
        <w:rPr>
          <w:rFonts w:eastAsia="Calibri"/>
          <w:sz w:val="26"/>
          <w:szCs w:val="26"/>
          <w:lang w:eastAsia="en-US"/>
        </w:rPr>
        <w:lastRenderedPageBreak/>
        <w:t>expansión cuantitativa se encuentra en marcha en la zona del euro, la política monetaria de las economías avanzadas ha cumplido en gran medida su misión. En algunos países hay m</w:t>
      </w:r>
      <w:r w:rsidR="00A303E8">
        <w:rPr>
          <w:rFonts w:eastAsia="Calibri"/>
          <w:sz w:val="26"/>
          <w:szCs w:val="26"/>
          <w:lang w:eastAsia="en-US"/>
        </w:rPr>
        <w:t>argen de maniobra fiscal, pero é</w:t>
      </w:r>
      <w:r w:rsidRPr="009B1CF2">
        <w:rPr>
          <w:rFonts w:eastAsia="Calibri"/>
          <w:sz w:val="26"/>
          <w:szCs w:val="26"/>
          <w:lang w:eastAsia="en-US"/>
        </w:rPr>
        <w:t xml:space="preserve">ste es limitado; el abaratamiento del petróleo ha creado una oportunidad para recortar los subsidios energéticos y reemplazarlos con programas mejor focalizados. Los argumentos a favor de incrementar la inversión en infraestructura que presentamos en la edición anterior de Perspectivas de la Economía Mundial siguen siendo válidos. Y si bien las reformas estructurales no pueden obrar milagros, pueden hacer subir el nivel del producto y promover el crecimiento durante un tiempo. Los detalles varían según el país. En vista de los costos políticos a corto plazo que entrañan muchas de estas reformas, el reto será seleccionarlas con cuidado. </w:t>
      </w:r>
    </w:p>
    <w:p w14:paraId="103D5D19"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Resumen Ejecutivo</w:t>
      </w:r>
    </w:p>
    <w:p w14:paraId="1D295064" w14:textId="00340648"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El crecimiento mundial sigue siendo moderado, con perspectivas desiguales entre los principales países y regiones. Según las proyecciones, alcanzará 3</w:t>
      </w:r>
      <w:r w:rsidR="00A303E8">
        <w:rPr>
          <w:rFonts w:eastAsia="Calibri"/>
          <w:sz w:val="26"/>
          <w:szCs w:val="26"/>
          <w:lang w:eastAsia="en-US"/>
        </w:rPr>
        <w:t>.</w:t>
      </w:r>
      <w:r w:rsidRPr="009B1CF2">
        <w:rPr>
          <w:rFonts w:eastAsia="Calibri"/>
          <w:sz w:val="26"/>
          <w:szCs w:val="26"/>
          <w:lang w:eastAsia="en-US"/>
        </w:rPr>
        <w:t>5% en 2015, cifra que coincide con los pronósticos de la Actualización de enero de 2015 de Perspectivas de la Economía Mundial (informe WEO, por sus siglas en inglés). En comparación con el año pasado, las perspectivas de las economías avanzadas están mejorando; entre tanto, el crecimiento en las economías de mercados emergentes y en desarrollo sería más bajo, principalmente como consecuencia del deterioro de las perspectivas de algunas economías de mercados emergentes grandes y de los países exportadores de petróleo.</w:t>
      </w:r>
    </w:p>
    <w:p w14:paraId="54FDCAAB"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Una serie de fuerzas complejas están moldeando las perspectivas; entre ellas cabe mencionar las tendencias a mediano y largo plazo, los </w:t>
      </w:r>
      <w:r w:rsidRPr="009B1CF2">
        <w:rPr>
          <w:rFonts w:eastAsia="Calibri"/>
          <w:i/>
          <w:sz w:val="26"/>
          <w:szCs w:val="26"/>
          <w:lang w:eastAsia="en-US"/>
        </w:rPr>
        <w:t>shocks</w:t>
      </w:r>
      <w:r w:rsidRPr="009B1CF2">
        <w:rPr>
          <w:rFonts w:eastAsia="Calibri"/>
          <w:sz w:val="26"/>
          <w:szCs w:val="26"/>
          <w:lang w:eastAsia="en-US"/>
        </w:rPr>
        <w:t xml:space="preserve"> mundiales y muchos factores específicos de cada país o región: </w:t>
      </w:r>
    </w:p>
    <w:p w14:paraId="2754E0C2" w14:textId="77777777" w:rsidR="009B1CF2" w:rsidRPr="009B1CF2" w:rsidRDefault="009B1CF2" w:rsidP="003518F4">
      <w:pPr>
        <w:numPr>
          <w:ilvl w:val="0"/>
          <w:numId w:val="14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los mercados emergentes, los datos de crecimiento sorpresivamente negativos de los últimos cuatro años han empañado las expectativas en torno a las perspectivas de crecimiento a mediano plazo. </w:t>
      </w:r>
    </w:p>
    <w:p w14:paraId="7E3F35C2" w14:textId="77777777" w:rsidR="009B1CF2" w:rsidRPr="009B1CF2" w:rsidRDefault="009B1CF2" w:rsidP="003518F4">
      <w:pPr>
        <w:numPr>
          <w:ilvl w:val="0"/>
          <w:numId w:val="14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En las economías avanzadas, las perspectivas en torno al producto potencial se ven ensombrecidas por el envejecimiento de la población, la debilidad de la inversión y el deslucido crecimiento de la productividad total de los factores. Las expectativas de disminución del crecimiento potencial debilitan la inversión de hoy. </w:t>
      </w:r>
    </w:p>
    <w:p w14:paraId="59FE5806" w14:textId="77777777" w:rsidR="009B1CF2" w:rsidRPr="009B1CF2" w:rsidRDefault="009B1CF2" w:rsidP="003518F4">
      <w:pPr>
        <w:numPr>
          <w:ilvl w:val="0"/>
          <w:numId w:val="14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Varias economías avanzadas y algunos mercados emergentes todavía están lidiando con los legados de la crisis, incluidas las continuas brechas del producto negativas y los elevados niveles de deuda pública o privada. </w:t>
      </w:r>
    </w:p>
    <w:p w14:paraId="0D83C476" w14:textId="77777777" w:rsidR="009B1CF2" w:rsidRPr="009B1CF2" w:rsidRDefault="009B1CF2" w:rsidP="003518F4">
      <w:pPr>
        <w:numPr>
          <w:ilvl w:val="0"/>
          <w:numId w:val="14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 inflación y las expectativas inflacionarias en la mayoría de las economías avanzadas se encuentran por debajo de las metas y en algunos casos siguen disminuyendo, una inquietud particular para los países con una deuda elevada y un crecimiento bajo —legados de la crisis— y poco o ningún margen para distender la política monetaria. </w:t>
      </w:r>
    </w:p>
    <w:p w14:paraId="13149406" w14:textId="77777777" w:rsidR="009B1CF2" w:rsidRPr="009B1CF2" w:rsidRDefault="009B1CF2" w:rsidP="003518F4">
      <w:pPr>
        <w:numPr>
          <w:ilvl w:val="0"/>
          <w:numId w:val="14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Los rendimientos de los bonos a largo plazo han vuelto a bajar y en muchas economías avanzadas han tocado mínimos históricos. Esta disminución brinda respaldo a la recuperación, en la medida en que refleja la caída de las tasas de interés reales, y no una disminución de las expectativas de inflación. </w:t>
      </w:r>
    </w:p>
    <w:p w14:paraId="177F63A7" w14:textId="77777777" w:rsidR="009B1CF2" w:rsidRPr="009B1CF2" w:rsidRDefault="009B1CF2" w:rsidP="003518F4">
      <w:pPr>
        <w:numPr>
          <w:ilvl w:val="0"/>
          <w:numId w:val="14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 caída de los precios del petróleo —que refleja en considerable medida factores vinculados a la oferta— está estimulando el crecimiento a nivel mundial y en muchos importadores de petróleo, pero frenará la actividad de los países exportadores de petróleo. </w:t>
      </w:r>
    </w:p>
    <w:p w14:paraId="0D1EBD5C" w14:textId="77777777" w:rsidR="009B1CF2" w:rsidRPr="009B1CF2" w:rsidRDefault="009B1CF2" w:rsidP="003518F4">
      <w:pPr>
        <w:numPr>
          <w:ilvl w:val="0"/>
          <w:numId w:val="14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Los tipos de cambio entre las principales monedas han fluctuado sustancialmente en los últimos meses, como consecuencia de las variaciones de las tasas de crecimiento de los países, las políticas monetarias y el abaratamiento del petróleo. Al redistribuir la demanda hacia países con condiciones </w:t>
      </w:r>
      <w:r w:rsidRPr="009B1CF2">
        <w:rPr>
          <w:rFonts w:eastAsia="Calibri"/>
          <w:sz w:val="26"/>
          <w:szCs w:val="26"/>
          <w:lang w:eastAsia="en-US"/>
        </w:rPr>
        <w:lastRenderedPageBreak/>
        <w:t xml:space="preserve">macroeconómicas menos favorables y menor margen de acción en términos de la política económica, estos cambios podrían ser beneficiosos para las perspectivas mundiales. Se mitigaría así el riesgo de que las tensiones recrudezcan y provoquen efectos de contagio en estas economías. </w:t>
      </w:r>
    </w:p>
    <w:p w14:paraId="6F53350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efecto neto de estas fuerzas puede constatarse en el aumento del crecimiento en las economías avanzadas proyectado para este año, en comparación con 2014, y en la desaceleración del crecimiento proyectado en los mercados emergentes. No obstante, los mercados emergentes y las economías en desarrollo siguen generando más de 70% del crecimiento mundial en 2015. </w:t>
      </w:r>
    </w:p>
    <w:p w14:paraId="6626601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Este panorama de crecimiento en los mercados emergentes refleja principalmente el deterioro de las perspectivas en algunas de las grandes economías de mercados emergentes, así como la retracción de la actividad de algunos grandes exportadores de petróleo, atribuible al descenso drástico de los precios del petróleo. Se prevé que las autoridades chinas hagan más énfasis ahora en mitigar las vulnerabilidades generadas por la rápida expansión del crédito y la inversión ocurrida recientemente. Por ende, el pronóstico supone una mayor desaceleración de la inversión, particularmente en bienes raíces. Las perspectivas para Brasil se ven afectadas por la sequía, el endurecimiento de las políticas macroeconómicas y la falta de vigor del sector privado, en parte debido a las secuelas de la investigación de Petrobras. Las perspectivas de crecimiento de Rusia reflejan el impacto económico de la fuerte caída de los precios del petróleo y el recrudecimiento de las tensiones geopolíticas. En otros mercados emergentes exportadores de materias primas, el impacto de la caída de los precios del petróleo y de otras materias primas en los términos de intercambio y los ingresos reales perjudicaría, según los pronósticos, el crecimiento a mediano plazo. Se prevé que el crecimiento en los mercados emergentes repunte en 2016, impulsando un aumento del crecimiento mundial a 3.8%, más que nada gracias a cierta disminución de las presiones a la baja </w:t>
      </w:r>
      <w:r w:rsidRPr="009B1CF2">
        <w:rPr>
          <w:rFonts w:eastAsia="Calibri"/>
          <w:sz w:val="26"/>
          <w:szCs w:val="26"/>
          <w:lang w:eastAsia="en-US"/>
        </w:rPr>
        <w:lastRenderedPageBreak/>
        <w:t xml:space="preserve">sobre la actividad de países y regiones con débil crecimiento en 2015, como Rusia, Brasil y el resto de América Latina. </w:t>
      </w:r>
    </w:p>
    <w:p w14:paraId="6941AA5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muchas economías de mercados emergentes y en desarrollo, la política macroeconómica sigue teniendo un margen limitado para respaldar el crecimiento. Sin embargo, la caída de los precios del petróleo mitigará la presión inflacionaria y las vulnerabilidades externas en los países que lo importan, y en las economías con subsidios petroleros podría abrir cierto espacio fiscal o, en los casos en que resulte necesario, crear margen para reforzar los saldos fiscales. Los países exportadores de petróleo tienen que absorber un fuerte </w:t>
      </w:r>
      <w:r w:rsidRPr="009B1CF2">
        <w:rPr>
          <w:rFonts w:eastAsia="Calibri"/>
          <w:i/>
          <w:sz w:val="26"/>
          <w:szCs w:val="26"/>
          <w:lang w:eastAsia="en-US"/>
        </w:rPr>
        <w:t>shock</w:t>
      </w:r>
      <w:r w:rsidRPr="009B1CF2">
        <w:rPr>
          <w:rFonts w:eastAsia="Calibri"/>
          <w:sz w:val="26"/>
          <w:szCs w:val="26"/>
          <w:lang w:eastAsia="en-US"/>
        </w:rPr>
        <w:t xml:space="preserve"> de términos de intercambio y enfrentan mayores vulnerabilidades fiscales y externas. Aquellos que disponen de espacio fiscal pueden permitir que el gasto público se adapte poco a poco a la disminución del ingreso petrolero. En los países exportadores de petróleo que gozan de flexibilidad cambiaria, la depreciación facilitaría el ajuste. Las economías de mercados emergentes y en desarrollo también tienen un importante programa de reformas estructurales, que incluye medidas encaminadas a respaldar la acumulación de capital (por ejemplo, eliminando los estrangulamientos de infraestructura, retirando los límites al comercio y la inversión, y mejorando el clima empresarial) e incrementar la participación en la fuerza laboral y la productividad (mediante reformas de la educación y de los mercados de trabajo y de productos). Además, la caída de los precios del petróleo ofrece una oportunidad para reformar los subsidios energéticos y también la tributación de la energía (incluso en las economías avanzadas). </w:t>
      </w:r>
    </w:p>
    <w:p w14:paraId="1731F20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términos generales, las economías avanzadas se están beneficiando del abaratamiento del petróleo. Según las proyecciones, el crecimiento de Estados Unidos de Norteamérica superaría 3% en 2015–16; la demanda interna estaría apuntalada por el retroceso de los precios del petróleo, la moderación del ajuste fiscal y el respaldo que continúa brindando la orientación acomodaticia de la política monetaria, a pesar del alza gradual proyectada de las tasas de interés y del freno que significa para la </w:t>
      </w:r>
      <w:r w:rsidRPr="009B1CF2">
        <w:rPr>
          <w:rFonts w:eastAsia="Calibri"/>
          <w:sz w:val="26"/>
          <w:szCs w:val="26"/>
          <w:lang w:eastAsia="en-US"/>
        </w:rPr>
        <w:lastRenderedPageBreak/>
        <w:t xml:space="preserve">exportación neta la reciente apreciación del dólar. Tras la debilidad del segundo y tercer trimestres de 2014, el crecimiento en la zona del euro está dando indicios de recuperación gracias a la caída de los precios del petróleo, las bajas tasas de interés y el debilitamiento del euro. Y tras un decepcionante 2014, el crecimiento en Japón también repuntaría, sustentado por la debilidad del yen y la caída de los precios del petróleo. </w:t>
      </w:r>
    </w:p>
    <w:p w14:paraId="721FBA0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un entorno de crecimiento moderado y desigual, aumentar el producto efectivo y potencial sigue siendo una prioridad para las políticas de las economías avanzadas. En muchas de estas economías, las cuestiones más apremiantes en términos de política macroeconómica son las continuas y sustanciales brechas del producto, así como la dinámica desinflacionaria, que, como se señala en otras ediciones del informe WEO, plantea riesgos para la actividad en los países cuya política monetaria está limitada por el límite inferior cero. La política monetaria acomodaticia —articulada entre otras cosas a través de medios no convencionales— sigue siendo esencial para impedir que suban las tasas de interés reales, y la decisión reciente del Banco Central Europeo (BCE) de hacer extensivo el programa de compra de activos a los activos soberanos es positiva. Existen razones sólidas para incrementar la inversión en infraestructura en algunas economías avanzadas, y también para poner en marcha reformas económicas estructurales a nivel más general. Las prioridades varían, pero muchas de estas economías se beneficiarían de reformas que permitieran afianzar la participación en la fuerza laboral y el empleo tendencial, dado el envejecimiento de la población, así como medidas encaminadas a abordar el sobreendeudamiento privado. </w:t>
      </w:r>
    </w:p>
    <w:p w14:paraId="462FBE09"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distribución de los riesgos para el crecimiento mundial está más equilibrada que cuando se publicó la edición de octubre de 2014 del informe WEO, pero aun así se inclina a la baja. Un significativo riesgo al alza es que los precios del petróleo estimulen en mayor medida la demanda. Sin embargo, los riesgos a la baja más sobresalientes que enumeró la edición de octubre de 2014 del informe WEO no han desaparecido. Las </w:t>
      </w:r>
      <w:r w:rsidRPr="009B1CF2">
        <w:rPr>
          <w:rFonts w:eastAsia="Calibri"/>
          <w:sz w:val="26"/>
          <w:szCs w:val="26"/>
          <w:lang w:eastAsia="en-US"/>
        </w:rPr>
        <w:lastRenderedPageBreak/>
        <w:t>tensiones geopolíticas podrían intensificarse y golpear a las grandes economías. Los desplazamientos desestabilizantes de los precios de los activos en los mercados financieros continúan siendo motivo de inquietud. Las primas por plazos y otras primas por riesgo de los mercados de bonos aún son bajas en términos históricos, y se prevé que el entorno caracterizado por esta configuración de precios de los activos —políticas monetarias muy acomodaticias en las grandes economías avanzadas— comience a cambiar en 2015. La evolución de las expectativas en torno a estos elementos y la recomposición inesperada de las carteras a nivel más amplio son factores que podrían desencadenar turbulencias. Si el dólar vuelve a apreciarse con fuerza, se podrían desatar tensiones financieras en otros mercados, particularmente los emergentes. Los riesgos de estancamiento y baja inflación aún están presentes en las economías avanzadas, pese a la reciente mejora de los pronósticos de crecimiento a corto plazo en algunas de estas economías.</w:t>
      </w:r>
    </w:p>
    <w:p w14:paraId="309A3AE8"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Capítulo 1</w:t>
      </w:r>
    </w:p>
    <w:p w14:paraId="27D2B5BE"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Evolución reciente y perspectivas</w:t>
      </w:r>
    </w:p>
    <w:p w14:paraId="5992FD3C"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2014, el crecimiento mundial fue moderado, de 3.4%, debido al repunte del crecimiento de las economías avanzadas respecto del año anterior y de la desaceleración de las economías de mercados emergentes y en desarrollo; aun así, estas últimas generaron tres cuartas partes del crecimiento mundial en 2014. </w:t>
      </w:r>
    </w:p>
    <w:p w14:paraId="7709BE0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fuerzas complejas que influyeron en la actividad mundial en 2014 siguen moldeando las perspectivas. Entre ellas, cabe mencionar las tendencias a mediano y largo plazo, como el envejecimiento de la población y el declive del crecimiento potencial; los </w:t>
      </w:r>
      <w:r w:rsidRPr="009B1CF2">
        <w:rPr>
          <w:rFonts w:eastAsia="Calibri"/>
          <w:i/>
          <w:sz w:val="26"/>
          <w:szCs w:val="26"/>
          <w:lang w:eastAsia="en-US"/>
        </w:rPr>
        <w:t>shocks</w:t>
      </w:r>
      <w:r w:rsidRPr="009B1CF2">
        <w:rPr>
          <w:rFonts w:eastAsia="Calibri"/>
          <w:sz w:val="26"/>
          <w:szCs w:val="26"/>
          <w:lang w:eastAsia="en-US"/>
        </w:rPr>
        <w:t xml:space="preserve"> mundiales, como la caída de los precios del petróleo; y muchos factores específicos de países o regiones, como los legados de la crisis y las fluctuaciones de los tipos de cambio causadas por modificaciones pasadas o previstas de las políticas monetarias. En términos globales, se proyecta que el crecimiento </w:t>
      </w:r>
      <w:r w:rsidRPr="009B1CF2">
        <w:rPr>
          <w:rFonts w:eastAsia="Calibri"/>
          <w:sz w:val="26"/>
          <w:szCs w:val="26"/>
          <w:lang w:eastAsia="en-US"/>
        </w:rPr>
        <w:lastRenderedPageBreak/>
        <w:t xml:space="preserve">mundial alcanzará 3.5 y 3.8% en 2015 y 2016, respectivamente, tal como lo pronosticó la Actualización de enero de 2015 de Perspectivas de la Economía Mundial (informe WEO, por sus siglas en inglés). Se prevé que en las economías avanzadas el crecimiento se afiance en 2015 en comparación con 2014, pero que en los mercados emergentes se debilite, como consecuencia de la moderación de las perspectivas de algunas economías de mercados emergentes grandes y de los países exportadores de petróleo. </w:t>
      </w:r>
    </w:p>
    <w:p w14:paraId="4BCB636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perspectivas a mediano plazo son ahora menos optimistas para las economías avanzadas y especialmente para los mercados emergentes, cuya actividad viene enfriándose desde 2010. Al mismo tiempo, la distribución de los riesgos para el crecimiento mundial es más equilibrada que en la edición de octubre de 2014 del informe WEO, pero aun así se inclina a la baja. Un importante riesgo al alza es que los precios del petróleo infundan un estímulo mayor a la demanda; por otra parte, los riesgos a la baja más destacados que enumeró la edición de octubre de 2014 del informe WEO siguen siendo relevantes, e incluyen los vinculados a las tensiones geopolíticas, desplazamientos de los precios de los activos que producen trastornos en los mercados financieros y, en las economías avanzadas, estancamiento y baja inflación. </w:t>
      </w:r>
    </w:p>
    <w:p w14:paraId="54B1A9C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este contexto, el aumento del producto efectivo y potencial sigue siendo prioritario para la política general. En muchas economías avanzadas, la orientación acomodaticia de la política monetaria continúa siendo esencial para apuntalar la actividad económica y elevar las expectativas inflacionarias. Existen también razones poderosas para incrementar la inversión en infraestructura en algunas economías y para llevar a cabo reformas estructurales que permitan subsanar los legados de la crisis y estimular el producto potencial. En muchas economías de mercados emergentes, la política macroeconómica sigue teniendo un margen limitado para respaldar el crecimiento. Pero en algunas, la caída de los precios del petróleo contribuirá a reducir la inflación y las vulnerabilidades externas, gracias a lo cual los bancos centrales se verán menos forzados a subir las tasas de política monetaria. Las reformas estructurales destinadas a </w:t>
      </w:r>
      <w:r w:rsidRPr="009B1CF2">
        <w:rPr>
          <w:rFonts w:eastAsia="Calibri"/>
          <w:sz w:val="26"/>
          <w:szCs w:val="26"/>
          <w:lang w:eastAsia="en-US"/>
        </w:rPr>
        <w:lastRenderedPageBreak/>
        <w:t>incrementar la productividad, articuladas en distintas modalidades según el país, son vitales para sustentar el producto potencial.</w:t>
      </w:r>
    </w:p>
    <w:p w14:paraId="3ECA3F8F"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Últimas novedades y perspectivas </w:t>
      </w:r>
    </w:p>
    <w:p w14:paraId="6FF520BF"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La economía mundial en los últimos meses </w:t>
      </w:r>
    </w:p>
    <w:p w14:paraId="29F62A6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Cuatro hechos clave han moldeado las perspectivas mundiales desde la publicación de la edición de octubre de 2014 del informe WEO.</w:t>
      </w:r>
    </w:p>
    <w:p w14:paraId="63C4DA20"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Crecimiento mundial desigual, inflación más lenta en 2014 </w:t>
      </w:r>
    </w:p>
    <w:p w14:paraId="11F0E66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Si bien las estadísticas preliminares indican que durante el segundo semestre de 2014 el crecimiento mundial coincidió en términos generales con las proyecciones de octubre de 2014 (gráfica </w:t>
      </w:r>
      <w:r w:rsidRPr="009B1CF2">
        <w:rPr>
          <w:rFonts w:eastAsia="Calibri"/>
          <w:i/>
          <w:sz w:val="26"/>
          <w:szCs w:val="26"/>
          <w:lang w:eastAsia="en-US"/>
        </w:rPr>
        <w:t>Indicadores de la actividad mundial</w:t>
      </w:r>
      <w:r w:rsidRPr="009B1CF2">
        <w:rPr>
          <w:rFonts w:eastAsia="Calibri"/>
          <w:sz w:val="26"/>
          <w:szCs w:val="26"/>
          <w:lang w:eastAsia="en-US"/>
        </w:rPr>
        <w:t xml:space="preserve">), las cifras globales ocultaban datos de crecimiento muy sorpresivos que apuntan a una mayor divergencia entre las grandes economías —destacándose por su inesperado vigor la recuperación de Estados Unidos de Norteamérica—, pero también el hecho de que la evolución de la economía de muchas otras partes del mundo defraudaba las expectativas. Específicamente: </w:t>
      </w:r>
    </w:p>
    <w:p w14:paraId="61C2C82A" w14:textId="77777777" w:rsidR="009B1CF2" w:rsidRPr="009B1CF2" w:rsidRDefault="009B1CF2" w:rsidP="003518F4">
      <w:pPr>
        <w:numPr>
          <w:ilvl w:val="0"/>
          <w:numId w:val="14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El crecimiento en Estados Unidos de Norteamérica superó las expectativas y promedió alrededor de 4% anualizado en los tres últimos trimestres de 2014. El consumo, principal motor del crecimiento, se benefició de la creación de empleos y el aumento del ingreso, que han crecido en forma sostenida; la caída de los precios del petróleo, y el afianzamiento de la confianza de los consumidores. La tasa de desempleo bajó a 5.5% en febrero, más de un punto porcentual por debajo del nivel registrado hace un año. </w:t>
      </w:r>
    </w:p>
    <w:p w14:paraId="0885E48E" w14:textId="77777777" w:rsidR="009B1CF2" w:rsidRPr="009B1CF2" w:rsidRDefault="009B1CF2" w:rsidP="003518F4">
      <w:pPr>
        <w:numPr>
          <w:ilvl w:val="0"/>
          <w:numId w:val="14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En Japón, tras la debilidad del segundo semestre, el crecimiento rozó cero en 2014, como consecuencia de la disminución del consumo y el colapso de la inversión residencial. </w:t>
      </w:r>
    </w:p>
    <w:p w14:paraId="139DC147" w14:textId="77777777" w:rsidR="009B1CF2" w:rsidRPr="009B1CF2" w:rsidRDefault="009B1CF2" w:rsidP="003518F4">
      <w:pPr>
        <w:numPr>
          <w:ilvl w:val="0"/>
          <w:numId w:val="14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la zona del euro, la actividad fue más débil de lo esperado a mediados de 2014, pero dio muestras de recuperarse en el cuarto trimestre y a comienzos de 2015; el consumo recibió un espaldarazo gracias a la caída de los precios del petróleo y al aumento de las exportaciones netas.  </w:t>
      </w:r>
    </w:p>
    <w:p w14:paraId="260C8248" w14:textId="77777777" w:rsidR="009B1CF2" w:rsidRPr="009B1CF2" w:rsidRDefault="009B1CF2" w:rsidP="003518F4">
      <w:pPr>
        <w:numPr>
          <w:ilvl w:val="0"/>
          <w:numId w:val="14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Aunque la actividad coincidió aproximadamente con el pronóstico, en China el crecimiento de la inversión disminuyó en el segundo semestre de 2014 debido a la corrección del sector inmobiliario, y los indicadores de gran frecuencia apuntan a que la desaceleración continuará. </w:t>
      </w:r>
    </w:p>
    <w:p w14:paraId="48EED48E" w14:textId="77777777" w:rsidR="009B1CF2" w:rsidRPr="009B1CF2" w:rsidRDefault="009B1CF2" w:rsidP="003518F4">
      <w:pPr>
        <w:numPr>
          <w:ilvl w:val="0"/>
          <w:numId w:val="14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América Latina, el crecimiento fue leve en el segundo semestre de 2014, como resultado de la debilidad de la actividad en Brasil, un crecimiento inferior al esperado en México y la pérdida de ímpetu en otras economías de la región.  </w:t>
      </w:r>
    </w:p>
    <w:p w14:paraId="0D5D219B" w14:textId="77777777" w:rsidR="009B1CF2" w:rsidRDefault="009B1CF2" w:rsidP="003518F4">
      <w:pPr>
        <w:numPr>
          <w:ilvl w:val="0"/>
          <w:numId w:val="146"/>
        </w:numPr>
        <w:spacing w:after="240" w:line="360" w:lineRule="auto"/>
        <w:ind w:left="714" w:right="-159" w:hanging="357"/>
        <w:jc w:val="both"/>
        <w:rPr>
          <w:rFonts w:eastAsia="Calibri"/>
          <w:sz w:val="26"/>
          <w:szCs w:val="26"/>
          <w:lang w:eastAsia="en-US"/>
        </w:rPr>
      </w:pPr>
      <w:r w:rsidRPr="009B1CF2">
        <w:rPr>
          <w:rFonts w:eastAsia="Calibri"/>
          <w:sz w:val="26"/>
          <w:szCs w:val="26"/>
          <w:lang w:eastAsia="en-US"/>
        </w:rPr>
        <w:t xml:space="preserve">En Rusia, la economía evolucionó con un poco más de vigor que lo previsto en el segundo semestre de 2014, pero el aumento de las tensiones geopolíticas, la merma de la confianza y las repercusiones de la caída de los precios del petróleo apuntan a un empeoramiento más profundo de las perspectivas para la Comunidad de Estados Independientes (CEI) en su conjunto a comienzos de año. </w:t>
      </w:r>
    </w:p>
    <w:p w14:paraId="22E8679D" w14:textId="77777777" w:rsidR="008D5EEA" w:rsidRDefault="008D5EEA" w:rsidP="008D5EEA">
      <w:pPr>
        <w:spacing w:after="240" w:line="360" w:lineRule="auto"/>
        <w:ind w:right="-159"/>
        <w:jc w:val="both"/>
        <w:rPr>
          <w:rFonts w:eastAsia="Calibri"/>
          <w:sz w:val="26"/>
          <w:szCs w:val="26"/>
          <w:lang w:eastAsia="en-US"/>
        </w:rPr>
      </w:pPr>
    </w:p>
    <w:p w14:paraId="48DBAB94" w14:textId="77777777" w:rsidR="008D5EEA" w:rsidRDefault="008D5EEA" w:rsidP="008D5EEA">
      <w:pPr>
        <w:spacing w:after="240" w:line="360" w:lineRule="auto"/>
        <w:ind w:right="-159"/>
        <w:jc w:val="both"/>
        <w:rPr>
          <w:rFonts w:eastAsia="Calibri"/>
          <w:sz w:val="26"/>
          <w:szCs w:val="26"/>
          <w:lang w:eastAsia="en-US"/>
        </w:rPr>
      </w:pPr>
    </w:p>
    <w:p w14:paraId="2E5239CA" w14:textId="77777777" w:rsidR="008D5EEA" w:rsidRDefault="008D5EEA" w:rsidP="008D5EEA">
      <w:pPr>
        <w:spacing w:after="240" w:line="360" w:lineRule="auto"/>
        <w:ind w:right="-159"/>
        <w:jc w:val="both"/>
        <w:rPr>
          <w:rFonts w:eastAsia="Calibri"/>
          <w:sz w:val="26"/>
          <w:szCs w:val="26"/>
          <w:lang w:eastAsia="en-US"/>
        </w:rPr>
      </w:pPr>
    </w:p>
    <w:p w14:paraId="237FB8E0" w14:textId="77777777" w:rsidR="008D5EEA" w:rsidRDefault="008D5EEA" w:rsidP="008D5EEA">
      <w:pPr>
        <w:spacing w:after="240" w:line="360" w:lineRule="auto"/>
        <w:ind w:right="-159"/>
        <w:jc w:val="both"/>
        <w:rPr>
          <w:rFonts w:eastAsia="Calibri"/>
          <w:sz w:val="26"/>
          <w:szCs w:val="26"/>
          <w:lang w:eastAsia="en-US"/>
        </w:rPr>
      </w:pPr>
    </w:p>
    <w:p w14:paraId="75E42F94" w14:textId="77777777" w:rsidR="008D5EEA" w:rsidRPr="009B1CF2" w:rsidRDefault="008D5EEA" w:rsidP="008D5EEA">
      <w:pPr>
        <w:spacing w:after="240" w:line="360" w:lineRule="auto"/>
        <w:ind w:right="-159"/>
        <w:jc w:val="both"/>
        <w:rPr>
          <w:rFonts w:eastAsia="Calibri"/>
          <w:sz w:val="26"/>
          <w:szCs w:val="26"/>
          <w:lang w:eastAsia="en-US"/>
        </w:rPr>
      </w:pP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540"/>
        <w:gridCol w:w="540"/>
        <w:gridCol w:w="540"/>
        <w:gridCol w:w="540"/>
        <w:gridCol w:w="540"/>
        <w:gridCol w:w="540"/>
        <w:gridCol w:w="588"/>
        <w:gridCol w:w="717"/>
        <w:gridCol w:w="642"/>
      </w:tblGrid>
      <w:tr w:rsidR="009B1CF2" w:rsidRPr="009B1CF2" w14:paraId="2ADF2464" w14:textId="77777777" w:rsidTr="008B3DA6">
        <w:trPr>
          <w:jc w:val="center"/>
        </w:trPr>
        <w:tc>
          <w:tcPr>
            <w:tcW w:w="8715" w:type="dxa"/>
            <w:gridSpan w:val="10"/>
            <w:tcBorders>
              <w:top w:val="nil"/>
              <w:left w:val="nil"/>
              <w:right w:val="nil"/>
            </w:tcBorders>
          </w:tcPr>
          <w:p w14:paraId="48DEFEDD"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PANORAMA DE LAS PROYECCIONES DE PERSPECTIVAS DE LA ECONOMÍA MUNDIAL</w:t>
            </w:r>
          </w:p>
          <w:p w14:paraId="2DE45009"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-Variación porcentual anual, salvo indicación en contrario-</w:t>
            </w:r>
          </w:p>
        </w:tc>
      </w:tr>
      <w:tr w:rsidR="009B1CF2" w:rsidRPr="0098560F" w14:paraId="68816F44" w14:textId="77777777" w:rsidTr="008B3DA6">
        <w:trPr>
          <w:jc w:val="center"/>
        </w:trPr>
        <w:tc>
          <w:tcPr>
            <w:tcW w:w="3528" w:type="dxa"/>
            <w:vMerge w:val="restart"/>
          </w:tcPr>
          <w:p w14:paraId="4D83CFDE" w14:textId="77777777" w:rsidR="009B1CF2" w:rsidRPr="0098560F" w:rsidRDefault="009B1CF2" w:rsidP="009B1CF2">
            <w:pPr>
              <w:rPr>
                <w:rFonts w:eastAsia="Times New Roman"/>
                <w:sz w:val="14"/>
                <w:szCs w:val="14"/>
                <w:lang w:val="es-ES"/>
              </w:rPr>
            </w:pPr>
          </w:p>
        </w:tc>
        <w:tc>
          <w:tcPr>
            <w:tcW w:w="3240" w:type="dxa"/>
            <w:gridSpan w:val="6"/>
            <w:vAlign w:val="center"/>
          </w:tcPr>
          <w:p w14:paraId="54CA52AF" w14:textId="77777777" w:rsidR="009B1CF2" w:rsidRPr="0098560F" w:rsidRDefault="009B1CF2" w:rsidP="009B1CF2">
            <w:pPr>
              <w:jc w:val="center"/>
              <w:rPr>
                <w:rFonts w:eastAsia="Times New Roman"/>
                <w:b/>
                <w:sz w:val="14"/>
                <w:szCs w:val="14"/>
                <w:lang w:val="es-ES"/>
              </w:rPr>
            </w:pPr>
            <w:r w:rsidRPr="0098560F">
              <w:rPr>
                <w:rFonts w:eastAsia="Times New Roman"/>
                <w:b/>
                <w:sz w:val="14"/>
                <w:szCs w:val="14"/>
                <w:lang w:val="es-ES"/>
              </w:rPr>
              <w:t>Interanual</w:t>
            </w:r>
          </w:p>
        </w:tc>
        <w:tc>
          <w:tcPr>
            <w:tcW w:w="1947" w:type="dxa"/>
            <w:gridSpan w:val="3"/>
            <w:vAlign w:val="center"/>
          </w:tcPr>
          <w:p w14:paraId="70D2F803" w14:textId="77777777" w:rsidR="009B1CF2" w:rsidRPr="0098560F" w:rsidRDefault="009B1CF2" w:rsidP="009B1CF2">
            <w:pPr>
              <w:jc w:val="center"/>
              <w:rPr>
                <w:rFonts w:eastAsia="Times New Roman"/>
                <w:b/>
                <w:sz w:val="14"/>
                <w:szCs w:val="14"/>
                <w:lang w:val="es-ES"/>
              </w:rPr>
            </w:pPr>
            <w:r w:rsidRPr="0098560F">
              <w:rPr>
                <w:rFonts w:eastAsia="Times New Roman"/>
                <w:b/>
                <w:sz w:val="14"/>
                <w:szCs w:val="14"/>
                <w:lang w:val="es-ES"/>
              </w:rPr>
              <w:t>T4 a T4</w:t>
            </w:r>
          </w:p>
        </w:tc>
      </w:tr>
      <w:tr w:rsidR="009B1CF2" w:rsidRPr="009B1CF2" w14:paraId="18BC0505" w14:textId="77777777" w:rsidTr="008B3DA6">
        <w:trPr>
          <w:jc w:val="center"/>
        </w:trPr>
        <w:tc>
          <w:tcPr>
            <w:tcW w:w="3528" w:type="dxa"/>
            <w:vMerge/>
          </w:tcPr>
          <w:p w14:paraId="48967E5C" w14:textId="77777777" w:rsidR="009B1CF2" w:rsidRPr="0098560F" w:rsidRDefault="009B1CF2" w:rsidP="009B1CF2">
            <w:pPr>
              <w:rPr>
                <w:rFonts w:eastAsia="Times New Roman"/>
                <w:sz w:val="12"/>
                <w:szCs w:val="12"/>
                <w:lang w:val="es-ES"/>
              </w:rPr>
            </w:pPr>
          </w:p>
        </w:tc>
        <w:tc>
          <w:tcPr>
            <w:tcW w:w="540" w:type="dxa"/>
            <w:vMerge w:val="restart"/>
            <w:vAlign w:val="center"/>
          </w:tcPr>
          <w:p w14:paraId="507A7686"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2013</w:t>
            </w:r>
          </w:p>
        </w:tc>
        <w:tc>
          <w:tcPr>
            <w:tcW w:w="540" w:type="dxa"/>
            <w:vMerge w:val="restart"/>
            <w:vAlign w:val="center"/>
          </w:tcPr>
          <w:p w14:paraId="0521CA20"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2014</w:t>
            </w:r>
          </w:p>
        </w:tc>
        <w:tc>
          <w:tcPr>
            <w:tcW w:w="1080" w:type="dxa"/>
            <w:gridSpan w:val="2"/>
            <w:vAlign w:val="center"/>
          </w:tcPr>
          <w:p w14:paraId="7C53E020"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Proyecciones</w:t>
            </w:r>
          </w:p>
        </w:tc>
        <w:tc>
          <w:tcPr>
            <w:tcW w:w="1080" w:type="dxa"/>
            <w:gridSpan w:val="2"/>
            <w:vAlign w:val="center"/>
          </w:tcPr>
          <w:p w14:paraId="38CA15CD"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Diferencia con las proyecciones de la actualización de enero de 2015 del informe WEO</w:t>
            </w:r>
            <w:r w:rsidRPr="0098560F">
              <w:rPr>
                <w:rFonts w:eastAsia="Times New Roman"/>
                <w:b/>
                <w:sz w:val="12"/>
                <w:szCs w:val="12"/>
                <w:u w:val="single"/>
                <w:vertAlign w:val="superscript"/>
                <w:lang w:val="es-ES"/>
              </w:rPr>
              <w:t>1</w:t>
            </w:r>
            <w:r w:rsidRPr="0098560F">
              <w:rPr>
                <w:rFonts w:eastAsia="Times New Roman"/>
                <w:b/>
                <w:sz w:val="12"/>
                <w:szCs w:val="12"/>
                <w:vertAlign w:val="superscript"/>
                <w:lang w:val="es-ES"/>
              </w:rPr>
              <w:t>/</w:t>
            </w:r>
          </w:p>
        </w:tc>
        <w:tc>
          <w:tcPr>
            <w:tcW w:w="588" w:type="dxa"/>
            <w:vAlign w:val="center"/>
          </w:tcPr>
          <w:p w14:paraId="3BB31BC9" w14:textId="77777777" w:rsidR="009B1CF2" w:rsidRPr="0098560F" w:rsidRDefault="009B1CF2" w:rsidP="009B1CF2">
            <w:pPr>
              <w:jc w:val="center"/>
              <w:rPr>
                <w:rFonts w:eastAsia="Times New Roman"/>
                <w:b/>
                <w:sz w:val="12"/>
                <w:szCs w:val="12"/>
                <w:lang w:val="es-ES"/>
              </w:rPr>
            </w:pPr>
          </w:p>
        </w:tc>
        <w:tc>
          <w:tcPr>
            <w:tcW w:w="1359" w:type="dxa"/>
            <w:gridSpan w:val="2"/>
            <w:vAlign w:val="center"/>
          </w:tcPr>
          <w:p w14:paraId="613DBE57"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Proyecciones</w:t>
            </w:r>
          </w:p>
        </w:tc>
      </w:tr>
      <w:tr w:rsidR="009B1CF2" w:rsidRPr="009B1CF2" w14:paraId="65EA92F4" w14:textId="77777777" w:rsidTr="008B3DA6">
        <w:trPr>
          <w:jc w:val="center"/>
        </w:trPr>
        <w:tc>
          <w:tcPr>
            <w:tcW w:w="3528" w:type="dxa"/>
            <w:vMerge/>
          </w:tcPr>
          <w:p w14:paraId="00195C80" w14:textId="77777777" w:rsidR="009B1CF2" w:rsidRPr="0098560F" w:rsidRDefault="009B1CF2" w:rsidP="009B1CF2">
            <w:pPr>
              <w:rPr>
                <w:rFonts w:eastAsia="Times New Roman"/>
                <w:sz w:val="12"/>
                <w:szCs w:val="12"/>
                <w:lang w:val="es-ES"/>
              </w:rPr>
            </w:pPr>
          </w:p>
        </w:tc>
        <w:tc>
          <w:tcPr>
            <w:tcW w:w="540" w:type="dxa"/>
            <w:vMerge/>
            <w:vAlign w:val="center"/>
          </w:tcPr>
          <w:p w14:paraId="67FE3925" w14:textId="77777777" w:rsidR="009B1CF2" w:rsidRPr="0098560F" w:rsidRDefault="009B1CF2" w:rsidP="009B1CF2">
            <w:pPr>
              <w:jc w:val="center"/>
              <w:rPr>
                <w:rFonts w:eastAsia="Times New Roman"/>
                <w:sz w:val="12"/>
                <w:szCs w:val="12"/>
                <w:lang w:val="es-ES"/>
              </w:rPr>
            </w:pPr>
          </w:p>
        </w:tc>
        <w:tc>
          <w:tcPr>
            <w:tcW w:w="540" w:type="dxa"/>
            <w:vMerge/>
            <w:vAlign w:val="center"/>
          </w:tcPr>
          <w:p w14:paraId="1EE32573" w14:textId="77777777" w:rsidR="009B1CF2" w:rsidRPr="0098560F" w:rsidRDefault="009B1CF2" w:rsidP="009B1CF2">
            <w:pPr>
              <w:jc w:val="center"/>
              <w:rPr>
                <w:rFonts w:eastAsia="Times New Roman"/>
                <w:sz w:val="12"/>
                <w:szCs w:val="12"/>
                <w:lang w:val="es-ES"/>
              </w:rPr>
            </w:pPr>
          </w:p>
        </w:tc>
        <w:tc>
          <w:tcPr>
            <w:tcW w:w="540" w:type="dxa"/>
            <w:vAlign w:val="center"/>
          </w:tcPr>
          <w:p w14:paraId="0B206833"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2015</w:t>
            </w:r>
          </w:p>
        </w:tc>
        <w:tc>
          <w:tcPr>
            <w:tcW w:w="540" w:type="dxa"/>
            <w:vAlign w:val="center"/>
          </w:tcPr>
          <w:p w14:paraId="754A2193"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2016</w:t>
            </w:r>
          </w:p>
        </w:tc>
        <w:tc>
          <w:tcPr>
            <w:tcW w:w="540" w:type="dxa"/>
            <w:vAlign w:val="center"/>
          </w:tcPr>
          <w:p w14:paraId="37F6F552"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2014</w:t>
            </w:r>
          </w:p>
        </w:tc>
        <w:tc>
          <w:tcPr>
            <w:tcW w:w="540" w:type="dxa"/>
            <w:vAlign w:val="center"/>
          </w:tcPr>
          <w:p w14:paraId="182E1A71"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2015</w:t>
            </w:r>
          </w:p>
        </w:tc>
        <w:tc>
          <w:tcPr>
            <w:tcW w:w="588" w:type="dxa"/>
            <w:vAlign w:val="center"/>
          </w:tcPr>
          <w:p w14:paraId="3BB917C0"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2014</w:t>
            </w:r>
          </w:p>
        </w:tc>
        <w:tc>
          <w:tcPr>
            <w:tcW w:w="717" w:type="dxa"/>
            <w:vAlign w:val="center"/>
          </w:tcPr>
          <w:p w14:paraId="46D0EB27"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2015</w:t>
            </w:r>
          </w:p>
        </w:tc>
        <w:tc>
          <w:tcPr>
            <w:tcW w:w="642" w:type="dxa"/>
            <w:vAlign w:val="center"/>
          </w:tcPr>
          <w:p w14:paraId="57DA1F2B" w14:textId="77777777" w:rsidR="009B1CF2" w:rsidRPr="0098560F" w:rsidRDefault="009B1CF2" w:rsidP="009B1CF2">
            <w:pPr>
              <w:jc w:val="center"/>
              <w:rPr>
                <w:rFonts w:eastAsia="Times New Roman"/>
                <w:b/>
                <w:sz w:val="12"/>
                <w:szCs w:val="12"/>
                <w:lang w:val="es-ES"/>
              </w:rPr>
            </w:pPr>
            <w:r w:rsidRPr="0098560F">
              <w:rPr>
                <w:rFonts w:eastAsia="Times New Roman"/>
                <w:b/>
                <w:sz w:val="12"/>
                <w:szCs w:val="12"/>
                <w:lang w:val="es-ES"/>
              </w:rPr>
              <w:t>2016</w:t>
            </w:r>
          </w:p>
        </w:tc>
      </w:tr>
      <w:tr w:rsidR="009B1CF2" w:rsidRPr="009B1CF2" w14:paraId="33736E2A" w14:textId="77777777" w:rsidTr="0098560F">
        <w:trPr>
          <w:jc w:val="center"/>
        </w:trPr>
        <w:tc>
          <w:tcPr>
            <w:tcW w:w="3528" w:type="dxa"/>
            <w:tcBorders>
              <w:bottom w:val="nil"/>
            </w:tcBorders>
          </w:tcPr>
          <w:p w14:paraId="73148EC7" w14:textId="77777777" w:rsidR="009B1CF2" w:rsidRPr="0098560F" w:rsidRDefault="009B1CF2" w:rsidP="009B1CF2">
            <w:pPr>
              <w:rPr>
                <w:rFonts w:eastAsia="Times New Roman"/>
                <w:b/>
                <w:sz w:val="12"/>
                <w:szCs w:val="12"/>
                <w:lang w:val="es-ES"/>
              </w:rPr>
            </w:pPr>
            <w:r w:rsidRPr="0098560F">
              <w:rPr>
                <w:rFonts w:eastAsia="Times New Roman"/>
                <w:b/>
                <w:sz w:val="12"/>
                <w:szCs w:val="12"/>
                <w:lang w:val="es-ES"/>
              </w:rPr>
              <w:t>Producto mundial</w:t>
            </w:r>
            <w:r w:rsidRPr="0098560F">
              <w:rPr>
                <w:rFonts w:eastAsia="Times New Roman"/>
                <w:b/>
                <w:sz w:val="12"/>
                <w:szCs w:val="12"/>
                <w:u w:val="single"/>
                <w:vertAlign w:val="superscript"/>
                <w:lang w:val="es-ES"/>
              </w:rPr>
              <w:t>2</w:t>
            </w:r>
            <w:r w:rsidRPr="0098560F">
              <w:rPr>
                <w:rFonts w:eastAsia="Times New Roman"/>
                <w:b/>
                <w:sz w:val="12"/>
                <w:szCs w:val="12"/>
                <w:vertAlign w:val="superscript"/>
                <w:lang w:val="es-ES"/>
              </w:rPr>
              <w:t>/</w:t>
            </w:r>
          </w:p>
        </w:tc>
        <w:tc>
          <w:tcPr>
            <w:tcW w:w="540" w:type="dxa"/>
            <w:tcBorders>
              <w:bottom w:val="nil"/>
            </w:tcBorders>
          </w:tcPr>
          <w:p w14:paraId="76B656F6"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3.4</w:t>
            </w:r>
          </w:p>
        </w:tc>
        <w:tc>
          <w:tcPr>
            <w:tcW w:w="540" w:type="dxa"/>
            <w:tcBorders>
              <w:bottom w:val="nil"/>
            </w:tcBorders>
          </w:tcPr>
          <w:p w14:paraId="4C330025"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3.4</w:t>
            </w:r>
          </w:p>
        </w:tc>
        <w:tc>
          <w:tcPr>
            <w:tcW w:w="540" w:type="dxa"/>
            <w:tcBorders>
              <w:bottom w:val="nil"/>
            </w:tcBorders>
          </w:tcPr>
          <w:p w14:paraId="5B99711E"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3.5</w:t>
            </w:r>
          </w:p>
        </w:tc>
        <w:tc>
          <w:tcPr>
            <w:tcW w:w="540" w:type="dxa"/>
            <w:tcBorders>
              <w:bottom w:val="nil"/>
            </w:tcBorders>
          </w:tcPr>
          <w:p w14:paraId="28957865"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3.8</w:t>
            </w:r>
          </w:p>
        </w:tc>
        <w:tc>
          <w:tcPr>
            <w:tcW w:w="540" w:type="dxa"/>
            <w:tcBorders>
              <w:bottom w:val="nil"/>
            </w:tcBorders>
          </w:tcPr>
          <w:p w14:paraId="09389522"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0.0</w:t>
            </w:r>
          </w:p>
        </w:tc>
        <w:tc>
          <w:tcPr>
            <w:tcW w:w="540" w:type="dxa"/>
            <w:tcBorders>
              <w:bottom w:val="nil"/>
            </w:tcBorders>
          </w:tcPr>
          <w:p w14:paraId="5ABDF60B"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0.1</w:t>
            </w:r>
          </w:p>
        </w:tc>
        <w:tc>
          <w:tcPr>
            <w:tcW w:w="588" w:type="dxa"/>
            <w:tcBorders>
              <w:bottom w:val="nil"/>
            </w:tcBorders>
          </w:tcPr>
          <w:p w14:paraId="4494E2C8"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3.2</w:t>
            </w:r>
          </w:p>
        </w:tc>
        <w:tc>
          <w:tcPr>
            <w:tcW w:w="717" w:type="dxa"/>
            <w:tcBorders>
              <w:bottom w:val="nil"/>
            </w:tcBorders>
          </w:tcPr>
          <w:p w14:paraId="1ECCE3E2" w14:textId="77777777" w:rsidR="009B1CF2" w:rsidRPr="0098560F" w:rsidRDefault="009B1CF2" w:rsidP="009B1CF2">
            <w:pPr>
              <w:ind w:right="170"/>
              <w:jc w:val="right"/>
              <w:rPr>
                <w:rFonts w:eastAsia="Times New Roman"/>
                <w:b/>
                <w:sz w:val="12"/>
                <w:szCs w:val="12"/>
                <w:lang w:val="es-ES"/>
              </w:rPr>
            </w:pPr>
            <w:r w:rsidRPr="0098560F">
              <w:rPr>
                <w:rFonts w:eastAsia="Times New Roman"/>
                <w:b/>
                <w:sz w:val="12"/>
                <w:szCs w:val="12"/>
                <w:lang w:val="es-ES"/>
              </w:rPr>
              <w:t>3.5</w:t>
            </w:r>
          </w:p>
        </w:tc>
        <w:tc>
          <w:tcPr>
            <w:tcW w:w="642" w:type="dxa"/>
            <w:tcBorders>
              <w:bottom w:val="nil"/>
            </w:tcBorders>
          </w:tcPr>
          <w:p w14:paraId="354F04AF"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3.7</w:t>
            </w:r>
          </w:p>
        </w:tc>
      </w:tr>
      <w:tr w:rsidR="009B1CF2" w:rsidRPr="009B1CF2" w14:paraId="504B41BA" w14:textId="77777777" w:rsidTr="0098560F">
        <w:trPr>
          <w:jc w:val="center"/>
        </w:trPr>
        <w:tc>
          <w:tcPr>
            <w:tcW w:w="3528" w:type="dxa"/>
            <w:tcBorders>
              <w:top w:val="nil"/>
              <w:bottom w:val="nil"/>
            </w:tcBorders>
          </w:tcPr>
          <w:p w14:paraId="6E560AC3" w14:textId="77777777" w:rsidR="009B1CF2" w:rsidRPr="0098560F" w:rsidRDefault="009B1CF2" w:rsidP="009B1CF2">
            <w:pPr>
              <w:rPr>
                <w:rFonts w:eastAsia="Times New Roman"/>
                <w:b/>
                <w:sz w:val="12"/>
                <w:szCs w:val="12"/>
                <w:lang w:val="es-ES"/>
              </w:rPr>
            </w:pPr>
            <w:r w:rsidRPr="0098560F">
              <w:rPr>
                <w:rFonts w:eastAsia="Times New Roman"/>
                <w:b/>
                <w:sz w:val="12"/>
                <w:szCs w:val="12"/>
                <w:lang w:val="es-ES"/>
              </w:rPr>
              <w:t>Economías avanzadas</w:t>
            </w:r>
          </w:p>
        </w:tc>
        <w:tc>
          <w:tcPr>
            <w:tcW w:w="540" w:type="dxa"/>
            <w:tcBorders>
              <w:top w:val="nil"/>
              <w:bottom w:val="nil"/>
            </w:tcBorders>
          </w:tcPr>
          <w:p w14:paraId="75E7BBF2"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1.4</w:t>
            </w:r>
          </w:p>
        </w:tc>
        <w:tc>
          <w:tcPr>
            <w:tcW w:w="540" w:type="dxa"/>
            <w:tcBorders>
              <w:top w:val="nil"/>
              <w:bottom w:val="nil"/>
            </w:tcBorders>
          </w:tcPr>
          <w:p w14:paraId="56221C56"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1.8</w:t>
            </w:r>
          </w:p>
        </w:tc>
        <w:tc>
          <w:tcPr>
            <w:tcW w:w="540" w:type="dxa"/>
            <w:tcBorders>
              <w:top w:val="nil"/>
              <w:bottom w:val="nil"/>
            </w:tcBorders>
          </w:tcPr>
          <w:p w14:paraId="75A5FEF5"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2.4</w:t>
            </w:r>
          </w:p>
        </w:tc>
        <w:tc>
          <w:tcPr>
            <w:tcW w:w="540" w:type="dxa"/>
            <w:tcBorders>
              <w:top w:val="nil"/>
              <w:bottom w:val="nil"/>
            </w:tcBorders>
          </w:tcPr>
          <w:p w14:paraId="7C32F689"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2.4</w:t>
            </w:r>
          </w:p>
        </w:tc>
        <w:tc>
          <w:tcPr>
            <w:tcW w:w="540" w:type="dxa"/>
            <w:tcBorders>
              <w:top w:val="nil"/>
              <w:bottom w:val="nil"/>
            </w:tcBorders>
          </w:tcPr>
          <w:p w14:paraId="4A28D796"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0.0</w:t>
            </w:r>
          </w:p>
        </w:tc>
        <w:tc>
          <w:tcPr>
            <w:tcW w:w="540" w:type="dxa"/>
            <w:tcBorders>
              <w:top w:val="nil"/>
              <w:bottom w:val="nil"/>
            </w:tcBorders>
          </w:tcPr>
          <w:p w14:paraId="1BE36C09"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0.0</w:t>
            </w:r>
          </w:p>
        </w:tc>
        <w:tc>
          <w:tcPr>
            <w:tcW w:w="588" w:type="dxa"/>
            <w:tcBorders>
              <w:top w:val="nil"/>
              <w:bottom w:val="nil"/>
            </w:tcBorders>
          </w:tcPr>
          <w:p w14:paraId="7EB4673D"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1.7</w:t>
            </w:r>
          </w:p>
        </w:tc>
        <w:tc>
          <w:tcPr>
            <w:tcW w:w="717" w:type="dxa"/>
            <w:tcBorders>
              <w:top w:val="nil"/>
              <w:bottom w:val="nil"/>
            </w:tcBorders>
          </w:tcPr>
          <w:p w14:paraId="69E9846C" w14:textId="77777777" w:rsidR="009B1CF2" w:rsidRPr="0098560F" w:rsidRDefault="009B1CF2" w:rsidP="009B1CF2">
            <w:pPr>
              <w:ind w:right="170"/>
              <w:jc w:val="right"/>
              <w:rPr>
                <w:rFonts w:eastAsia="Times New Roman"/>
                <w:b/>
                <w:sz w:val="12"/>
                <w:szCs w:val="12"/>
                <w:lang w:val="es-ES"/>
              </w:rPr>
            </w:pPr>
            <w:r w:rsidRPr="0098560F">
              <w:rPr>
                <w:rFonts w:eastAsia="Times New Roman"/>
                <w:b/>
                <w:sz w:val="12"/>
                <w:szCs w:val="12"/>
                <w:lang w:val="es-ES"/>
              </w:rPr>
              <w:t>2.5</w:t>
            </w:r>
          </w:p>
        </w:tc>
        <w:tc>
          <w:tcPr>
            <w:tcW w:w="642" w:type="dxa"/>
            <w:tcBorders>
              <w:top w:val="nil"/>
              <w:bottom w:val="nil"/>
            </w:tcBorders>
          </w:tcPr>
          <w:p w14:paraId="3E8A076A"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2.3</w:t>
            </w:r>
          </w:p>
        </w:tc>
      </w:tr>
      <w:tr w:rsidR="009B1CF2" w:rsidRPr="009B1CF2" w14:paraId="524AA9FF" w14:textId="77777777" w:rsidTr="0098560F">
        <w:trPr>
          <w:jc w:val="center"/>
        </w:trPr>
        <w:tc>
          <w:tcPr>
            <w:tcW w:w="3528" w:type="dxa"/>
            <w:tcBorders>
              <w:top w:val="nil"/>
              <w:bottom w:val="nil"/>
            </w:tcBorders>
          </w:tcPr>
          <w:p w14:paraId="72255CB3"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Estados Unidos de Norteamérica</w:t>
            </w:r>
          </w:p>
        </w:tc>
        <w:tc>
          <w:tcPr>
            <w:tcW w:w="540" w:type="dxa"/>
            <w:tcBorders>
              <w:top w:val="nil"/>
              <w:bottom w:val="nil"/>
            </w:tcBorders>
          </w:tcPr>
          <w:p w14:paraId="1E6240F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2.2</w:t>
            </w:r>
          </w:p>
        </w:tc>
        <w:tc>
          <w:tcPr>
            <w:tcW w:w="540" w:type="dxa"/>
            <w:tcBorders>
              <w:top w:val="nil"/>
              <w:bottom w:val="nil"/>
            </w:tcBorders>
          </w:tcPr>
          <w:p w14:paraId="3A62A94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2.4</w:t>
            </w:r>
          </w:p>
        </w:tc>
        <w:tc>
          <w:tcPr>
            <w:tcW w:w="540" w:type="dxa"/>
            <w:tcBorders>
              <w:top w:val="nil"/>
              <w:bottom w:val="nil"/>
            </w:tcBorders>
          </w:tcPr>
          <w:p w14:paraId="7605046C"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3.1</w:t>
            </w:r>
          </w:p>
        </w:tc>
        <w:tc>
          <w:tcPr>
            <w:tcW w:w="540" w:type="dxa"/>
            <w:tcBorders>
              <w:top w:val="nil"/>
              <w:bottom w:val="nil"/>
            </w:tcBorders>
          </w:tcPr>
          <w:p w14:paraId="3987983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3.1</w:t>
            </w:r>
          </w:p>
        </w:tc>
        <w:tc>
          <w:tcPr>
            <w:tcW w:w="540" w:type="dxa"/>
            <w:tcBorders>
              <w:top w:val="nil"/>
              <w:bottom w:val="nil"/>
            </w:tcBorders>
          </w:tcPr>
          <w:p w14:paraId="21E6A4D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-0.5</w:t>
            </w:r>
          </w:p>
        </w:tc>
        <w:tc>
          <w:tcPr>
            <w:tcW w:w="540" w:type="dxa"/>
            <w:tcBorders>
              <w:top w:val="nil"/>
              <w:bottom w:val="nil"/>
            </w:tcBorders>
          </w:tcPr>
          <w:p w14:paraId="284E641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6262584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2.4</w:t>
            </w:r>
          </w:p>
        </w:tc>
        <w:tc>
          <w:tcPr>
            <w:tcW w:w="717" w:type="dxa"/>
            <w:tcBorders>
              <w:top w:val="nil"/>
              <w:bottom w:val="nil"/>
            </w:tcBorders>
          </w:tcPr>
          <w:p w14:paraId="71E0EBFC"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3.1</w:t>
            </w:r>
          </w:p>
        </w:tc>
        <w:tc>
          <w:tcPr>
            <w:tcW w:w="642" w:type="dxa"/>
            <w:tcBorders>
              <w:top w:val="nil"/>
              <w:bottom w:val="nil"/>
            </w:tcBorders>
          </w:tcPr>
          <w:p w14:paraId="5CCA271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2.8</w:t>
            </w:r>
          </w:p>
        </w:tc>
      </w:tr>
      <w:tr w:rsidR="009B1CF2" w:rsidRPr="009B1CF2" w14:paraId="77C62799" w14:textId="77777777" w:rsidTr="0098560F">
        <w:trPr>
          <w:jc w:val="center"/>
        </w:trPr>
        <w:tc>
          <w:tcPr>
            <w:tcW w:w="3528" w:type="dxa"/>
            <w:tcBorders>
              <w:top w:val="nil"/>
              <w:bottom w:val="nil"/>
            </w:tcBorders>
          </w:tcPr>
          <w:p w14:paraId="15687328"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Zona del euro</w:t>
            </w:r>
            <w:r w:rsidRPr="0098560F">
              <w:rPr>
                <w:rFonts w:eastAsia="Times New Roman"/>
                <w:sz w:val="12"/>
                <w:szCs w:val="12"/>
                <w:u w:val="single"/>
                <w:vertAlign w:val="superscript"/>
                <w:lang w:val="es-ES"/>
              </w:rPr>
              <w:t>3</w:t>
            </w:r>
            <w:r w:rsidRPr="0098560F">
              <w:rPr>
                <w:rFonts w:eastAsia="Times New Roman"/>
                <w:sz w:val="12"/>
                <w:szCs w:val="12"/>
                <w:vertAlign w:val="superscript"/>
                <w:lang w:val="es-ES"/>
              </w:rPr>
              <w:t>/</w:t>
            </w:r>
          </w:p>
        </w:tc>
        <w:tc>
          <w:tcPr>
            <w:tcW w:w="540" w:type="dxa"/>
            <w:tcBorders>
              <w:top w:val="nil"/>
              <w:bottom w:val="nil"/>
            </w:tcBorders>
          </w:tcPr>
          <w:p w14:paraId="63167F00"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-0.5</w:t>
            </w:r>
          </w:p>
        </w:tc>
        <w:tc>
          <w:tcPr>
            <w:tcW w:w="540" w:type="dxa"/>
            <w:tcBorders>
              <w:top w:val="nil"/>
              <w:bottom w:val="nil"/>
            </w:tcBorders>
          </w:tcPr>
          <w:p w14:paraId="7113090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0.9</w:t>
            </w:r>
          </w:p>
        </w:tc>
        <w:tc>
          <w:tcPr>
            <w:tcW w:w="540" w:type="dxa"/>
            <w:tcBorders>
              <w:top w:val="nil"/>
              <w:bottom w:val="nil"/>
            </w:tcBorders>
          </w:tcPr>
          <w:p w14:paraId="024F20B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1.5</w:t>
            </w:r>
          </w:p>
        </w:tc>
        <w:tc>
          <w:tcPr>
            <w:tcW w:w="540" w:type="dxa"/>
            <w:tcBorders>
              <w:top w:val="nil"/>
              <w:bottom w:val="nil"/>
            </w:tcBorders>
          </w:tcPr>
          <w:p w14:paraId="30A638F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1.6</w:t>
            </w:r>
          </w:p>
        </w:tc>
        <w:tc>
          <w:tcPr>
            <w:tcW w:w="540" w:type="dxa"/>
            <w:tcBorders>
              <w:top w:val="nil"/>
              <w:bottom w:val="nil"/>
            </w:tcBorders>
          </w:tcPr>
          <w:p w14:paraId="73E314B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699EDD4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0E9B4E7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0.9</w:t>
            </w:r>
          </w:p>
        </w:tc>
        <w:tc>
          <w:tcPr>
            <w:tcW w:w="717" w:type="dxa"/>
            <w:tcBorders>
              <w:top w:val="nil"/>
              <w:bottom w:val="nil"/>
            </w:tcBorders>
          </w:tcPr>
          <w:p w14:paraId="771D55F6"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1.7</w:t>
            </w:r>
          </w:p>
        </w:tc>
        <w:tc>
          <w:tcPr>
            <w:tcW w:w="642" w:type="dxa"/>
            <w:tcBorders>
              <w:top w:val="nil"/>
              <w:bottom w:val="nil"/>
            </w:tcBorders>
          </w:tcPr>
          <w:p w14:paraId="3B77A37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1.6</w:t>
            </w:r>
          </w:p>
        </w:tc>
      </w:tr>
      <w:tr w:rsidR="009B1CF2" w:rsidRPr="009B1CF2" w14:paraId="28575575" w14:textId="77777777" w:rsidTr="0098560F">
        <w:trPr>
          <w:jc w:val="center"/>
        </w:trPr>
        <w:tc>
          <w:tcPr>
            <w:tcW w:w="3528" w:type="dxa"/>
            <w:tcBorders>
              <w:top w:val="nil"/>
              <w:bottom w:val="nil"/>
            </w:tcBorders>
          </w:tcPr>
          <w:p w14:paraId="07EA1AF6"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Alemania</w:t>
            </w:r>
          </w:p>
        </w:tc>
        <w:tc>
          <w:tcPr>
            <w:tcW w:w="540" w:type="dxa"/>
            <w:tcBorders>
              <w:top w:val="nil"/>
              <w:bottom w:val="nil"/>
            </w:tcBorders>
          </w:tcPr>
          <w:p w14:paraId="3B1904F1"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49DF668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1.6</w:t>
            </w:r>
          </w:p>
        </w:tc>
        <w:tc>
          <w:tcPr>
            <w:tcW w:w="540" w:type="dxa"/>
            <w:tcBorders>
              <w:top w:val="nil"/>
              <w:bottom w:val="nil"/>
            </w:tcBorders>
          </w:tcPr>
          <w:p w14:paraId="1A6CD569"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1.6</w:t>
            </w:r>
          </w:p>
        </w:tc>
        <w:tc>
          <w:tcPr>
            <w:tcW w:w="540" w:type="dxa"/>
            <w:tcBorders>
              <w:top w:val="nil"/>
              <w:bottom w:val="nil"/>
            </w:tcBorders>
          </w:tcPr>
          <w:p w14:paraId="5C43CF7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1.7</w:t>
            </w:r>
          </w:p>
        </w:tc>
        <w:tc>
          <w:tcPr>
            <w:tcW w:w="540" w:type="dxa"/>
            <w:tcBorders>
              <w:top w:val="nil"/>
              <w:bottom w:val="nil"/>
            </w:tcBorders>
          </w:tcPr>
          <w:p w14:paraId="307C176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2399885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5410D3A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1.5</w:t>
            </w:r>
          </w:p>
        </w:tc>
        <w:tc>
          <w:tcPr>
            <w:tcW w:w="717" w:type="dxa"/>
            <w:tcBorders>
              <w:top w:val="nil"/>
              <w:bottom w:val="nil"/>
            </w:tcBorders>
          </w:tcPr>
          <w:p w14:paraId="2494FAF9"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1.7</w:t>
            </w:r>
          </w:p>
        </w:tc>
        <w:tc>
          <w:tcPr>
            <w:tcW w:w="642" w:type="dxa"/>
            <w:tcBorders>
              <w:top w:val="nil"/>
              <w:bottom w:val="nil"/>
            </w:tcBorders>
          </w:tcPr>
          <w:p w14:paraId="026CF09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1.7</w:t>
            </w:r>
          </w:p>
        </w:tc>
      </w:tr>
      <w:tr w:rsidR="009B1CF2" w:rsidRPr="009B1CF2" w14:paraId="2CD47516" w14:textId="77777777" w:rsidTr="0098560F">
        <w:trPr>
          <w:jc w:val="center"/>
        </w:trPr>
        <w:tc>
          <w:tcPr>
            <w:tcW w:w="3528" w:type="dxa"/>
            <w:tcBorders>
              <w:top w:val="nil"/>
              <w:bottom w:val="nil"/>
            </w:tcBorders>
          </w:tcPr>
          <w:p w14:paraId="3976399B"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Francia</w:t>
            </w:r>
          </w:p>
        </w:tc>
        <w:tc>
          <w:tcPr>
            <w:tcW w:w="540" w:type="dxa"/>
            <w:tcBorders>
              <w:top w:val="nil"/>
              <w:bottom w:val="nil"/>
            </w:tcBorders>
          </w:tcPr>
          <w:p w14:paraId="078CC07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3DC0177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0D518E6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1.2</w:t>
            </w:r>
          </w:p>
        </w:tc>
        <w:tc>
          <w:tcPr>
            <w:tcW w:w="540" w:type="dxa"/>
            <w:tcBorders>
              <w:top w:val="nil"/>
              <w:bottom w:val="nil"/>
            </w:tcBorders>
          </w:tcPr>
          <w:p w14:paraId="0CD081D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1.5</w:t>
            </w:r>
          </w:p>
        </w:tc>
        <w:tc>
          <w:tcPr>
            <w:tcW w:w="540" w:type="dxa"/>
            <w:tcBorders>
              <w:top w:val="nil"/>
              <w:bottom w:val="nil"/>
            </w:tcBorders>
          </w:tcPr>
          <w:p w14:paraId="361139E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4DE7C409"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4F587B0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717" w:type="dxa"/>
            <w:tcBorders>
              <w:top w:val="nil"/>
              <w:bottom w:val="nil"/>
            </w:tcBorders>
          </w:tcPr>
          <w:p w14:paraId="10750C7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1.6</w:t>
            </w:r>
          </w:p>
        </w:tc>
        <w:tc>
          <w:tcPr>
            <w:tcW w:w="642" w:type="dxa"/>
            <w:tcBorders>
              <w:top w:val="nil"/>
              <w:bottom w:val="nil"/>
            </w:tcBorders>
          </w:tcPr>
          <w:p w14:paraId="756B34C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1.3</w:t>
            </w:r>
          </w:p>
        </w:tc>
      </w:tr>
      <w:tr w:rsidR="009B1CF2" w:rsidRPr="009B1CF2" w14:paraId="46398036" w14:textId="77777777" w:rsidTr="0098560F">
        <w:trPr>
          <w:jc w:val="center"/>
        </w:trPr>
        <w:tc>
          <w:tcPr>
            <w:tcW w:w="3528" w:type="dxa"/>
            <w:tcBorders>
              <w:top w:val="nil"/>
              <w:bottom w:val="nil"/>
            </w:tcBorders>
          </w:tcPr>
          <w:p w14:paraId="6D9C88DC"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Italia</w:t>
            </w:r>
          </w:p>
        </w:tc>
        <w:tc>
          <w:tcPr>
            <w:tcW w:w="540" w:type="dxa"/>
            <w:tcBorders>
              <w:top w:val="nil"/>
              <w:bottom w:val="nil"/>
            </w:tcBorders>
          </w:tcPr>
          <w:p w14:paraId="293B3EC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-1.7</w:t>
            </w:r>
          </w:p>
        </w:tc>
        <w:tc>
          <w:tcPr>
            <w:tcW w:w="540" w:type="dxa"/>
            <w:tcBorders>
              <w:top w:val="nil"/>
              <w:bottom w:val="nil"/>
            </w:tcBorders>
          </w:tcPr>
          <w:p w14:paraId="60E456F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32EA546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0.5</w:t>
            </w:r>
          </w:p>
        </w:tc>
        <w:tc>
          <w:tcPr>
            <w:tcW w:w="540" w:type="dxa"/>
            <w:tcBorders>
              <w:top w:val="nil"/>
              <w:bottom w:val="nil"/>
            </w:tcBorders>
          </w:tcPr>
          <w:p w14:paraId="62B485C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1.1</w:t>
            </w:r>
          </w:p>
        </w:tc>
        <w:tc>
          <w:tcPr>
            <w:tcW w:w="540" w:type="dxa"/>
            <w:tcBorders>
              <w:top w:val="nil"/>
              <w:bottom w:val="nil"/>
            </w:tcBorders>
          </w:tcPr>
          <w:p w14:paraId="427CEA0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nil"/>
            </w:tcBorders>
          </w:tcPr>
          <w:p w14:paraId="4D2AD400"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0.3</w:t>
            </w:r>
          </w:p>
        </w:tc>
        <w:tc>
          <w:tcPr>
            <w:tcW w:w="588" w:type="dxa"/>
            <w:tcBorders>
              <w:top w:val="nil"/>
              <w:bottom w:val="nil"/>
            </w:tcBorders>
          </w:tcPr>
          <w:p w14:paraId="7F13EC7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-0.5</w:t>
            </w:r>
          </w:p>
        </w:tc>
        <w:tc>
          <w:tcPr>
            <w:tcW w:w="717" w:type="dxa"/>
            <w:tcBorders>
              <w:top w:val="nil"/>
              <w:bottom w:val="nil"/>
            </w:tcBorders>
          </w:tcPr>
          <w:p w14:paraId="3A62D98F"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1.0</w:t>
            </w:r>
          </w:p>
        </w:tc>
        <w:tc>
          <w:tcPr>
            <w:tcW w:w="642" w:type="dxa"/>
            <w:tcBorders>
              <w:top w:val="nil"/>
              <w:bottom w:val="nil"/>
            </w:tcBorders>
          </w:tcPr>
          <w:p w14:paraId="7D411E6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1.1</w:t>
            </w:r>
          </w:p>
        </w:tc>
      </w:tr>
      <w:tr w:rsidR="009B1CF2" w:rsidRPr="009B1CF2" w14:paraId="463121A5" w14:textId="77777777" w:rsidTr="0098560F">
        <w:trPr>
          <w:jc w:val="center"/>
        </w:trPr>
        <w:tc>
          <w:tcPr>
            <w:tcW w:w="3528" w:type="dxa"/>
            <w:tcBorders>
              <w:top w:val="nil"/>
              <w:bottom w:val="nil"/>
            </w:tcBorders>
          </w:tcPr>
          <w:p w14:paraId="26F86312"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España</w:t>
            </w:r>
          </w:p>
        </w:tc>
        <w:tc>
          <w:tcPr>
            <w:tcW w:w="540" w:type="dxa"/>
            <w:tcBorders>
              <w:top w:val="nil"/>
              <w:bottom w:val="nil"/>
            </w:tcBorders>
          </w:tcPr>
          <w:p w14:paraId="21FD800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-1.2</w:t>
            </w:r>
          </w:p>
        </w:tc>
        <w:tc>
          <w:tcPr>
            <w:tcW w:w="540" w:type="dxa"/>
            <w:tcBorders>
              <w:top w:val="nil"/>
              <w:bottom w:val="nil"/>
            </w:tcBorders>
          </w:tcPr>
          <w:p w14:paraId="152497B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1.4</w:t>
            </w:r>
          </w:p>
        </w:tc>
        <w:tc>
          <w:tcPr>
            <w:tcW w:w="540" w:type="dxa"/>
            <w:tcBorders>
              <w:top w:val="nil"/>
              <w:bottom w:val="nil"/>
            </w:tcBorders>
          </w:tcPr>
          <w:p w14:paraId="37DDB3F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2.5</w:t>
            </w:r>
          </w:p>
        </w:tc>
        <w:tc>
          <w:tcPr>
            <w:tcW w:w="540" w:type="dxa"/>
            <w:tcBorders>
              <w:top w:val="nil"/>
              <w:bottom w:val="nil"/>
            </w:tcBorders>
          </w:tcPr>
          <w:p w14:paraId="4F4D7B5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c>
          <w:tcPr>
            <w:tcW w:w="540" w:type="dxa"/>
            <w:tcBorders>
              <w:top w:val="nil"/>
              <w:bottom w:val="nil"/>
            </w:tcBorders>
          </w:tcPr>
          <w:p w14:paraId="6A82BC4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0.5</w:t>
            </w:r>
          </w:p>
        </w:tc>
        <w:tc>
          <w:tcPr>
            <w:tcW w:w="540" w:type="dxa"/>
            <w:tcBorders>
              <w:top w:val="nil"/>
              <w:bottom w:val="nil"/>
            </w:tcBorders>
          </w:tcPr>
          <w:p w14:paraId="347E0F0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6312E5C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c>
          <w:tcPr>
            <w:tcW w:w="717" w:type="dxa"/>
            <w:tcBorders>
              <w:top w:val="nil"/>
              <w:bottom w:val="nil"/>
            </w:tcBorders>
          </w:tcPr>
          <w:p w14:paraId="67057DD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2.4</w:t>
            </w:r>
          </w:p>
        </w:tc>
        <w:tc>
          <w:tcPr>
            <w:tcW w:w="642" w:type="dxa"/>
            <w:tcBorders>
              <w:top w:val="nil"/>
              <w:bottom w:val="nil"/>
            </w:tcBorders>
          </w:tcPr>
          <w:p w14:paraId="58B8D78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1.8</w:t>
            </w:r>
          </w:p>
        </w:tc>
      </w:tr>
      <w:tr w:rsidR="009B1CF2" w:rsidRPr="009B1CF2" w14:paraId="22D8A1BD" w14:textId="77777777" w:rsidTr="0098560F">
        <w:trPr>
          <w:jc w:val="center"/>
        </w:trPr>
        <w:tc>
          <w:tcPr>
            <w:tcW w:w="3528" w:type="dxa"/>
            <w:tcBorders>
              <w:top w:val="nil"/>
              <w:bottom w:val="nil"/>
            </w:tcBorders>
          </w:tcPr>
          <w:p w14:paraId="65E49B58"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Japón</w:t>
            </w:r>
          </w:p>
        </w:tc>
        <w:tc>
          <w:tcPr>
            <w:tcW w:w="540" w:type="dxa"/>
            <w:tcBorders>
              <w:top w:val="nil"/>
              <w:bottom w:val="nil"/>
            </w:tcBorders>
          </w:tcPr>
          <w:p w14:paraId="0E286819"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1.6</w:t>
            </w:r>
          </w:p>
        </w:tc>
        <w:tc>
          <w:tcPr>
            <w:tcW w:w="540" w:type="dxa"/>
            <w:tcBorders>
              <w:top w:val="nil"/>
              <w:bottom w:val="nil"/>
            </w:tcBorders>
          </w:tcPr>
          <w:p w14:paraId="3F2E347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nil"/>
            </w:tcBorders>
          </w:tcPr>
          <w:p w14:paraId="6AA07C1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1.0</w:t>
            </w:r>
          </w:p>
        </w:tc>
        <w:tc>
          <w:tcPr>
            <w:tcW w:w="540" w:type="dxa"/>
            <w:tcBorders>
              <w:top w:val="nil"/>
              <w:bottom w:val="nil"/>
            </w:tcBorders>
          </w:tcPr>
          <w:p w14:paraId="29C5990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1.2</w:t>
            </w:r>
          </w:p>
        </w:tc>
        <w:tc>
          <w:tcPr>
            <w:tcW w:w="540" w:type="dxa"/>
            <w:tcBorders>
              <w:top w:val="nil"/>
              <w:bottom w:val="nil"/>
            </w:tcBorders>
          </w:tcPr>
          <w:p w14:paraId="1C8BB7F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371D818E"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0.4</w:t>
            </w:r>
          </w:p>
        </w:tc>
        <w:tc>
          <w:tcPr>
            <w:tcW w:w="588" w:type="dxa"/>
            <w:tcBorders>
              <w:top w:val="nil"/>
              <w:bottom w:val="nil"/>
            </w:tcBorders>
          </w:tcPr>
          <w:p w14:paraId="020003F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-0.7</w:t>
            </w:r>
          </w:p>
        </w:tc>
        <w:tc>
          <w:tcPr>
            <w:tcW w:w="717" w:type="dxa"/>
            <w:tcBorders>
              <w:top w:val="nil"/>
              <w:bottom w:val="nil"/>
            </w:tcBorders>
          </w:tcPr>
          <w:p w14:paraId="55A523B3"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2.4</w:t>
            </w:r>
          </w:p>
        </w:tc>
        <w:tc>
          <w:tcPr>
            <w:tcW w:w="642" w:type="dxa"/>
            <w:tcBorders>
              <w:top w:val="nil"/>
              <w:bottom w:val="nil"/>
            </w:tcBorders>
          </w:tcPr>
          <w:p w14:paraId="3B57655E"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0.5</w:t>
            </w:r>
          </w:p>
        </w:tc>
      </w:tr>
      <w:tr w:rsidR="009B1CF2" w:rsidRPr="009B1CF2" w14:paraId="4FC01A81" w14:textId="77777777" w:rsidTr="0098560F">
        <w:trPr>
          <w:jc w:val="center"/>
        </w:trPr>
        <w:tc>
          <w:tcPr>
            <w:tcW w:w="3528" w:type="dxa"/>
            <w:tcBorders>
              <w:top w:val="nil"/>
              <w:bottom w:val="nil"/>
            </w:tcBorders>
          </w:tcPr>
          <w:p w14:paraId="6BC19A49"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Reino Unido</w:t>
            </w:r>
          </w:p>
        </w:tc>
        <w:tc>
          <w:tcPr>
            <w:tcW w:w="540" w:type="dxa"/>
            <w:tcBorders>
              <w:top w:val="nil"/>
              <w:bottom w:val="nil"/>
            </w:tcBorders>
          </w:tcPr>
          <w:p w14:paraId="7D48DF6C"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1.7</w:t>
            </w:r>
          </w:p>
        </w:tc>
        <w:tc>
          <w:tcPr>
            <w:tcW w:w="540" w:type="dxa"/>
            <w:tcBorders>
              <w:top w:val="nil"/>
              <w:bottom w:val="nil"/>
            </w:tcBorders>
          </w:tcPr>
          <w:p w14:paraId="6FB02AA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2.6</w:t>
            </w:r>
          </w:p>
        </w:tc>
        <w:tc>
          <w:tcPr>
            <w:tcW w:w="540" w:type="dxa"/>
            <w:tcBorders>
              <w:top w:val="nil"/>
              <w:bottom w:val="nil"/>
            </w:tcBorders>
          </w:tcPr>
          <w:p w14:paraId="5460D1E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2.7</w:t>
            </w:r>
          </w:p>
        </w:tc>
        <w:tc>
          <w:tcPr>
            <w:tcW w:w="540" w:type="dxa"/>
            <w:tcBorders>
              <w:top w:val="nil"/>
              <w:bottom w:val="nil"/>
            </w:tcBorders>
          </w:tcPr>
          <w:p w14:paraId="2160B22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2.3</w:t>
            </w:r>
          </w:p>
        </w:tc>
        <w:tc>
          <w:tcPr>
            <w:tcW w:w="540" w:type="dxa"/>
            <w:tcBorders>
              <w:top w:val="nil"/>
              <w:bottom w:val="nil"/>
            </w:tcBorders>
          </w:tcPr>
          <w:p w14:paraId="159E6C7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79B3C7D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0106E00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2.7</w:t>
            </w:r>
          </w:p>
        </w:tc>
        <w:tc>
          <w:tcPr>
            <w:tcW w:w="717" w:type="dxa"/>
            <w:tcBorders>
              <w:top w:val="nil"/>
              <w:bottom w:val="nil"/>
            </w:tcBorders>
          </w:tcPr>
          <w:p w14:paraId="7FCBFF64"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2.7</w:t>
            </w:r>
          </w:p>
        </w:tc>
        <w:tc>
          <w:tcPr>
            <w:tcW w:w="642" w:type="dxa"/>
            <w:tcBorders>
              <w:top w:val="nil"/>
              <w:bottom w:val="nil"/>
            </w:tcBorders>
          </w:tcPr>
          <w:p w14:paraId="5011A3A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2.2</w:t>
            </w:r>
          </w:p>
        </w:tc>
      </w:tr>
      <w:tr w:rsidR="009B1CF2" w:rsidRPr="009B1CF2" w14:paraId="310276E5" w14:textId="77777777" w:rsidTr="0098560F">
        <w:trPr>
          <w:jc w:val="center"/>
        </w:trPr>
        <w:tc>
          <w:tcPr>
            <w:tcW w:w="3528" w:type="dxa"/>
            <w:tcBorders>
              <w:top w:val="nil"/>
              <w:bottom w:val="nil"/>
            </w:tcBorders>
          </w:tcPr>
          <w:p w14:paraId="17C5A2BA"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Canadá</w:t>
            </w:r>
          </w:p>
        </w:tc>
        <w:tc>
          <w:tcPr>
            <w:tcW w:w="540" w:type="dxa"/>
            <w:tcBorders>
              <w:top w:val="nil"/>
              <w:bottom w:val="nil"/>
            </w:tcBorders>
          </w:tcPr>
          <w:p w14:paraId="1400879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2.0</w:t>
            </w:r>
          </w:p>
        </w:tc>
        <w:tc>
          <w:tcPr>
            <w:tcW w:w="540" w:type="dxa"/>
            <w:tcBorders>
              <w:top w:val="nil"/>
              <w:bottom w:val="nil"/>
            </w:tcBorders>
          </w:tcPr>
          <w:p w14:paraId="735DC93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2.5</w:t>
            </w:r>
          </w:p>
        </w:tc>
        <w:tc>
          <w:tcPr>
            <w:tcW w:w="540" w:type="dxa"/>
            <w:tcBorders>
              <w:top w:val="nil"/>
              <w:bottom w:val="nil"/>
            </w:tcBorders>
          </w:tcPr>
          <w:p w14:paraId="6FFE749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2.2</w:t>
            </w:r>
          </w:p>
        </w:tc>
        <w:tc>
          <w:tcPr>
            <w:tcW w:w="540" w:type="dxa"/>
            <w:tcBorders>
              <w:top w:val="nil"/>
              <w:bottom w:val="nil"/>
            </w:tcBorders>
          </w:tcPr>
          <w:p w14:paraId="0FCBA4B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c>
          <w:tcPr>
            <w:tcW w:w="540" w:type="dxa"/>
            <w:tcBorders>
              <w:top w:val="nil"/>
              <w:bottom w:val="nil"/>
            </w:tcBorders>
          </w:tcPr>
          <w:p w14:paraId="1279DA1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nil"/>
            </w:tcBorders>
          </w:tcPr>
          <w:p w14:paraId="67AF87C1"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53F7DF3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2.6</w:t>
            </w:r>
          </w:p>
        </w:tc>
        <w:tc>
          <w:tcPr>
            <w:tcW w:w="717" w:type="dxa"/>
            <w:tcBorders>
              <w:top w:val="nil"/>
              <w:bottom w:val="nil"/>
            </w:tcBorders>
          </w:tcPr>
          <w:p w14:paraId="673A19BD"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1.8</w:t>
            </w:r>
          </w:p>
        </w:tc>
        <w:tc>
          <w:tcPr>
            <w:tcW w:w="642" w:type="dxa"/>
            <w:tcBorders>
              <w:top w:val="nil"/>
              <w:bottom w:val="nil"/>
            </w:tcBorders>
          </w:tcPr>
          <w:p w14:paraId="3AFA57AE"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r>
      <w:tr w:rsidR="009B1CF2" w:rsidRPr="009B1CF2" w14:paraId="19ADE97C" w14:textId="77777777" w:rsidTr="0098560F">
        <w:trPr>
          <w:jc w:val="center"/>
        </w:trPr>
        <w:tc>
          <w:tcPr>
            <w:tcW w:w="3528" w:type="dxa"/>
            <w:tcBorders>
              <w:top w:val="nil"/>
              <w:bottom w:val="nil"/>
            </w:tcBorders>
          </w:tcPr>
          <w:p w14:paraId="4697EA03"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Otras economías avanzadas</w:t>
            </w:r>
            <w:r w:rsidRPr="0098560F">
              <w:rPr>
                <w:rFonts w:eastAsia="Times New Roman"/>
                <w:sz w:val="12"/>
                <w:szCs w:val="12"/>
                <w:u w:val="single"/>
                <w:vertAlign w:val="superscript"/>
                <w:lang w:val="es-ES"/>
              </w:rPr>
              <w:t>4</w:t>
            </w:r>
            <w:r w:rsidRPr="0098560F">
              <w:rPr>
                <w:rFonts w:eastAsia="Times New Roman"/>
                <w:sz w:val="12"/>
                <w:szCs w:val="12"/>
                <w:vertAlign w:val="superscript"/>
                <w:lang w:val="es-ES"/>
              </w:rPr>
              <w:t>/</w:t>
            </w:r>
          </w:p>
        </w:tc>
        <w:tc>
          <w:tcPr>
            <w:tcW w:w="540" w:type="dxa"/>
            <w:tcBorders>
              <w:top w:val="nil"/>
              <w:bottom w:val="nil"/>
            </w:tcBorders>
          </w:tcPr>
          <w:p w14:paraId="4CF93F1E"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2.2</w:t>
            </w:r>
          </w:p>
        </w:tc>
        <w:tc>
          <w:tcPr>
            <w:tcW w:w="540" w:type="dxa"/>
            <w:tcBorders>
              <w:top w:val="nil"/>
              <w:bottom w:val="nil"/>
            </w:tcBorders>
          </w:tcPr>
          <w:p w14:paraId="10F74D6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2.8</w:t>
            </w:r>
          </w:p>
        </w:tc>
        <w:tc>
          <w:tcPr>
            <w:tcW w:w="540" w:type="dxa"/>
            <w:tcBorders>
              <w:top w:val="nil"/>
              <w:bottom w:val="nil"/>
            </w:tcBorders>
          </w:tcPr>
          <w:p w14:paraId="7A61F4CF"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2.8</w:t>
            </w:r>
          </w:p>
        </w:tc>
        <w:tc>
          <w:tcPr>
            <w:tcW w:w="540" w:type="dxa"/>
            <w:tcBorders>
              <w:top w:val="nil"/>
              <w:bottom w:val="nil"/>
            </w:tcBorders>
          </w:tcPr>
          <w:p w14:paraId="1AF99B7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3.1</w:t>
            </w:r>
          </w:p>
        </w:tc>
        <w:tc>
          <w:tcPr>
            <w:tcW w:w="540" w:type="dxa"/>
            <w:tcBorders>
              <w:top w:val="nil"/>
              <w:bottom w:val="nil"/>
            </w:tcBorders>
          </w:tcPr>
          <w:p w14:paraId="74CDFE3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1D9E89F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661F26C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2.6</w:t>
            </w:r>
          </w:p>
        </w:tc>
        <w:tc>
          <w:tcPr>
            <w:tcW w:w="717" w:type="dxa"/>
            <w:tcBorders>
              <w:top w:val="nil"/>
              <w:bottom w:val="nil"/>
            </w:tcBorders>
          </w:tcPr>
          <w:p w14:paraId="541FE25B"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3.0</w:t>
            </w:r>
          </w:p>
        </w:tc>
        <w:tc>
          <w:tcPr>
            <w:tcW w:w="642" w:type="dxa"/>
            <w:tcBorders>
              <w:top w:val="nil"/>
              <w:bottom w:val="nil"/>
            </w:tcBorders>
          </w:tcPr>
          <w:p w14:paraId="663BA82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3.1</w:t>
            </w:r>
          </w:p>
        </w:tc>
      </w:tr>
      <w:tr w:rsidR="009B1CF2" w:rsidRPr="009B1CF2" w14:paraId="6605D150" w14:textId="77777777" w:rsidTr="0098560F">
        <w:trPr>
          <w:jc w:val="center"/>
        </w:trPr>
        <w:tc>
          <w:tcPr>
            <w:tcW w:w="3528" w:type="dxa"/>
            <w:tcBorders>
              <w:top w:val="nil"/>
              <w:bottom w:val="nil"/>
            </w:tcBorders>
          </w:tcPr>
          <w:p w14:paraId="3FE2F850" w14:textId="5FC16740" w:rsidR="009B1CF2" w:rsidRPr="0098560F" w:rsidRDefault="009B1CF2" w:rsidP="009B1CF2">
            <w:pPr>
              <w:ind w:left="170"/>
              <w:rPr>
                <w:rFonts w:eastAsia="Times New Roman"/>
                <w:b/>
                <w:sz w:val="12"/>
                <w:szCs w:val="12"/>
                <w:lang w:val="es-ES"/>
              </w:rPr>
            </w:pPr>
            <w:r w:rsidRPr="0098560F">
              <w:rPr>
                <w:rFonts w:eastAsia="Times New Roman"/>
                <w:b/>
                <w:sz w:val="12"/>
                <w:szCs w:val="12"/>
                <w:lang w:val="es-ES"/>
              </w:rPr>
              <w:t>Economías de mercados emergentes y en desarrollo</w:t>
            </w:r>
            <w:r w:rsidR="00A303E8">
              <w:rPr>
                <w:rFonts w:eastAsia="Times New Roman"/>
                <w:b/>
                <w:sz w:val="12"/>
                <w:szCs w:val="12"/>
                <w:u w:val="single"/>
                <w:vertAlign w:val="superscript"/>
                <w:lang w:val="es-ES"/>
              </w:rPr>
              <w:t>5</w:t>
            </w:r>
            <w:r w:rsidRPr="0098560F">
              <w:rPr>
                <w:rFonts w:eastAsia="Times New Roman"/>
                <w:b/>
                <w:sz w:val="12"/>
                <w:szCs w:val="12"/>
                <w:vertAlign w:val="superscript"/>
                <w:lang w:val="es-ES"/>
              </w:rPr>
              <w:t>/</w:t>
            </w:r>
          </w:p>
        </w:tc>
        <w:tc>
          <w:tcPr>
            <w:tcW w:w="540" w:type="dxa"/>
            <w:tcBorders>
              <w:top w:val="nil"/>
              <w:bottom w:val="nil"/>
            </w:tcBorders>
          </w:tcPr>
          <w:p w14:paraId="015CECBC"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5.0</w:t>
            </w:r>
          </w:p>
        </w:tc>
        <w:tc>
          <w:tcPr>
            <w:tcW w:w="540" w:type="dxa"/>
            <w:tcBorders>
              <w:top w:val="nil"/>
              <w:bottom w:val="nil"/>
            </w:tcBorders>
          </w:tcPr>
          <w:p w14:paraId="64F28957"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4.6</w:t>
            </w:r>
          </w:p>
        </w:tc>
        <w:tc>
          <w:tcPr>
            <w:tcW w:w="540" w:type="dxa"/>
            <w:tcBorders>
              <w:top w:val="nil"/>
              <w:bottom w:val="nil"/>
            </w:tcBorders>
          </w:tcPr>
          <w:p w14:paraId="478BAC6B"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4.3</w:t>
            </w:r>
          </w:p>
        </w:tc>
        <w:tc>
          <w:tcPr>
            <w:tcW w:w="540" w:type="dxa"/>
            <w:tcBorders>
              <w:top w:val="nil"/>
              <w:bottom w:val="nil"/>
            </w:tcBorders>
          </w:tcPr>
          <w:p w14:paraId="546253B2"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4.7</w:t>
            </w:r>
          </w:p>
        </w:tc>
        <w:tc>
          <w:tcPr>
            <w:tcW w:w="540" w:type="dxa"/>
            <w:tcBorders>
              <w:top w:val="nil"/>
              <w:bottom w:val="nil"/>
            </w:tcBorders>
          </w:tcPr>
          <w:p w14:paraId="5B31B0CC"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0.0</w:t>
            </w:r>
          </w:p>
        </w:tc>
        <w:tc>
          <w:tcPr>
            <w:tcW w:w="540" w:type="dxa"/>
            <w:tcBorders>
              <w:top w:val="nil"/>
              <w:bottom w:val="nil"/>
            </w:tcBorders>
          </w:tcPr>
          <w:p w14:paraId="1C5879D9"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0.0</w:t>
            </w:r>
          </w:p>
        </w:tc>
        <w:tc>
          <w:tcPr>
            <w:tcW w:w="588" w:type="dxa"/>
            <w:tcBorders>
              <w:top w:val="nil"/>
              <w:bottom w:val="nil"/>
            </w:tcBorders>
          </w:tcPr>
          <w:p w14:paraId="0947375A"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4.6</w:t>
            </w:r>
          </w:p>
        </w:tc>
        <w:tc>
          <w:tcPr>
            <w:tcW w:w="717" w:type="dxa"/>
            <w:tcBorders>
              <w:top w:val="nil"/>
              <w:bottom w:val="nil"/>
            </w:tcBorders>
          </w:tcPr>
          <w:p w14:paraId="0C23300B" w14:textId="77777777" w:rsidR="009B1CF2" w:rsidRPr="0098560F" w:rsidRDefault="009B1CF2" w:rsidP="009B1CF2">
            <w:pPr>
              <w:ind w:right="170"/>
              <w:jc w:val="right"/>
              <w:rPr>
                <w:rFonts w:eastAsia="Times New Roman"/>
                <w:b/>
                <w:sz w:val="12"/>
                <w:szCs w:val="12"/>
                <w:lang w:val="es-ES"/>
              </w:rPr>
            </w:pPr>
            <w:r w:rsidRPr="0098560F">
              <w:rPr>
                <w:rFonts w:eastAsia="Times New Roman"/>
                <w:b/>
                <w:sz w:val="12"/>
                <w:szCs w:val="12"/>
                <w:lang w:val="es-ES"/>
              </w:rPr>
              <w:t>4.4</w:t>
            </w:r>
          </w:p>
        </w:tc>
        <w:tc>
          <w:tcPr>
            <w:tcW w:w="642" w:type="dxa"/>
            <w:tcBorders>
              <w:top w:val="nil"/>
              <w:bottom w:val="nil"/>
            </w:tcBorders>
          </w:tcPr>
          <w:p w14:paraId="3CF6E040"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5.0</w:t>
            </w:r>
          </w:p>
        </w:tc>
      </w:tr>
      <w:tr w:rsidR="009B1CF2" w:rsidRPr="009B1CF2" w14:paraId="3D6BB18D" w14:textId="77777777" w:rsidTr="0098560F">
        <w:trPr>
          <w:jc w:val="center"/>
        </w:trPr>
        <w:tc>
          <w:tcPr>
            <w:tcW w:w="3528" w:type="dxa"/>
            <w:tcBorders>
              <w:top w:val="nil"/>
              <w:bottom w:val="nil"/>
            </w:tcBorders>
          </w:tcPr>
          <w:p w14:paraId="083BD0A5" w14:textId="192D3953"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 xml:space="preserve">África </w:t>
            </w:r>
            <w:r w:rsidR="001611C8">
              <w:rPr>
                <w:rFonts w:eastAsia="Times New Roman"/>
                <w:sz w:val="12"/>
                <w:szCs w:val="12"/>
                <w:lang w:val="es-ES"/>
              </w:rPr>
              <w:t>Subsahariana</w:t>
            </w:r>
          </w:p>
        </w:tc>
        <w:tc>
          <w:tcPr>
            <w:tcW w:w="540" w:type="dxa"/>
            <w:tcBorders>
              <w:top w:val="nil"/>
              <w:bottom w:val="nil"/>
            </w:tcBorders>
          </w:tcPr>
          <w:p w14:paraId="79BFF09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5.2</w:t>
            </w:r>
          </w:p>
        </w:tc>
        <w:tc>
          <w:tcPr>
            <w:tcW w:w="540" w:type="dxa"/>
            <w:tcBorders>
              <w:top w:val="nil"/>
              <w:bottom w:val="nil"/>
            </w:tcBorders>
          </w:tcPr>
          <w:p w14:paraId="537E39A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5.0</w:t>
            </w:r>
          </w:p>
        </w:tc>
        <w:tc>
          <w:tcPr>
            <w:tcW w:w="540" w:type="dxa"/>
            <w:tcBorders>
              <w:top w:val="nil"/>
              <w:bottom w:val="nil"/>
            </w:tcBorders>
          </w:tcPr>
          <w:p w14:paraId="2C76C9A9"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4.5</w:t>
            </w:r>
          </w:p>
        </w:tc>
        <w:tc>
          <w:tcPr>
            <w:tcW w:w="540" w:type="dxa"/>
            <w:tcBorders>
              <w:top w:val="nil"/>
              <w:bottom w:val="nil"/>
            </w:tcBorders>
          </w:tcPr>
          <w:p w14:paraId="642313E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5.1</w:t>
            </w:r>
          </w:p>
        </w:tc>
        <w:tc>
          <w:tcPr>
            <w:tcW w:w="540" w:type="dxa"/>
            <w:tcBorders>
              <w:top w:val="nil"/>
              <w:bottom w:val="nil"/>
            </w:tcBorders>
          </w:tcPr>
          <w:p w14:paraId="30BECDD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22EBC44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49D534A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1351BD3E"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41D5AD7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5C5A88C3" w14:textId="77777777" w:rsidTr="0098560F">
        <w:trPr>
          <w:jc w:val="center"/>
        </w:trPr>
        <w:tc>
          <w:tcPr>
            <w:tcW w:w="3528" w:type="dxa"/>
            <w:tcBorders>
              <w:top w:val="nil"/>
              <w:bottom w:val="nil"/>
            </w:tcBorders>
          </w:tcPr>
          <w:p w14:paraId="67873E78" w14:textId="77777777" w:rsidR="009B1CF2" w:rsidRPr="0098560F" w:rsidRDefault="009B1CF2" w:rsidP="009B1CF2">
            <w:pPr>
              <w:ind w:left="284"/>
              <w:rPr>
                <w:rFonts w:eastAsia="Times New Roman"/>
                <w:sz w:val="12"/>
                <w:szCs w:val="12"/>
                <w:lang w:val="es-ES"/>
              </w:rPr>
            </w:pPr>
            <w:r w:rsidRPr="0098560F">
              <w:rPr>
                <w:rFonts w:eastAsia="Times New Roman"/>
                <w:sz w:val="12"/>
                <w:szCs w:val="12"/>
                <w:lang w:val="es-ES"/>
              </w:rPr>
              <w:t>Nigeria</w:t>
            </w:r>
          </w:p>
        </w:tc>
        <w:tc>
          <w:tcPr>
            <w:tcW w:w="540" w:type="dxa"/>
            <w:tcBorders>
              <w:top w:val="nil"/>
              <w:bottom w:val="nil"/>
            </w:tcBorders>
          </w:tcPr>
          <w:p w14:paraId="4A74700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5.4</w:t>
            </w:r>
          </w:p>
        </w:tc>
        <w:tc>
          <w:tcPr>
            <w:tcW w:w="540" w:type="dxa"/>
            <w:tcBorders>
              <w:top w:val="nil"/>
              <w:bottom w:val="nil"/>
            </w:tcBorders>
          </w:tcPr>
          <w:p w14:paraId="6FFAFF6E"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6.3</w:t>
            </w:r>
          </w:p>
        </w:tc>
        <w:tc>
          <w:tcPr>
            <w:tcW w:w="540" w:type="dxa"/>
            <w:tcBorders>
              <w:top w:val="nil"/>
              <w:bottom w:val="nil"/>
            </w:tcBorders>
          </w:tcPr>
          <w:p w14:paraId="0B2609F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4.8</w:t>
            </w:r>
          </w:p>
        </w:tc>
        <w:tc>
          <w:tcPr>
            <w:tcW w:w="540" w:type="dxa"/>
            <w:tcBorders>
              <w:top w:val="nil"/>
              <w:bottom w:val="nil"/>
            </w:tcBorders>
          </w:tcPr>
          <w:p w14:paraId="4D58E48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5.0</w:t>
            </w:r>
          </w:p>
        </w:tc>
        <w:tc>
          <w:tcPr>
            <w:tcW w:w="540" w:type="dxa"/>
            <w:tcBorders>
              <w:top w:val="nil"/>
              <w:bottom w:val="nil"/>
            </w:tcBorders>
          </w:tcPr>
          <w:p w14:paraId="6643F7C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5885FE09"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276F909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7E09B05C"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54BFC7A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0EB1B609" w14:textId="77777777" w:rsidTr="0098560F">
        <w:trPr>
          <w:jc w:val="center"/>
        </w:trPr>
        <w:tc>
          <w:tcPr>
            <w:tcW w:w="3528" w:type="dxa"/>
            <w:tcBorders>
              <w:top w:val="nil"/>
              <w:bottom w:val="nil"/>
            </w:tcBorders>
          </w:tcPr>
          <w:p w14:paraId="183D84CC" w14:textId="77777777" w:rsidR="009B1CF2" w:rsidRPr="0098560F" w:rsidRDefault="009B1CF2" w:rsidP="009B1CF2">
            <w:pPr>
              <w:ind w:left="284"/>
              <w:rPr>
                <w:rFonts w:eastAsia="Times New Roman"/>
                <w:sz w:val="12"/>
                <w:szCs w:val="12"/>
                <w:lang w:val="es-ES"/>
              </w:rPr>
            </w:pPr>
            <w:r w:rsidRPr="0098560F">
              <w:rPr>
                <w:rFonts w:eastAsia="Times New Roman"/>
                <w:sz w:val="12"/>
                <w:szCs w:val="12"/>
                <w:lang w:val="es-ES"/>
              </w:rPr>
              <w:t>Sudáfrica</w:t>
            </w:r>
          </w:p>
        </w:tc>
        <w:tc>
          <w:tcPr>
            <w:tcW w:w="540" w:type="dxa"/>
            <w:tcBorders>
              <w:top w:val="nil"/>
              <w:bottom w:val="nil"/>
            </w:tcBorders>
          </w:tcPr>
          <w:p w14:paraId="0B1C456D"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2.2</w:t>
            </w:r>
          </w:p>
        </w:tc>
        <w:tc>
          <w:tcPr>
            <w:tcW w:w="540" w:type="dxa"/>
            <w:tcBorders>
              <w:top w:val="nil"/>
              <w:bottom w:val="nil"/>
            </w:tcBorders>
          </w:tcPr>
          <w:p w14:paraId="56A02CB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1.5</w:t>
            </w:r>
          </w:p>
        </w:tc>
        <w:tc>
          <w:tcPr>
            <w:tcW w:w="540" w:type="dxa"/>
            <w:tcBorders>
              <w:top w:val="nil"/>
              <w:bottom w:val="nil"/>
            </w:tcBorders>
          </w:tcPr>
          <w:p w14:paraId="59E0DC5F"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2.0</w:t>
            </w:r>
          </w:p>
        </w:tc>
        <w:tc>
          <w:tcPr>
            <w:tcW w:w="540" w:type="dxa"/>
            <w:tcBorders>
              <w:top w:val="nil"/>
              <w:bottom w:val="nil"/>
            </w:tcBorders>
          </w:tcPr>
          <w:p w14:paraId="22730B9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2.1</w:t>
            </w:r>
          </w:p>
        </w:tc>
        <w:tc>
          <w:tcPr>
            <w:tcW w:w="540" w:type="dxa"/>
            <w:tcBorders>
              <w:top w:val="nil"/>
              <w:bottom w:val="nil"/>
            </w:tcBorders>
          </w:tcPr>
          <w:p w14:paraId="328F987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nil"/>
            </w:tcBorders>
          </w:tcPr>
          <w:p w14:paraId="49D8B817"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-0.4</w:t>
            </w:r>
          </w:p>
        </w:tc>
        <w:tc>
          <w:tcPr>
            <w:tcW w:w="588" w:type="dxa"/>
            <w:tcBorders>
              <w:top w:val="nil"/>
              <w:bottom w:val="nil"/>
            </w:tcBorders>
          </w:tcPr>
          <w:p w14:paraId="1A1B204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1.3</w:t>
            </w:r>
          </w:p>
        </w:tc>
        <w:tc>
          <w:tcPr>
            <w:tcW w:w="717" w:type="dxa"/>
            <w:tcBorders>
              <w:top w:val="nil"/>
              <w:bottom w:val="nil"/>
            </w:tcBorders>
          </w:tcPr>
          <w:p w14:paraId="1DB2EA90"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1.6</w:t>
            </w:r>
          </w:p>
        </w:tc>
        <w:tc>
          <w:tcPr>
            <w:tcW w:w="642" w:type="dxa"/>
            <w:tcBorders>
              <w:top w:val="nil"/>
              <w:bottom w:val="nil"/>
            </w:tcBorders>
          </w:tcPr>
          <w:p w14:paraId="73DD5FD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2.4</w:t>
            </w:r>
          </w:p>
        </w:tc>
      </w:tr>
      <w:tr w:rsidR="009B1CF2" w:rsidRPr="009B1CF2" w14:paraId="0DB32032" w14:textId="77777777" w:rsidTr="0098560F">
        <w:trPr>
          <w:jc w:val="center"/>
        </w:trPr>
        <w:tc>
          <w:tcPr>
            <w:tcW w:w="3528" w:type="dxa"/>
            <w:tcBorders>
              <w:top w:val="nil"/>
              <w:bottom w:val="nil"/>
            </w:tcBorders>
          </w:tcPr>
          <w:p w14:paraId="52A13A54"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América Latina y el Caribe</w:t>
            </w:r>
          </w:p>
        </w:tc>
        <w:tc>
          <w:tcPr>
            <w:tcW w:w="540" w:type="dxa"/>
            <w:tcBorders>
              <w:top w:val="nil"/>
              <w:bottom w:val="nil"/>
            </w:tcBorders>
          </w:tcPr>
          <w:p w14:paraId="0E47982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2.9</w:t>
            </w:r>
          </w:p>
        </w:tc>
        <w:tc>
          <w:tcPr>
            <w:tcW w:w="540" w:type="dxa"/>
            <w:tcBorders>
              <w:top w:val="nil"/>
              <w:bottom w:val="nil"/>
            </w:tcBorders>
          </w:tcPr>
          <w:p w14:paraId="6BA5291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1.3</w:t>
            </w:r>
          </w:p>
        </w:tc>
        <w:tc>
          <w:tcPr>
            <w:tcW w:w="540" w:type="dxa"/>
            <w:tcBorders>
              <w:top w:val="nil"/>
              <w:bottom w:val="nil"/>
            </w:tcBorders>
          </w:tcPr>
          <w:p w14:paraId="3A26738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0.9</w:t>
            </w:r>
          </w:p>
        </w:tc>
        <w:tc>
          <w:tcPr>
            <w:tcW w:w="540" w:type="dxa"/>
            <w:tcBorders>
              <w:top w:val="nil"/>
              <w:bottom w:val="nil"/>
            </w:tcBorders>
          </w:tcPr>
          <w:p w14:paraId="702A0A6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c>
          <w:tcPr>
            <w:tcW w:w="540" w:type="dxa"/>
            <w:tcBorders>
              <w:top w:val="nil"/>
              <w:bottom w:val="nil"/>
            </w:tcBorders>
          </w:tcPr>
          <w:p w14:paraId="17DD285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1A62852D"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-0.3</w:t>
            </w:r>
          </w:p>
        </w:tc>
        <w:tc>
          <w:tcPr>
            <w:tcW w:w="588" w:type="dxa"/>
            <w:tcBorders>
              <w:top w:val="nil"/>
              <w:bottom w:val="nil"/>
            </w:tcBorders>
          </w:tcPr>
          <w:p w14:paraId="509BDFD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1.1</w:t>
            </w:r>
          </w:p>
        </w:tc>
        <w:tc>
          <w:tcPr>
            <w:tcW w:w="717" w:type="dxa"/>
            <w:tcBorders>
              <w:top w:val="nil"/>
              <w:bottom w:val="nil"/>
            </w:tcBorders>
          </w:tcPr>
          <w:p w14:paraId="06E65847"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0.5</w:t>
            </w:r>
          </w:p>
        </w:tc>
        <w:tc>
          <w:tcPr>
            <w:tcW w:w="642" w:type="dxa"/>
            <w:tcBorders>
              <w:top w:val="nil"/>
              <w:bottom w:val="nil"/>
            </w:tcBorders>
          </w:tcPr>
          <w:p w14:paraId="4DD55F3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2.4</w:t>
            </w:r>
          </w:p>
        </w:tc>
      </w:tr>
      <w:tr w:rsidR="009B1CF2" w:rsidRPr="009B1CF2" w14:paraId="18B61271" w14:textId="77777777" w:rsidTr="0098560F">
        <w:trPr>
          <w:jc w:val="center"/>
        </w:trPr>
        <w:tc>
          <w:tcPr>
            <w:tcW w:w="3528" w:type="dxa"/>
            <w:tcBorders>
              <w:top w:val="nil"/>
              <w:bottom w:val="nil"/>
            </w:tcBorders>
          </w:tcPr>
          <w:p w14:paraId="2BE6D5C3"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Brasil</w:t>
            </w:r>
          </w:p>
        </w:tc>
        <w:tc>
          <w:tcPr>
            <w:tcW w:w="540" w:type="dxa"/>
            <w:tcBorders>
              <w:top w:val="nil"/>
              <w:bottom w:val="nil"/>
            </w:tcBorders>
          </w:tcPr>
          <w:p w14:paraId="51A36B2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2.7</w:t>
            </w:r>
          </w:p>
        </w:tc>
        <w:tc>
          <w:tcPr>
            <w:tcW w:w="540" w:type="dxa"/>
            <w:tcBorders>
              <w:top w:val="nil"/>
              <w:bottom w:val="nil"/>
            </w:tcBorders>
          </w:tcPr>
          <w:p w14:paraId="0551FAA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nil"/>
            </w:tcBorders>
          </w:tcPr>
          <w:p w14:paraId="3508AEF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-1.0</w:t>
            </w:r>
          </w:p>
        </w:tc>
        <w:tc>
          <w:tcPr>
            <w:tcW w:w="540" w:type="dxa"/>
            <w:tcBorders>
              <w:top w:val="nil"/>
              <w:bottom w:val="nil"/>
            </w:tcBorders>
          </w:tcPr>
          <w:p w14:paraId="292CB6E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1.0</w:t>
            </w:r>
          </w:p>
        </w:tc>
        <w:tc>
          <w:tcPr>
            <w:tcW w:w="540" w:type="dxa"/>
            <w:tcBorders>
              <w:top w:val="nil"/>
              <w:bottom w:val="nil"/>
            </w:tcBorders>
          </w:tcPr>
          <w:p w14:paraId="3370D9B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-1.3</w:t>
            </w:r>
          </w:p>
        </w:tc>
        <w:tc>
          <w:tcPr>
            <w:tcW w:w="540" w:type="dxa"/>
            <w:tcBorders>
              <w:top w:val="nil"/>
              <w:bottom w:val="nil"/>
            </w:tcBorders>
          </w:tcPr>
          <w:p w14:paraId="0B5C09C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-0.5</w:t>
            </w:r>
          </w:p>
        </w:tc>
        <w:tc>
          <w:tcPr>
            <w:tcW w:w="588" w:type="dxa"/>
            <w:tcBorders>
              <w:top w:val="nil"/>
              <w:bottom w:val="nil"/>
            </w:tcBorders>
          </w:tcPr>
          <w:p w14:paraId="64EF22A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717" w:type="dxa"/>
            <w:tcBorders>
              <w:top w:val="nil"/>
              <w:bottom w:val="nil"/>
            </w:tcBorders>
          </w:tcPr>
          <w:p w14:paraId="45105B7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-1.4</w:t>
            </w:r>
          </w:p>
        </w:tc>
        <w:tc>
          <w:tcPr>
            <w:tcW w:w="642" w:type="dxa"/>
            <w:tcBorders>
              <w:top w:val="nil"/>
              <w:bottom w:val="nil"/>
            </w:tcBorders>
          </w:tcPr>
          <w:p w14:paraId="1F90FFE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2.3</w:t>
            </w:r>
          </w:p>
        </w:tc>
      </w:tr>
      <w:tr w:rsidR="009B1CF2" w:rsidRPr="009B1CF2" w14:paraId="56EEF52C" w14:textId="77777777" w:rsidTr="0098560F">
        <w:trPr>
          <w:jc w:val="center"/>
        </w:trPr>
        <w:tc>
          <w:tcPr>
            <w:tcW w:w="3528" w:type="dxa"/>
            <w:tcBorders>
              <w:top w:val="nil"/>
              <w:bottom w:val="nil"/>
            </w:tcBorders>
          </w:tcPr>
          <w:p w14:paraId="1BEE4482"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México</w:t>
            </w:r>
          </w:p>
        </w:tc>
        <w:tc>
          <w:tcPr>
            <w:tcW w:w="540" w:type="dxa"/>
            <w:tcBorders>
              <w:top w:val="nil"/>
              <w:bottom w:val="nil"/>
            </w:tcBorders>
          </w:tcPr>
          <w:p w14:paraId="1EC6DF5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1.4</w:t>
            </w:r>
          </w:p>
        </w:tc>
        <w:tc>
          <w:tcPr>
            <w:tcW w:w="540" w:type="dxa"/>
            <w:tcBorders>
              <w:top w:val="nil"/>
              <w:bottom w:val="nil"/>
            </w:tcBorders>
          </w:tcPr>
          <w:p w14:paraId="4E728AE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2.1</w:t>
            </w:r>
          </w:p>
        </w:tc>
        <w:tc>
          <w:tcPr>
            <w:tcW w:w="540" w:type="dxa"/>
            <w:tcBorders>
              <w:top w:val="nil"/>
              <w:bottom w:val="nil"/>
            </w:tcBorders>
          </w:tcPr>
          <w:p w14:paraId="1B46D320"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3.0</w:t>
            </w:r>
          </w:p>
        </w:tc>
        <w:tc>
          <w:tcPr>
            <w:tcW w:w="540" w:type="dxa"/>
            <w:tcBorders>
              <w:top w:val="nil"/>
              <w:bottom w:val="nil"/>
            </w:tcBorders>
          </w:tcPr>
          <w:p w14:paraId="071E2FF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3.3</w:t>
            </w:r>
          </w:p>
        </w:tc>
        <w:tc>
          <w:tcPr>
            <w:tcW w:w="540" w:type="dxa"/>
            <w:tcBorders>
              <w:top w:val="nil"/>
              <w:bottom w:val="nil"/>
            </w:tcBorders>
          </w:tcPr>
          <w:p w14:paraId="2C23F40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7A5642D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5A4FA4D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2.6</w:t>
            </w:r>
          </w:p>
        </w:tc>
        <w:tc>
          <w:tcPr>
            <w:tcW w:w="717" w:type="dxa"/>
            <w:tcBorders>
              <w:top w:val="nil"/>
              <w:bottom w:val="nil"/>
            </w:tcBorders>
          </w:tcPr>
          <w:p w14:paraId="3C74ECA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3.3</w:t>
            </w:r>
          </w:p>
        </w:tc>
        <w:tc>
          <w:tcPr>
            <w:tcW w:w="642" w:type="dxa"/>
            <w:tcBorders>
              <w:top w:val="nil"/>
              <w:bottom w:val="nil"/>
            </w:tcBorders>
          </w:tcPr>
          <w:p w14:paraId="6CA6D2B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3.2</w:t>
            </w:r>
          </w:p>
        </w:tc>
      </w:tr>
      <w:tr w:rsidR="009B1CF2" w:rsidRPr="009B1CF2" w14:paraId="42FD8B90" w14:textId="77777777" w:rsidTr="0098560F">
        <w:trPr>
          <w:jc w:val="center"/>
        </w:trPr>
        <w:tc>
          <w:tcPr>
            <w:tcW w:w="3528" w:type="dxa"/>
            <w:tcBorders>
              <w:top w:val="nil"/>
              <w:bottom w:val="nil"/>
            </w:tcBorders>
          </w:tcPr>
          <w:p w14:paraId="28407D77"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Comunidad de Estados Independientes</w:t>
            </w:r>
          </w:p>
        </w:tc>
        <w:tc>
          <w:tcPr>
            <w:tcW w:w="540" w:type="dxa"/>
            <w:tcBorders>
              <w:top w:val="nil"/>
              <w:bottom w:val="nil"/>
            </w:tcBorders>
          </w:tcPr>
          <w:p w14:paraId="4D1A07F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2.2</w:t>
            </w:r>
          </w:p>
        </w:tc>
        <w:tc>
          <w:tcPr>
            <w:tcW w:w="540" w:type="dxa"/>
            <w:tcBorders>
              <w:top w:val="nil"/>
              <w:bottom w:val="nil"/>
            </w:tcBorders>
          </w:tcPr>
          <w:p w14:paraId="7AB0380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1.0</w:t>
            </w:r>
          </w:p>
        </w:tc>
        <w:tc>
          <w:tcPr>
            <w:tcW w:w="540" w:type="dxa"/>
            <w:tcBorders>
              <w:top w:val="nil"/>
              <w:bottom w:val="nil"/>
            </w:tcBorders>
          </w:tcPr>
          <w:p w14:paraId="5561CE8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-2.6</w:t>
            </w:r>
          </w:p>
        </w:tc>
        <w:tc>
          <w:tcPr>
            <w:tcW w:w="540" w:type="dxa"/>
            <w:tcBorders>
              <w:top w:val="nil"/>
              <w:bottom w:val="nil"/>
            </w:tcBorders>
          </w:tcPr>
          <w:p w14:paraId="243C688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3C8212C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-1.2</w:t>
            </w:r>
          </w:p>
        </w:tc>
        <w:tc>
          <w:tcPr>
            <w:tcW w:w="540" w:type="dxa"/>
            <w:tcBorders>
              <w:top w:val="nil"/>
              <w:bottom w:val="nil"/>
            </w:tcBorders>
          </w:tcPr>
          <w:p w14:paraId="65181890"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-0.5</w:t>
            </w:r>
          </w:p>
        </w:tc>
        <w:tc>
          <w:tcPr>
            <w:tcW w:w="588" w:type="dxa"/>
            <w:tcBorders>
              <w:top w:val="nil"/>
              <w:bottom w:val="nil"/>
            </w:tcBorders>
          </w:tcPr>
          <w:p w14:paraId="6873413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-1.2</w:t>
            </w:r>
          </w:p>
        </w:tc>
        <w:tc>
          <w:tcPr>
            <w:tcW w:w="717" w:type="dxa"/>
            <w:tcBorders>
              <w:top w:val="nil"/>
              <w:bottom w:val="nil"/>
            </w:tcBorders>
          </w:tcPr>
          <w:p w14:paraId="28992928"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-4.9</w:t>
            </w:r>
          </w:p>
        </w:tc>
        <w:tc>
          <w:tcPr>
            <w:tcW w:w="642" w:type="dxa"/>
            <w:tcBorders>
              <w:top w:val="nil"/>
              <w:bottom w:val="nil"/>
            </w:tcBorders>
          </w:tcPr>
          <w:p w14:paraId="16CC9F0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1.7</w:t>
            </w:r>
          </w:p>
        </w:tc>
      </w:tr>
      <w:tr w:rsidR="009B1CF2" w:rsidRPr="009B1CF2" w14:paraId="18CC883F" w14:textId="77777777" w:rsidTr="0098560F">
        <w:trPr>
          <w:jc w:val="center"/>
        </w:trPr>
        <w:tc>
          <w:tcPr>
            <w:tcW w:w="3528" w:type="dxa"/>
            <w:tcBorders>
              <w:top w:val="nil"/>
              <w:bottom w:val="nil"/>
            </w:tcBorders>
          </w:tcPr>
          <w:p w14:paraId="13DFD9C0"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Rusia</w:t>
            </w:r>
          </w:p>
        </w:tc>
        <w:tc>
          <w:tcPr>
            <w:tcW w:w="540" w:type="dxa"/>
            <w:tcBorders>
              <w:top w:val="nil"/>
              <w:bottom w:val="nil"/>
            </w:tcBorders>
          </w:tcPr>
          <w:p w14:paraId="0DB14457"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1.3</w:t>
            </w:r>
          </w:p>
        </w:tc>
        <w:tc>
          <w:tcPr>
            <w:tcW w:w="540" w:type="dxa"/>
            <w:tcBorders>
              <w:top w:val="nil"/>
              <w:bottom w:val="nil"/>
            </w:tcBorders>
          </w:tcPr>
          <w:p w14:paraId="649769D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0.6</w:t>
            </w:r>
          </w:p>
        </w:tc>
        <w:tc>
          <w:tcPr>
            <w:tcW w:w="540" w:type="dxa"/>
            <w:tcBorders>
              <w:top w:val="nil"/>
              <w:bottom w:val="nil"/>
            </w:tcBorders>
          </w:tcPr>
          <w:p w14:paraId="1FC330D9"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-3.8</w:t>
            </w:r>
          </w:p>
        </w:tc>
        <w:tc>
          <w:tcPr>
            <w:tcW w:w="540" w:type="dxa"/>
            <w:tcBorders>
              <w:top w:val="nil"/>
              <w:bottom w:val="nil"/>
            </w:tcBorders>
          </w:tcPr>
          <w:p w14:paraId="1E35B7F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-1.1</w:t>
            </w:r>
          </w:p>
        </w:tc>
        <w:tc>
          <w:tcPr>
            <w:tcW w:w="540" w:type="dxa"/>
            <w:tcBorders>
              <w:top w:val="nil"/>
              <w:bottom w:val="nil"/>
            </w:tcBorders>
          </w:tcPr>
          <w:p w14:paraId="0DDF755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-0.8</w:t>
            </w:r>
          </w:p>
        </w:tc>
        <w:tc>
          <w:tcPr>
            <w:tcW w:w="540" w:type="dxa"/>
            <w:tcBorders>
              <w:top w:val="nil"/>
              <w:bottom w:val="nil"/>
            </w:tcBorders>
          </w:tcPr>
          <w:p w14:paraId="50A5790D"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7721B78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c>
          <w:tcPr>
            <w:tcW w:w="717" w:type="dxa"/>
            <w:tcBorders>
              <w:top w:val="nil"/>
              <w:bottom w:val="nil"/>
            </w:tcBorders>
          </w:tcPr>
          <w:p w14:paraId="638A5450"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-6.4</w:t>
            </w:r>
          </w:p>
        </w:tc>
        <w:tc>
          <w:tcPr>
            <w:tcW w:w="642" w:type="dxa"/>
            <w:tcBorders>
              <w:top w:val="nil"/>
              <w:bottom w:val="nil"/>
            </w:tcBorders>
          </w:tcPr>
          <w:p w14:paraId="4CD1699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r>
      <w:tr w:rsidR="009B1CF2" w:rsidRPr="009B1CF2" w14:paraId="65CD31A4" w14:textId="77777777" w:rsidTr="0098560F">
        <w:trPr>
          <w:jc w:val="center"/>
        </w:trPr>
        <w:tc>
          <w:tcPr>
            <w:tcW w:w="3528" w:type="dxa"/>
            <w:tcBorders>
              <w:top w:val="nil"/>
              <w:bottom w:val="nil"/>
            </w:tcBorders>
          </w:tcPr>
          <w:p w14:paraId="799389D0"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Excluido Rusia</w:t>
            </w:r>
          </w:p>
        </w:tc>
        <w:tc>
          <w:tcPr>
            <w:tcW w:w="540" w:type="dxa"/>
            <w:tcBorders>
              <w:top w:val="nil"/>
              <w:bottom w:val="nil"/>
            </w:tcBorders>
          </w:tcPr>
          <w:p w14:paraId="2C1AE1D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4.2</w:t>
            </w:r>
          </w:p>
        </w:tc>
        <w:tc>
          <w:tcPr>
            <w:tcW w:w="540" w:type="dxa"/>
            <w:tcBorders>
              <w:top w:val="nil"/>
              <w:bottom w:val="nil"/>
            </w:tcBorders>
          </w:tcPr>
          <w:p w14:paraId="1E575A9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1.9</w:t>
            </w:r>
          </w:p>
        </w:tc>
        <w:tc>
          <w:tcPr>
            <w:tcW w:w="540" w:type="dxa"/>
            <w:tcBorders>
              <w:top w:val="nil"/>
              <w:bottom w:val="nil"/>
            </w:tcBorders>
          </w:tcPr>
          <w:p w14:paraId="183BFA8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5006B71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3.2</w:t>
            </w:r>
          </w:p>
        </w:tc>
        <w:tc>
          <w:tcPr>
            <w:tcW w:w="540" w:type="dxa"/>
            <w:tcBorders>
              <w:top w:val="nil"/>
              <w:bottom w:val="nil"/>
            </w:tcBorders>
          </w:tcPr>
          <w:p w14:paraId="2CAA504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c>
          <w:tcPr>
            <w:tcW w:w="540" w:type="dxa"/>
            <w:tcBorders>
              <w:top w:val="nil"/>
              <w:bottom w:val="nil"/>
            </w:tcBorders>
          </w:tcPr>
          <w:p w14:paraId="1CD6C81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-1.2</w:t>
            </w:r>
          </w:p>
        </w:tc>
        <w:tc>
          <w:tcPr>
            <w:tcW w:w="588" w:type="dxa"/>
            <w:tcBorders>
              <w:top w:val="nil"/>
              <w:bottom w:val="nil"/>
            </w:tcBorders>
          </w:tcPr>
          <w:p w14:paraId="76C66CA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3542FDCA"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660EEDF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69C802E0" w14:textId="77777777" w:rsidTr="0098560F">
        <w:trPr>
          <w:jc w:val="center"/>
        </w:trPr>
        <w:tc>
          <w:tcPr>
            <w:tcW w:w="3528" w:type="dxa"/>
            <w:tcBorders>
              <w:top w:val="nil"/>
              <w:bottom w:val="nil"/>
            </w:tcBorders>
          </w:tcPr>
          <w:p w14:paraId="0BF650E6"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Economías emergentes y en desarrollo de Asia</w:t>
            </w:r>
          </w:p>
        </w:tc>
        <w:tc>
          <w:tcPr>
            <w:tcW w:w="540" w:type="dxa"/>
            <w:tcBorders>
              <w:top w:val="nil"/>
              <w:bottom w:val="nil"/>
            </w:tcBorders>
          </w:tcPr>
          <w:p w14:paraId="038A45C0"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7.0</w:t>
            </w:r>
          </w:p>
        </w:tc>
        <w:tc>
          <w:tcPr>
            <w:tcW w:w="540" w:type="dxa"/>
            <w:tcBorders>
              <w:top w:val="nil"/>
              <w:bottom w:val="nil"/>
            </w:tcBorders>
          </w:tcPr>
          <w:p w14:paraId="6AA2811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6.8</w:t>
            </w:r>
          </w:p>
        </w:tc>
        <w:tc>
          <w:tcPr>
            <w:tcW w:w="540" w:type="dxa"/>
            <w:tcBorders>
              <w:top w:val="nil"/>
              <w:bottom w:val="nil"/>
            </w:tcBorders>
          </w:tcPr>
          <w:p w14:paraId="773EF48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6.6</w:t>
            </w:r>
          </w:p>
        </w:tc>
        <w:tc>
          <w:tcPr>
            <w:tcW w:w="540" w:type="dxa"/>
            <w:tcBorders>
              <w:top w:val="nil"/>
              <w:bottom w:val="nil"/>
            </w:tcBorders>
          </w:tcPr>
          <w:p w14:paraId="45376FC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6.4</w:t>
            </w:r>
          </w:p>
        </w:tc>
        <w:tc>
          <w:tcPr>
            <w:tcW w:w="540" w:type="dxa"/>
            <w:tcBorders>
              <w:top w:val="nil"/>
              <w:bottom w:val="nil"/>
            </w:tcBorders>
          </w:tcPr>
          <w:p w14:paraId="7AC7061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4040BAE7"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88" w:type="dxa"/>
            <w:tcBorders>
              <w:top w:val="nil"/>
              <w:bottom w:val="nil"/>
            </w:tcBorders>
          </w:tcPr>
          <w:p w14:paraId="0E4F0C2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6.7</w:t>
            </w:r>
          </w:p>
        </w:tc>
        <w:tc>
          <w:tcPr>
            <w:tcW w:w="717" w:type="dxa"/>
            <w:tcBorders>
              <w:top w:val="nil"/>
              <w:bottom w:val="nil"/>
            </w:tcBorders>
          </w:tcPr>
          <w:p w14:paraId="09922503"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6.8</w:t>
            </w:r>
          </w:p>
        </w:tc>
        <w:tc>
          <w:tcPr>
            <w:tcW w:w="642" w:type="dxa"/>
            <w:tcBorders>
              <w:top w:val="nil"/>
              <w:bottom w:val="nil"/>
            </w:tcBorders>
          </w:tcPr>
          <w:p w14:paraId="46A2ACB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6.4</w:t>
            </w:r>
          </w:p>
        </w:tc>
      </w:tr>
      <w:tr w:rsidR="009B1CF2" w:rsidRPr="009B1CF2" w14:paraId="53E18617" w14:textId="77777777" w:rsidTr="0098560F">
        <w:trPr>
          <w:jc w:val="center"/>
        </w:trPr>
        <w:tc>
          <w:tcPr>
            <w:tcW w:w="3528" w:type="dxa"/>
            <w:tcBorders>
              <w:top w:val="nil"/>
              <w:bottom w:val="nil"/>
            </w:tcBorders>
          </w:tcPr>
          <w:p w14:paraId="39233FE4"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China</w:t>
            </w:r>
          </w:p>
        </w:tc>
        <w:tc>
          <w:tcPr>
            <w:tcW w:w="540" w:type="dxa"/>
            <w:tcBorders>
              <w:top w:val="nil"/>
              <w:bottom w:val="nil"/>
            </w:tcBorders>
          </w:tcPr>
          <w:p w14:paraId="1856D29D"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7.8</w:t>
            </w:r>
          </w:p>
        </w:tc>
        <w:tc>
          <w:tcPr>
            <w:tcW w:w="540" w:type="dxa"/>
            <w:tcBorders>
              <w:top w:val="nil"/>
              <w:bottom w:val="nil"/>
            </w:tcBorders>
          </w:tcPr>
          <w:p w14:paraId="55DAA12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7.4</w:t>
            </w:r>
          </w:p>
        </w:tc>
        <w:tc>
          <w:tcPr>
            <w:tcW w:w="540" w:type="dxa"/>
            <w:tcBorders>
              <w:top w:val="nil"/>
              <w:bottom w:val="nil"/>
            </w:tcBorders>
          </w:tcPr>
          <w:p w14:paraId="3F6475DC"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6.8</w:t>
            </w:r>
          </w:p>
        </w:tc>
        <w:tc>
          <w:tcPr>
            <w:tcW w:w="540" w:type="dxa"/>
            <w:tcBorders>
              <w:top w:val="nil"/>
              <w:bottom w:val="nil"/>
            </w:tcBorders>
          </w:tcPr>
          <w:p w14:paraId="0C0A50F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6.3</w:t>
            </w:r>
          </w:p>
        </w:tc>
        <w:tc>
          <w:tcPr>
            <w:tcW w:w="540" w:type="dxa"/>
            <w:tcBorders>
              <w:top w:val="nil"/>
              <w:bottom w:val="nil"/>
            </w:tcBorders>
          </w:tcPr>
          <w:p w14:paraId="02D0D79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20EC919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0.0</w:t>
            </w:r>
          </w:p>
        </w:tc>
        <w:tc>
          <w:tcPr>
            <w:tcW w:w="588" w:type="dxa"/>
            <w:tcBorders>
              <w:top w:val="nil"/>
              <w:bottom w:val="nil"/>
            </w:tcBorders>
          </w:tcPr>
          <w:p w14:paraId="2E9AAC8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7.2</w:t>
            </w:r>
          </w:p>
        </w:tc>
        <w:tc>
          <w:tcPr>
            <w:tcW w:w="717" w:type="dxa"/>
            <w:tcBorders>
              <w:top w:val="nil"/>
              <w:bottom w:val="nil"/>
            </w:tcBorders>
          </w:tcPr>
          <w:p w14:paraId="7EDA3B0A"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6.8</w:t>
            </w:r>
          </w:p>
        </w:tc>
        <w:tc>
          <w:tcPr>
            <w:tcW w:w="642" w:type="dxa"/>
            <w:tcBorders>
              <w:top w:val="nil"/>
              <w:bottom w:val="nil"/>
            </w:tcBorders>
          </w:tcPr>
          <w:p w14:paraId="1517FA1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6.3</w:t>
            </w:r>
          </w:p>
        </w:tc>
      </w:tr>
      <w:tr w:rsidR="009B1CF2" w:rsidRPr="009B1CF2" w14:paraId="4B517486" w14:textId="77777777" w:rsidTr="0098560F">
        <w:trPr>
          <w:jc w:val="center"/>
        </w:trPr>
        <w:tc>
          <w:tcPr>
            <w:tcW w:w="3528" w:type="dxa"/>
            <w:tcBorders>
              <w:top w:val="nil"/>
              <w:bottom w:val="nil"/>
            </w:tcBorders>
          </w:tcPr>
          <w:p w14:paraId="0DE1FC5F"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India</w:t>
            </w:r>
            <w:r w:rsidRPr="0098560F">
              <w:rPr>
                <w:rFonts w:eastAsia="Times New Roman"/>
                <w:sz w:val="12"/>
                <w:szCs w:val="12"/>
                <w:u w:val="single"/>
                <w:vertAlign w:val="superscript"/>
                <w:lang w:val="es-ES"/>
              </w:rPr>
              <w:t>6</w:t>
            </w:r>
            <w:r w:rsidRPr="0098560F">
              <w:rPr>
                <w:rFonts w:eastAsia="Times New Roman"/>
                <w:sz w:val="12"/>
                <w:szCs w:val="12"/>
                <w:vertAlign w:val="superscript"/>
                <w:lang w:val="es-ES"/>
              </w:rPr>
              <w:t>/</w:t>
            </w:r>
          </w:p>
        </w:tc>
        <w:tc>
          <w:tcPr>
            <w:tcW w:w="540" w:type="dxa"/>
            <w:tcBorders>
              <w:top w:val="nil"/>
              <w:bottom w:val="nil"/>
            </w:tcBorders>
          </w:tcPr>
          <w:p w14:paraId="319B7E1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6.9</w:t>
            </w:r>
          </w:p>
        </w:tc>
        <w:tc>
          <w:tcPr>
            <w:tcW w:w="540" w:type="dxa"/>
            <w:tcBorders>
              <w:top w:val="nil"/>
              <w:bottom w:val="nil"/>
            </w:tcBorders>
          </w:tcPr>
          <w:p w14:paraId="3540E6F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7.2</w:t>
            </w:r>
          </w:p>
        </w:tc>
        <w:tc>
          <w:tcPr>
            <w:tcW w:w="540" w:type="dxa"/>
            <w:tcBorders>
              <w:top w:val="nil"/>
              <w:bottom w:val="nil"/>
            </w:tcBorders>
          </w:tcPr>
          <w:p w14:paraId="15E9447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7.5</w:t>
            </w:r>
          </w:p>
        </w:tc>
        <w:tc>
          <w:tcPr>
            <w:tcW w:w="540" w:type="dxa"/>
            <w:tcBorders>
              <w:top w:val="nil"/>
              <w:bottom w:val="nil"/>
            </w:tcBorders>
          </w:tcPr>
          <w:p w14:paraId="30F4153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7.5</w:t>
            </w:r>
          </w:p>
        </w:tc>
        <w:tc>
          <w:tcPr>
            <w:tcW w:w="540" w:type="dxa"/>
            <w:tcBorders>
              <w:top w:val="nil"/>
              <w:bottom w:val="nil"/>
            </w:tcBorders>
          </w:tcPr>
          <w:p w14:paraId="1EDEE19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1.2</w:t>
            </w:r>
          </w:p>
        </w:tc>
        <w:tc>
          <w:tcPr>
            <w:tcW w:w="540" w:type="dxa"/>
            <w:tcBorders>
              <w:top w:val="nil"/>
              <w:bottom w:val="nil"/>
            </w:tcBorders>
          </w:tcPr>
          <w:p w14:paraId="6780DB9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1.0</w:t>
            </w:r>
          </w:p>
        </w:tc>
        <w:tc>
          <w:tcPr>
            <w:tcW w:w="588" w:type="dxa"/>
            <w:tcBorders>
              <w:top w:val="nil"/>
              <w:bottom w:val="nil"/>
            </w:tcBorders>
          </w:tcPr>
          <w:p w14:paraId="5575B84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6.8</w:t>
            </w:r>
          </w:p>
        </w:tc>
        <w:tc>
          <w:tcPr>
            <w:tcW w:w="717" w:type="dxa"/>
            <w:tcBorders>
              <w:top w:val="nil"/>
              <w:bottom w:val="nil"/>
            </w:tcBorders>
          </w:tcPr>
          <w:p w14:paraId="202B560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7.9</w:t>
            </w:r>
          </w:p>
        </w:tc>
        <w:tc>
          <w:tcPr>
            <w:tcW w:w="642" w:type="dxa"/>
            <w:tcBorders>
              <w:top w:val="nil"/>
              <w:bottom w:val="nil"/>
            </w:tcBorders>
          </w:tcPr>
          <w:p w14:paraId="398F58E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7.5</w:t>
            </w:r>
          </w:p>
        </w:tc>
      </w:tr>
      <w:tr w:rsidR="009B1CF2" w:rsidRPr="009B1CF2" w14:paraId="7B7635DE" w14:textId="77777777" w:rsidTr="0098560F">
        <w:trPr>
          <w:jc w:val="center"/>
        </w:trPr>
        <w:tc>
          <w:tcPr>
            <w:tcW w:w="3528" w:type="dxa"/>
            <w:tcBorders>
              <w:top w:val="nil"/>
              <w:bottom w:val="nil"/>
            </w:tcBorders>
          </w:tcPr>
          <w:p w14:paraId="0EF008C8"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ASEAN-5</w:t>
            </w:r>
            <w:r w:rsidRPr="0098560F">
              <w:rPr>
                <w:rFonts w:eastAsia="Times New Roman"/>
                <w:sz w:val="12"/>
                <w:szCs w:val="12"/>
                <w:u w:val="single"/>
                <w:vertAlign w:val="superscript"/>
                <w:lang w:val="es-ES"/>
              </w:rPr>
              <w:t>7</w:t>
            </w:r>
            <w:r w:rsidRPr="0098560F">
              <w:rPr>
                <w:rFonts w:eastAsia="Times New Roman"/>
                <w:sz w:val="12"/>
                <w:szCs w:val="12"/>
                <w:vertAlign w:val="superscript"/>
                <w:lang w:val="es-ES"/>
              </w:rPr>
              <w:t>/</w:t>
            </w:r>
          </w:p>
        </w:tc>
        <w:tc>
          <w:tcPr>
            <w:tcW w:w="540" w:type="dxa"/>
            <w:tcBorders>
              <w:top w:val="nil"/>
              <w:bottom w:val="nil"/>
            </w:tcBorders>
          </w:tcPr>
          <w:p w14:paraId="298D9ACD"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5.2</w:t>
            </w:r>
          </w:p>
        </w:tc>
        <w:tc>
          <w:tcPr>
            <w:tcW w:w="540" w:type="dxa"/>
            <w:tcBorders>
              <w:top w:val="nil"/>
              <w:bottom w:val="nil"/>
            </w:tcBorders>
          </w:tcPr>
          <w:p w14:paraId="3878828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4.6</w:t>
            </w:r>
          </w:p>
        </w:tc>
        <w:tc>
          <w:tcPr>
            <w:tcW w:w="540" w:type="dxa"/>
            <w:tcBorders>
              <w:top w:val="nil"/>
              <w:bottom w:val="nil"/>
            </w:tcBorders>
          </w:tcPr>
          <w:p w14:paraId="0233C5D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5.2</w:t>
            </w:r>
          </w:p>
        </w:tc>
        <w:tc>
          <w:tcPr>
            <w:tcW w:w="540" w:type="dxa"/>
            <w:tcBorders>
              <w:top w:val="nil"/>
              <w:bottom w:val="nil"/>
            </w:tcBorders>
          </w:tcPr>
          <w:p w14:paraId="1739925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5.3</w:t>
            </w:r>
          </w:p>
        </w:tc>
        <w:tc>
          <w:tcPr>
            <w:tcW w:w="540" w:type="dxa"/>
            <w:tcBorders>
              <w:top w:val="nil"/>
              <w:bottom w:val="nil"/>
            </w:tcBorders>
          </w:tcPr>
          <w:p w14:paraId="16AECC4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4AE06A2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0.0</w:t>
            </w:r>
          </w:p>
        </w:tc>
        <w:tc>
          <w:tcPr>
            <w:tcW w:w="588" w:type="dxa"/>
            <w:tcBorders>
              <w:top w:val="nil"/>
              <w:bottom w:val="nil"/>
            </w:tcBorders>
          </w:tcPr>
          <w:p w14:paraId="1E55659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5.0</w:t>
            </w:r>
          </w:p>
        </w:tc>
        <w:tc>
          <w:tcPr>
            <w:tcW w:w="717" w:type="dxa"/>
            <w:tcBorders>
              <w:top w:val="nil"/>
              <w:bottom w:val="nil"/>
            </w:tcBorders>
          </w:tcPr>
          <w:p w14:paraId="4D27ECC9"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5.0</w:t>
            </w:r>
          </w:p>
        </w:tc>
        <w:tc>
          <w:tcPr>
            <w:tcW w:w="642" w:type="dxa"/>
            <w:tcBorders>
              <w:top w:val="nil"/>
              <w:bottom w:val="nil"/>
            </w:tcBorders>
          </w:tcPr>
          <w:p w14:paraId="0FB3B01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5.5</w:t>
            </w:r>
          </w:p>
        </w:tc>
      </w:tr>
      <w:tr w:rsidR="009B1CF2" w:rsidRPr="009B1CF2" w14:paraId="362BAAF5" w14:textId="77777777" w:rsidTr="0098560F">
        <w:trPr>
          <w:jc w:val="center"/>
        </w:trPr>
        <w:tc>
          <w:tcPr>
            <w:tcW w:w="3528" w:type="dxa"/>
            <w:tcBorders>
              <w:top w:val="nil"/>
              <w:bottom w:val="nil"/>
            </w:tcBorders>
          </w:tcPr>
          <w:p w14:paraId="00FD809C"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Economías emergentes y en desarrollo de Europa</w:t>
            </w:r>
            <w:r w:rsidRPr="0098560F">
              <w:rPr>
                <w:rFonts w:eastAsia="Times New Roman"/>
                <w:sz w:val="12"/>
                <w:szCs w:val="12"/>
                <w:u w:val="single"/>
                <w:vertAlign w:val="superscript"/>
                <w:lang w:val="es-ES"/>
              </w:rPr>
              <w:t>8</w:t>
            </w:r>
            <w:r w:rsidRPr="0098560F">
              <w:rPr>
                <w:rFonts w:eastAsia="Times New Roman"/>
                <w:sz w:val="12"/>
                <w:szCs w:val="12"/>
                <w:vertAlign w:val="superscript"/>
                <w:lang w:val="es-ES"/>
              </w:rPr>
              <w:t>/</w:t>
            </w:r>
          </w:p>
        </w:tc>
        <w:tc>
          <w:tcPr>
            <w:tcW w:w="540" w:type="dxa"/>
            <w:tcBorders>
              <w:top w:val="nil"/>
              <w:bottom w:val="nil"/>
            </w:tcBorders>
          </w:tcPr>
          <w:p w14:paraId="183B96FF"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2.9</w:t>
            </w:r>
          </w:p>
        </w:tc>
        <w:tc>
          <w:tcPr>
            <w:tcW w:w="540" w:type="dxa"/>
            <w:tcBorders>
              <w:top w:val="nil"/>
              <w:bottom w:val="nil"/>
            </w:tcBorders>
          </w:tcPr>
          <w:p w14:paraId="411C829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2.8</w:t>
            </w:r>
          </w:p>
        </w:tc>
        <w:tc>
          <w:tcPr>
            <w:tcW w:w="540" w:type="dxa"/>
            <w:tcBorders>
              <w:top w:val="nil"/>
              <w:bottom w:val="nil"/>
            </w:tcBorders>
          </w:tcPr>
          <w:p w14:paraId="7DC9B00E"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2.9</w:t>
            </w:r>
          </w:p>
        </w:tc>
        <w:tc>
          <w:tcPr>
            <w:tcW w:w="540" w:type="dxa"/>
            <w:tcBorders>
              <w:top w:val="nil"/>
              <w:bottom w:val="nil"/>
            </w:tcBorders>
          </w:tcPr>
          <w:p w14:paraId="3D73F43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3.2</w:t>
            </w:r>
          </w:p>
        </w:tc>
        <w:tc>
          <w:tcPr>
            <w:tcW w:w="540" w:type="dxa"/>
            <w:tcBorders>
              <w:top w:val="nil"/>
              <w:bottom w:val="nil"/>
            </w:tcBorders>
          </w:tcPr>
          <w:p w14:paraId="246D720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15BCFE71"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0E7A04D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2.7</w:t>
            </w:r>
          </w:p>
        </w:tc>
        <w:tc>
          <w:tcPr>
            <w:tcW w:w="717" w:type="dxa"/>
            <w:tcBorders>
              <w:top w:val="nil"/>
              <w:bottom w:val="nil"/>
            </w:tcBorders>
          </w:tcPr>
          <w:p w14:paraId="7A18E3D4"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4.1</w:t>
            </w:r>
          </w:p>
        </w:tc>
        <w:tc>
          <w:tcPr>
            <w:tcW w:w="642" w:type="dxa"/>
            <w:tcBorders>
              <w:top w:val="nil"/>
              <w:bottom w:val="nil"/>
            </w:tcBorders>
          </w:tcPr>
          <w:p w14:paraId="27E9248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2.1</w:t>
            </w:r>
          </w:p>
        </w:tc>
      </w:tr>
      <w:tr w:rsidR="009B1CF2" w:rsidRPr="009B1CF2" w14:paraId="74ED1A10" w14:textId="77777777" w:rsidTr="0098560F">
        <w:trPr>
          <w:jc w:val="center"/>
        </w:trPr>
        <w:tc>
          <w:tcPr>
            <w:tcW w:w="3528" w:type="dxa"/>
            <w:tcBorders>
              <w:top w:val="nil"/>
              <w:bottom w:val="nil"/>
            </w:tcBorders>
          </w:tcPr>
          <w:p w14:paraId="444A5744"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Oriente Medio, Norte de África, Afganistán y Pakistán</w:t>
            </w:r>
          </w:p>
        </w:tc>
        <w:tc>
          <w:tcPr>
            <w:tcW w:w="540" w:type="dxa"/>
            <w:tcBorders>
              <w:top w:val="nil"/>
              <w:bottom w:val="nil"/>
            </w:tcBorders>
          </w:tcPr>
          <w:p w14:paraId="7302928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2.4</w:t>
            </w:r>
          </w:p>
        </w:tc>
        <w:tc>
          <w:tcPr>
            <w:tcW w:w="540" w:type="dxa"/>
            <w:tcBorders>
              <w:top w:val="nil"/>
              <w:bottom w:val="nil"/>
            </w:tcBorders>
          </w:tcPr>
          <w:p w14:paraId="44BB780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2.6</w:t>
            </w:r>
          </w:p>
        </w:tc>
        <w:tc>
          <w:tcPr>
            <w:tcW w:w="540" w:type="dxa"/>
            <w:tcBorders>
              <w:top w:val="nil"/>
              <w:bottom w:val="nil"/>
            </w:tcBorders>
          </w:tcPr>
          <w:p w14:paraId="66F815C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2.9</w:t>
            </w:r>
          </w:p>
        </w:tc>
        <w:tc>
          <w:tcPr>
            <w:tcW w:w="540" w:type="dxa"/>
            <w:tcBorders>
              <w:top w:val="nil"/>
              <w:bottom w:val="nil"/>
            </w:tcBorders>
          </w:tcPr>
          <w:p w14:paraId="56687BD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3.8</w:t>
            </w:r>
          </w:p>
        </w:tc>
        <w:tc>
          <w:tcPr>
            <w:tcW w:w="540" w:type="dxa"/>
            <w:tcBorders>
              <w:top w:val="nil"/>
              <w:bottom w:val="nil"/>
            </w:tcBorders>
          </w:tcPr>
          <w:p w14:paraId="0162B27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4264E87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34367B9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29301FCE"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3640F46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7415B176" w14:textId="77777777" w:rsidTr="0098560F">
        <w:trPr>
          <w:jc w:val="center"/>
        </w:trPr>
        <w:tc>
          <w:tcPr>
            <w:tcW w:w="3528" w:type="dxa"/>
            <w:tcBorders>
              <w:top w:val="nil"/>
              <w:bottom w:val="nil"/>
            </w:tcBorders>
          </w:tcPr>
          <w:p w14:paraId="470DC150" w14:textId="77777777" w:rsidR="009B1CF2" w:rsidRPr="0098560F" w:rsidRDefault="009B1CF2" w:rsidP="009B1CF2">
            <w:pPr>
              <w:ind w:left="340"/>
              <w:rPr>
                <w:rFonts w:eastAsia="Times New Roman"/>
                <w:sz w:val="12"/>
                <w:szCs w:val="12"/>
                <w:lang w:val="es-ES"/>
              </w:rPr>
            </w:pPr>
            <w:r w:rsidRPr="0098560F">
              <w:rPr>
                <w:rFonts w:eastAsia="Times New Roman"/>
                <w:sz w:val="12"/>
                <w:szCs w:val="12"/>
                <w:lang w:val="es-ES"/>
              </w:rPr>
              <w:t>Arabia Saudita</w:t>
            </w:r>
          </w:p>
        </w:tc>
        <w:tc>
          <w:tcPr>
            <w:tcW w:w="540" w:type="dxa"/>
            <w:tcBorders>
              <w:top w:val="nil"/>
              <w:bottom w:val="nil"/>
            </w:tcBorders>
          </w:tcPr>
          <w:p w14:paraId="75BDEA4F"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2.7</w:t>
            </w:r>
          </w:p>
        </w:tc>
        <w:tc>
          <w:tcPr>
            <w:tcW w:w="540" w:type="dxa"/>
            <w:tcBorders>
              <w:top w:val="nil"/>
              <w:bottom w:val="nil"/>
            </w:tcBorders>
          </w:tcPr>
          <w:p w14:paraId="11D2C72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3.6</w:t>
            </w:r>
          </w:p>
        </w:tc>
        <w:tc>
          <w:tcPr>
            <w:tcW w:w="540" w:type="dxa"/>
            <w:tcBorders>
              <w:top w:val="nil"/>
              <w:bottom w:val="nil"/>
            </w:tcBorders>
          </w:tcPr>
          <w:p w14:paraId="5E2EA66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3.0</w:t>
            </w:r>
          </w:p>
        </w:tc>
        <w:tc>
          <w:tcPr>
            <w:tcW w:w="540" w:type="dxa"/>
            <w:tcBorders>
              <w:top w:val="nil"/>
              <w:bottom w:val="nil"/>
            </w:tcBorders>
          </w:tcPr>
          <w:p w14:paraId="3EB21CE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2.7</w:t>
            </w:r>
          </w:p>
        </w:tc>
        <w:tc>
          <w:tcPr>
            <w:tcW w:w="540" w:type="dxa"/>
            <w:tcBorders>
              <w:top w:val="nil"/>
              <w:bottom w:val="nil"/>
            </w:tcBorders>
          </w:tcPr>
          <w:p w14:paraId="520B83D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1ECD923E"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0.0</w:t>
            </w:r>
          </w:p>
        </w:tc>
        <w:tc>
          <w:tcPr>
            <w:tcW w:w="588" w:type="dxa"/>
            <w:tcBorders>
              <w:top w:val="nil"/>
              <w:bottom w:val="nil"/>
            </w:tcBorders>
          </w:tcPr>
          <w:p w14:paraId="4F7024C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c>
          <w:tcPr>
            <w:tcW w:w="717" w:type="dxa"/>
            <w:tcBorders>
              <w:top w:val="nil"/>
              <w:bottom w:val="nil"/>
            </w:tcBorders>
          </w:tcPr>
          <w:p w14:paraId="1C3F8803"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2.8</w:t>
            </w:r>
          </w:p>
        </w:tc>
        <w:tc>
          <w:tcPr>
            <w:tcW w:w="642" w:type="dxa"/>
            <w:tcBorders>
              <w:top w:val="nil"/>
              <w:bottom w:val="nil"/>
            </w:tcBorders>
          </w:tcPr>
          <w:p w14:paraId="4C51AAE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2.7</w:t>
            </w:r>
          </w:p>
        </w:tc>
      </w:tr>
      <w:tr w:rsidR="009B1CF2" w:rsidRPr="009B1CF2" w14:paraId="2889DB76" w14:textId="77777777" w:rsidTr="0098560F">
        <w:trPr>
          <w:jc w:val="center"/>
        </w:trPr>
        <w:tc>
          <w:tcPr>
            <w:tcW w:w="3528" w:type="dxa"/>
            <w:tcBorders>
              <w:top w:val="nil"/>
              <w:bottom w:val="nil"/>
            </w:tcBorders>
          </w:tcPr>
          <w:p w14:paraId="7F45E463" w14:textId="77777777" w:rsidR="009B1CF2" w:rsidRPr="0098560F" w:rsidRDefault="009B1CF2" w:rsidP="009B1CF2">
            <w:pPr>
              <w:ind w:left="170"/>
              <w:rPr>
                <w:rFonts w:eastAsia="Times New Roman"/>
                <w:i/>
                <w:sz w:val="12"/>
                <w:szCs w:val="12"/>
                <w:lang w:val="es-ES"/>
              </w:rPr>
            </w:pPr>
            <w:r w:rsidRPr="0098560F">
              <w:rPr>
                <w:rFonts w:eastAsia="Times New Roman"/>
                <w:i/>
                <w:sz w:val="12"/>
                <w:szCs w:val="12"/>
                <w:lang w:val="es-ES"/>
              </w:rPr>
              <w:t>Partidas informativas</w:t>
            </w:r>
          </w:p>
        </w:tc>
        <w:tc>
          <w:tcPr>
            <w:tcW w:w="540" w:type="dxa"/>
            <w:tcBorders>
              <w:top w:val="nil"/>
              <w:bottom w:val="nil"/>
            </w:tcBorders>
          </w:tcPr>
          <w:p w14:paraId="3757B927" w14:textId="77777777" w:rsidR="009B1CF2" w:rsidRPr="0098560F" w:rsidRDefault="009B1CF2" w:rsidP="009B1CF2">
            <w:pPr>
              <w:ind w:right="57"/>
              <w:jc w:val="right"/>
              <w:rPr>
                <w:rFonts w:eastAsia="Times New Roman"/>
                <w:i/>
                <w:sz w:val="12"/>
                <w:szCs w:val="12"/>
                <w:lang w:val="es-ES"/>
              </w:rPr>
            </w:pPr>
          </w:p>
        </w:tc>
        <w:tc>
          <w:tcPr>
            <w:tcW w:w="540" w:type="dxa"/>
            <w:tcBorders>
              <w:top w:val="nil"/>
              <w:bottom w:val="nil"/>
            </w:tcBorders>
          </w:tcPr>
          <w:p w14:paraId="3B66EB81" w14:textId="77777777" w:rsidR="009B1CF2" w:rsidRPr="0098560F" w:rsidRDefault="009B1CF2" w:rsidP="009B1CF2">
            <w:pPr>
              <w:ind w:right="113"/>
              <w:jc w:val="right"/>
              <w:rPr>
                <w:rFonts w:eastAsia="Times New Roman"/>
                <w:i/>
                <w:sz w:val="12"/>
                <w:szCs w:val="12"/>
                <w:lang w:val="es-ES"/>
              </w:rPr>
            </w:pPr>
          </w:p>
        </w:tc>
        <w:tc>
          <w:tcPr>
            <w:tcW w:w="540" w:type="dxa"/>
            <w:tcBorders>
              <w:top w:val="nil"/>
              <w:bottom w:val="nil"/>
            </w:tcBorders>
          </w:tcPr>
          <w:p w14:paraId="766581A3" w14:textId="77777777" w:rsidR="009B1CF2" w:rsidRPr="0098560F" w:rsidRDefault="009B1CF2" w:rsidP="009B1CF2">
            <w:pPr>
              <w:ind w:right="57"/>
              <w:jc w:val="right"/>
              <w:rPr>
                <w:rFonts w:eastAsia="Times New Roman"/>
                <w:i/>
                <w:sz w:val="12"/>
                <w:szCs w:val="12"/>
                <w:lang w:val="es-ES"/>
              </w:rPr>
            </w:pPr>
          </w:p>
        </w:tc>
        <w:tc>
          <w:tcPr>
            <w:tcW w:w="540" w:type="dxa"/>
            <w:tcBorders>
              <w:top w:val="nil"/>
              <w:bottom w:val="nil"/>
            </w:tcBorders>
          </w:tcPr>
          <w:p w14:paraId="2F2B38E3" w14:textId="77777777" w:rsidR="009B1CF2" w:rsidRPr="0098560F" w:rsidRDefault="009B1CF2" w:rsidP="009B1CF2">
            <w:pPr>
              <w:ind w:right="113"/>
              <w:jc w:val="right"/>
              <w:rPr>
                <w:rFonts w:eastAsia="Times New Roman"/>
                <w:i/>
                <w:sz w:val="12"/>
                <w:szCs w:val="12"/>
                <w:lang w:val="es-ES"/>
              </w:rPr>
            </w:pPr>
          </w:p>
        </w:tc>
        <w:tc>
          <w:tcPr>
            <w:tcW w:w="540" w:type="dxa"/>
            <w:tcBorders>
              <w:top w:val="nil"/>
              <w:bottom w:val="nil"/>
            </w:tcBorders>
          </w:tcPr>
          <w:p w14:paraId="28321AE2" w14:textId="77777777" w:rsidR="009B1CF2" w:rsidRPr="0098560F" w:rsidRDefault="009B1CF2" w:rsidP="009B1CF2">
            <w:pPr>
              <w:ind w:right="113"/>
              <w:jc w:val="right"/>
              <w:rPr>
                <w:rFonts w:eastAsia="Times New Roman"/>
                <w:i/>
                <w:sz w:val="12"/>
                <w:szCs w:val="12"/>
                <w:lang w:val="es-ES"/>
              </w:rPr>
            </w:pPr>
          </w:p>
        </w:tc>
        <w:tc>
          <w:tcPr>
            <w:tcW w:w="540" w:type="dxa"/>
            <w:tcBorders>
              <w:top w:val="nil"/>
              <w:bottom w:val="nil"/>
            </w:tcBorders>
          </w:tcPr>
          <w:p w14:paraId="253E0F58" w14:textId="77777777" w:rsidR="009B1CF2" w:rsidRPr="0098560F" w:rsidRDefault="009B1CF2" w:rsidP="009B1CF2">
            <w:pPr>
              <w:ind w:right="57"/>
              <w:jc w:val="right"/>
              <w:rPr>
                <w:rFonts w:eastAsia="Times New Roman"/>
                <w:i/>
                <w:sz w:val="12"/>
                <w:szCs w:val="12"/>
                <w:lang w:val="es-ES"/>
              </w:rPr>
            </w:pPr>
          </w:p>
        </w:tc>
        <w:tc>
          <w:tcPr>
            <w:tcW w:w="588" w:type="dxa"/>
            <w:tcBorders>
              <w:top w:val="nil"/>
              <w:bottom w:val="nil"/>
            </w:tcBorders>
          </w:tcPr>
          <w:p w14:paraId="58DF6222" w14:textId="77777777" w:rsidR="009B1CF2" w:rsidRPr="0098560F" w:rsidRDefault="009B1CF2" w:rsidP="009B1CF2">
            <w:pPr>
              <w:ind w:right="113"/>
              <w:jc w:val="right"/>
              <w:rPr>
                <w:rFonts w:eastAsia="Times New Roman"/>
                <w:i/>
                <w:sz w:val="12"/>
                <w:szCs w:val="12"/>
                <w:lang w:val="es-ES"/>
              </w:rPr>
            </w:pPr>
          </w:p>
        </w:tc>
        <w:tc>
          <w:tcPr>
            <w:tcW w:w="717" w:type="dxa"/>
            <w:tcBorders>
              <w:top w:val="nil"/>
              <w:bottom w:val="nil"/>
            </w:tcBorders>
          </w:tcPr>
          <w:p w14:paraId="0CC490EA" w14:textId="77777777" w:rsidR="009B1CF2" w:rsidRPr="0098560F" w:rsidRDefault="009B1CF2" w:rsidP="009B1CF2">
            <w:pPr>
              <w:ind w:right="170"/>
              <w:jc w:val="right"/>
              <w:rPr>
                <w:rFonts w:eastAsia="Times New Roman"/>
                <w:i/>
                <w:sz w:val="12"/>
                <w:szCs w:val="12"/>
                <w:lang w:val="es-ES"/>
              </w:rPr>
            </w:pPr>
          </w:p>
        </w:tc>
        <w:tc>
          <w:tcPr>
            <w:tcW w:w="642" w:type="dxa"/>
            <w:tcBorders>
              <w:top w:val="nil"/>
              <w:bottom w:val="nil"/>
            </w:tcBorders>
          </w:tcPr>
          <w:p w14:paraId="6BF81D53" w14:textId="77777777" w:rsidR="009B1CF2" w:rsidRPr="0098560F" w:rsidRDefault="009B1CF2" w:rsidP="009B1CF2">
            <w:pPr>
              <w:ind w:right="113"/>
              <w:jc w:val="right"/>
              <w:rPr>
                <w:rFonts w:eastAsia="Times New Roman"/>
                <w:i/>
                <w:sz w:val="12"/>
                <w:szCs w:val="12"/>
                <w:lang w:val="es-ES"/>
              </w:rPr>
            </w:pPr>
          </w:p>
        </w:tc>
      </w:tr>
      <w:tr w:rsidR="009B1CF2" w:rsidRPr="009B1CF2" w14:paraId="30F8F535" w14:textId="77777777" w:rsidTr="0098560F">
        <w:trPr>
          <w:jc w:val="center"/>
        </w:trPr>
        <w:tc>
          <w:tcPr>
            <w:tcW w:w="3528" w:type="dxa"/>
            <w:tcBorders>
              <w:top w:val="nil"/>
              <w:bottom w:val="nil"/>
            </w:tcBorders>
          </w:tcPr>
          <w:p w14:paraId="4BB4FD55"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Unión Europea</w:t>
            </w:r>
          </w:p>
        </w:tc>
        <w:tc>
          <w:tcPr>
            <w:tcW w:w="540" w:type="dxa"/>
            <w:tcBorders>
              <w:top w:val="nil"/>
              <w:bottom w:val="nil"/>
            </w:tcBorders>
          </w:tcPr>
          <w:p w14:paraId="796779F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nil"/>
            </w:tcBorders>
          </w:tcPr>
          <w:p w14:paraId="11BE317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1.4</w:t>
            </w:r>
          </w:p>
        </w:tc>
        <w:tc>
          <w:tcPr>
            <w:tcW w:w="540" w:type="dxa"/>
            <w:tcBorders>
              <w:top w:val="nil"/>
              <w:bottom w:val="nil"/>
            </w:tcBorders>
          </w:tcPr>
          <w:p w14:paraId="487CD2D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1.8</w:t>
            </w:r>
          </w:p>
        </w:tc>
        <w:tc>
          <w:tcPr>
            <w:tcW w:w="540" w:type="dxa"/>
            <w:tcBorders>
              <w:top w:val="nil"/>
              <w:bottom w:val="nil"/>
            </w:tcBorders>
          </w:tcPr>
          <w:p w14:paraId="77B13A7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1.9</w:t>
            </w:r>
          </w:p>
        </w:tc>
        <w:tc>
          <w:tcPr>
            <w:tcW w:w="540" w:type="dxa"/>
            <w:tcBorders>
              <w:top w:val="nil"/>
              <w:bottom w:val="nil"/>
            </w:tcBorders>
          </w:tcPr>
          <w:p w14:paraId="651C3E6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079282D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1AB1EC9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1.4</w:t>
            </w:r>
          </w:p>
        </w:tc>
        <w:tc>
          <w:tcPr>
            <w:tcW w:w="717" w:type="dxa"/>
            <w:tcBorders>
              <w:top w:val="nil"/>
              <w:bottom w:val="nil"/>
            </w:tcBorders>
          </w:tcPr>
          <w:p w14:paraId="36CD1938"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2.0</w:t>
            </w:r>
          </w:p>
        </w:tc>
        <w:tc>
          <w:tcPr>
            <w:tcW w:w="642" w:type="dxa"/>
            <w:tcBorders>
              <w:top w:val="nil"/>
              <w:bottom w:val="nil"/>
            </w:tcBorders>
          </w:tcPr>
          <w:p w14:paraId="754D491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2.0</w:t>
            </w:r>
          </w:p>
        </w:tc>
      </w:tr>
      <w:tr w:rsidR="009B1CF2" w:rsidRPr="009B1CF2" w14:paraId="7BE66315" w14:textId="77777777" w:rsidTr="0098560F">
        <w:trPr>
          <w:jc w:val="center"/>
        </w:trPr>
        <w:tc>
          <w:tcPr>
            <w:tcW w:w="3528" w:type="dxa"/>
            <w:tcBorders>
              <w:top w:val="nil"/>
              <w:bottom w:val="nil"/>
            </w:tcBorders>
          </w:tcPr>
          <w:p w14:paraId="59E3B89C"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Países en desarrollo de bajo ingreso</w:t>
            </w:r>
          </w:p>
        </w:tc>
        <w:tc>
          <w:tcPr>
            <w:tcW w:w="540" w:type="dxa"/>
            <w:tcBorders>
              <w:top w:val="nil"/>
              <w:bottom w:val="nil"/>
            </w:tcBorders>
          </w:tcPr>
          <w:p w14:paraId="102E280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6.1</w:t>
            </w:r>
          </w:p>
        </w:tc>
        <w:tc>
          <w:tcPr>
            <w:tcW w:w="540" w:type="dxa"/>
            <w:tcBorders>
              <w:top w:val="nil"/>
              <w:bottom w:val="nil"/>
            </w:tcBorders>
          </w:tcPr>
          <w:p w14:paraId="55C1F82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6.0</w:t>
            </w:r>
          </w:p>
        </w:tc>
        <w:tc>
          <w:tcPr>
            <w:tcW w:w="540" w:type="dxa"/>
            <w:tcBorders>
              <w:top w:val="nil"/>
              <w:bottom w:val="nil"/>
            </w:tcBorders>
          </w:tcPr>
          <w:p w14:paraId="0D59835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5.5</w:t>
            </w:r>
          </w:p>
        </w:tc>
        <w:tc>
          <w:tcPr>
            <w:tcW w:w="540" w:type="dxa"/>
            <w:tcBorders>
              <w:top w:val="nil"/>
              <w:bottom w:val="nil"/>
            </w:tcBorders>
          </w:tcPr>
          <w:p w14:paraId="3E10DA5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6.0</w:t>
            </w:r>
          </w:p>
        </w:tc>
        <w:tc>
          <w:tcPr>
            <w:tcW w:w="540" w:type="dxa"/>
            <w:tcBorders>
              <w:top w:val="nil"/>
              <w:bottom w:val="nil"/>
            </w:tcBorders>
          </w:tcPr>
          <w:p w14:paraId="2795938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304A4E6F"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2DAFB35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4880FC15"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175390C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62829C31" w14:textId="77777777" w:rsidTr="0098560F">
        <w:trPr>
          <w:jc w:val="center"/>
        </w:trPr>
        <w:tc>
          <w:tcPr>
            <w:tcW w:w="3528" w:type="dxa"/>
            <w:tcBorders>
              <w:top w:val="nil"/>
              <w:bottom w:val="nil"/>
            </w:tcBorders>
          </w:tcPr>
          <w:p w14:paraId="50740454"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Oriente Medio y Norte de África</w:t>
            </w:r>
          </w:p>
        </w:tc>
        <w:tc>
          <w:tcPr>
            <w:tcW w:w="540" w:type="dxa"/>
            <w:tcBorders>
              <w:top w:val="nil"/>
              <w:bottom w:val="nil"/>
            </w:tcBorders>
          </w:tcPr>
          <w:p w14:paraId="0DD6F35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2.3</w:t>
            </w:r>
          </w:p>
        </w:tc>
        <w:tc>
          <w:tcPr>
            <w:tcW w:w="540" w:type="dxa"/>
            <w:tcBorders>
              <w:top w:val="nil"/>
              <w:bottom w:val="nil"/>
            </w:tcBorders>
          </w:tcPr>
          <w:p w14:paraId="0A422EDE"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2.4</w:t>
            </w:r>
          </w:p>
        </w:tc>
        <w:tc>
          <w:tcPr>
            <w:tcW w:w="540" w:type="dxa"/>
            <w:tcBorders>
              <w:top w:val="nil"/>
              <w:bottom w:val="nil"/>
            </w:tcBorders>
          </w:tcPr>
          <w:p w14:paraId="280CC17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2.7</w:t>
            </w:r>
          </w:p>
        </w:tc>
        <w:tc>
          <w:tcPr>
            <w:tcW w:w="540" w:type="dxa"/>
            <w:tcBorders>
              <w:top w:val="nil"/>
              <w:bottom w:val="nil"/>
            </w:tcBorders>
          </w:tcPr>
          <w:p w14:paraId="0C6671E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3.7</w:t>
            </w:r>
          </w:p>
        </w:tc>
        <w:tc>
          <w:tcPr>
            <w:tcW w:w="540" w:type="dxa"/>
            <w:tcBorders>
              <w:top w:val="nil"/>
              <w:bottom w:val="nil"/>
            </w:tcBorders>
          </w:tcPr>
          <w:p w14:paraId="512D9BC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-0.5</w:t>
            </w:r>
          </w:p>
        </w:tc>
        <w:tc>
          <w:tcPr>
            <w:tcW w:w="540" w:type="dxa"/>
            <w:tcBorders>
              <w:top w:val="nil"/>
              <w:bottom w:val="nil"/>
            </w:tcBorders>
          </w:tcPr>
          <w:p w14:paraId="5DBE768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6ED6640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31C8167E"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6413B13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1D20592B" w14:textId="77777777" w:rsidTr="0098560F">
        <w:trPr>
          <w:jc w:val="center"/>
        </w:trPr>
        <w:tc>
          <w:tcPr>
            <w:tcW w:w="3528" w:type="dxa"/>
            <w:tcBorders>
              <w:top w:val="nil"/>
              <w:bottom w:val="nil"/>
            </w:tcBorders>
          </w:tcPr>
          <w:p w14:paraId="47AEDE64"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Crecimiento mundial según tipos de cambio de mercado</w:t>
            </w:r>
          </w:p>
        </w:tc>
        <w:tc>
          <w:tcPr>
            <w:tcW w:w="540" w:type="dxa"/>
            <w:tcBorders>
              <w:top w:val="nil"/>
              <w:bottom w:val="nil"/>
            </w:tcBorders>
          </w:tcPr>
          <w:p w14:paraId="1A966CF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2.5</w:t>
            </w:r>
          </w:p>
        </w:tc>
        <w:tc>
          <w:tcPr>
            <w:tcW w:w="540" w:type="dxa"/>
            <w:tcBorders>
              <w:top w:val="nil"/>
              <w:bottom w:val="nil"/>
            </w:tcBorders>
          </w:tcPr>
          <w:p w14:paraId="17DEC98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2.6</w:t>
            </w:r>
          </w:p>
        </w:tc>
        <w:tc>
          <w:tcPr>
            <w:tcW w:w="540" w:type="dxa"/>
            <w:tcBorders>
              <w:top w:val="nil"/>
              <w:bottom w:val="nil"/>
            </w:tcBorders>
          </w:tcPr>
          <w:p w14:paraId="58E6D1D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2.9</w:t>
            </w:r>
          </w:p>
        </w:tc>
        <w:tc>
          <w:tcPr>
            <w:tcW w:w="540" w:type="dxa"/>
            <w:tcBorders>
              <w:top w:val="nil"/>
              <w:bottom w:val="nil"/>
            </w:tcBorders>
          </w:tcPr>
          <w:p w14:paraId="2A0CA74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3.2</w:t>
            </w:r>
          </w:p>
        </w:tc>
        <w:tc>
          <w:tcPr>
            <w:tcW w:w="540" w:type="dxa"/>
            <w:tcBorders>
              <w:top w:val="nil"/>
              <w:bottom w:val="nil"/>
            </w:tcBorders>
          </w:tcPr>
          <w:p w14:paraId="427A32E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nil"/>
            </w:tcBorders>
          </w:tcPr>
          <w:p w14:paraId="64FF6ECE"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0.0</w:t>
            </w:r>
          </w:p>
        </w:tc>
        <w:tc>
          <w:tcPr>
            <w:tcW w:w="588" w:type="dxa"/>
            <w:tcBorders>
              <w:top w:val="nil"/>
              <w:bottom w:val="nil"/>
            </w:tcBorders>
          </w:tcPr>
          <w:p w14:paraId="364AB917"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2.4</w:t>
            </w:r>
          </w:p>
        </w:tc>
        <w:tc>
          <w:tcPr>
            <w:tcW w:w="717" w:type="dxa"/>
            <w:tcBorders>
              <w:top w:val="nil"/>
              <w:bottom w:val="nil"/>
            </w:tcBorders>
          </w:tcPr>
          <w:p w14:paraId="6BAB828A"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2.9</w:t>
            </w:r>
          </w:p>
        </w:tc>
        <w:tc>
          <w:tcPr>
            <w:tcW w:w="642" w:type="dxa"/>
            <w:tcBorders>
              <w:top w:val="nil"/>
              <w:bottom w:val="nil"/>
            </w:tcBorders>
          </w:tcPr>
          <w:p w14:paraId="2DBBEA8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3.1</w:t>
            </w:r>
          </w:p>
        </w:tc>
      </w:tr>
      <w:tr w:rsidR="009B1CF2" w:rsidRPr="009B1CF2" w14:paraId="7B943AFB" w14:textId="77777777" w:rsidTr="0098560F">
        <w:trPr>
          <w:jc w:val="center"/>
        </w:trPr>
        <w:tc>
          <w:tcPr>
            <w:tcW w:w="3528" w:type="dxa"/>
            <w:tcBorders>
              <w:top w:val="nil"/>
              <w:bottom w:val="nil"/>
            </w:tcBorders>
          </w:tcPr>
          <w:p w14:paraId="7D097539" w14:textId="77777777" w:rsidR="009B1CF2" w:rsidRPr="0098560F" w:rsidRDefault="009B1CF2" w:rsidP="009B1CF2">
            <w:pPr>
              <w:rPr>
                <w:rFonts w:eastAsia="Times New Roman"/>
                <w:b/>
                <w:sz w:val="12"/>
                <w:szCs w:val="12"/>
                <w:lang w:val="es-ES"/>
              </w:rPr>
            </w:pPr>
            <w:r w:rsidRPr="0098560F">
              <w:rPr>
                <w:rFonts w:eastAsia="Times New Roman"/>
                <w:b/>
                <w:sz w:val="12"/>
                <w:szCs w:val="12"/>
                <w:lang w:val="es-ES"/>
              </w:rPr>
              <w:t>Volumen del comercio mundial (bienes y servicios)</w:t>
            </w:r>
          </w:p>
        </w:tc>
        <w:tc>
          <w:tcPr>
            <w:tcW w:w="540" w:type="dxa"/>
            <w:tcBorders>
              <w:top w:val="nil"/>
              <w:bottom w:val="nil"/>
            </w:tcBorders>
          </w:tcPr>
          <w:p w14:paraId="6EE30B28"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3.5</w:t>
            </w:r>
          </w:p>
        </w:tc>
        <w:tc>
          <w:tcPr>
            <w:tcW w:w="540" w:type="dxa"/>
            <w:tcBorders>
              <w:top w:val="nil"/>
              <w:bottom w:val="nil"/>
            </w:tcBorders>
          </w:tcPr>
          <w:p w14:paraId="172FFCB0"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3.4</w:t>
            </w:r>
          </w:p>
        </w:tc>
        <w:tc>
          <w:tcPr>
            <w:tcW w:w="540" w:type="dxa"/>
            <w:tcBorders>
              <w:top w:val="nil"/>
              <w:bottom w:val="nil"/>
            </w:tcBorders>
          </w:tcPr>
          <w:p w14:paraId="26FDA8DB"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3.7</w:t>
            </w:r>
          </w:p>
        </w:tc>
        <w:tc>
          <w:tcPr>
            <w:tcW w:w="540" w:type="dxa"/>
            <w:tcBorders>
              <w:top w:val="nil"/>
              <w:bottom w:val="nil"/>
            </w:tcBorders>
          </w:tcPr>
          <w:p w14:paraId="6C43A6E2"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4.7</w:t>
            </w:r>
          </w:p>
        </w:tc>
        <w:tc>
          <w:tcPr>
            <w:tcW w:w="540" w:type="dxa"/>
            <w:tcBorders>
              <w:top w:val="nil"/>
              <w:bottom w:val="nil"/>
            </w:tcBorders>
          </w:tcPr>
          <w:p w14:paraId="7A661752"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-0.1</w:t>
            </w:r>
          </w:p>
        </w:tc>
        <w:tc>
          <w:tcPr>
            <w:tcW w:w="540" w:type="dxa"/>
            <w:tcBorders>
              <w:top w:val="nil"/>
              <w:bottom w:val="nil"/>
            </w:tcBorders>
          </w:tcPr>
          <w:p w14:paraId="3999A24B" w14:textId="77777777" w:rsidR="009B1CF2" w:rsidRPr="0098560F" w:rsidRDefault="009B1CF2" w:rsidP="009B1CF2">
            <w:pPr>
              <w:ind w:right="57"/>
              <w:jc w:val="right"/>
              <w:rPr>
                <w:rFonts w:eastAsia="Times New Roman"/>
                <w:b/>
                <w:sz w:val="12"/>
                <w:szCs w:val="12"/>
                <w:lang w:val="es-ES"/>
              </w:rPr>
            </w:pPr>
            <w:r w:rsidRPr="0098560F">
              <w:rPr>
                <w:rFonts w:eastAsia="Times New Roman"/>
                <w:b/>
                <w:sz w:val="12"/>
                <w:szCs w:val="12"/>
                <w:lang w:val="es-ES"/>
              </w:rPr>
              <w:t>-0.6</w:t>
            </w:r>
          </w:p>
        </w:tc>
        <w:tc>
          <w:tcPr>
            <w:tcW w:w="588" w:type="dxa"/>
            <w:tcBorders>
              <w:top w:val="nil"/>
              <w:bottom w:val="nil"/>
            </w:tcBorders>
          </w:tcPr>
          <w:p w14:paraId="55F3FAAD"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w:t>
            </w:r>
          </w:p>
        </w:tc>
        <w:tc>
          <w:tcPr>
            <w:tcW w:w="717" w:type="dxa"/>
            <w:tcBorders>
              <w:top w:val="nil"/>
              <w:bottom w:val="nil"/>
            </w:tcBorders>
          </w:tcPr>
          <w:p w14:paraId="0BE49A1D" w14:textId="77777777" w:rsidR="009B1CF2" w:rsidRPr="0098560F" w:rsidRDefault="009B1CF2" w:rsidP="009B1CF2">
            <w:pPr>
              <w:ind w:right="170"/>
              <w:jc w:val="right"/>
              <w:rPr>
                <w:rFonts w:eastAsia="Times New Roman"/>
                <w:b/>
                <w:sz w:val="12"/>
                <w:szCs w:val="12"/>
                <w:lang w:val="es-ES"/>
              </w:rPr>
            </w:pPr>
            <w:r w:rsidRPr="0098560F">
              <w:rPr>
                <w:rFonts w:eastAsia="Times New Roman"/>
                <w:b/>
                <w:sz w:val="12"/>
                <w:szCs w:val="12"/>
                <w:lang w:val="es-ES"/>
              </w:rPr>
              <w:t>-</w:t>
            </w:r>
          </w:p>
        </w:tc>
        <w:tc>
          <w:tcPr>
            <w:tcW w:w="642" w:type="dxa"/>
            <w:tcBorders>
              <w:top w:val="nil"/>
              <w:bottom w:val="nil"/>
            </w:tcBorders>
          </w:tcPr>
          <w:p w14:paraId="5BF90727" w14:textId="77777777" w:rsidR="009B1CF2" w:rsidRPr="0098560F" w:rsidRDefault="009B1CF2" w:rsidP="009B1CF2">
            <w:pPr>
              <w:ind w:right="113"/>
              <w:jc w:val="right"/>
              <w:rPr>
                <w:rFonts w:eastAsia="Times New Roman"/>
                <w:b/>
                <w:sz w:val="12"/>
                <w:szCs w:val="12"/>
                <w:lang w:val="es-ES"/>
              </w:rPr>
            </w:pPr>
            <w:r w:rsidRPr="0098560F">
              <w:rPr>
                <w:rFonts w:eastAsia="Times New Roman"/>
                <w:b/>
                <w:sz w:val="12"/>
                <w:szCs w:val="12"/>
                <w:lang w:val="es-ES"/>
              </w:rPr>
              <w:t>-</w:t>
            </w:r>
          </w:p>
        </w:tc>
      </w:tr>
      <w:tr w:rsidR="009B1CF2" w:rsidRPr="009B1CF2" w14:paraId="082ACCFD" w14:textId="77777777" w:rsidTr="0098560F">
        <w:trPr>
          <w:jc w:val="center"/>
        </w:trPr>
        <w:tc>
          <w:tcPr>
            <w:tcW w:w="3528" w:type="dxa"/>
            <w:tcBorders>
              <w:top w:val="nil"/>
              <w:bottom w:val="nil"/>
            </w:tcBorders>
          </w:tcPr>
          <w:p w14:paraId="00A7AAE5"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Importaciones</w:t>
            </w:r>
          </w:p>
        </w:tc>
        <w:tc>
          <w:tcPr>
            <w:tcW w:w="540" w:type="dxa"/>
            <w:tcBorders>
              <w:top w:val="nil"/>
              <w:bottom w:val="nil"/>
            </w:tcBorders>
          </w:tcPr>
          <w:p w14:paraId="3B53C279"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1758670A"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3575A9B9"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7DFCF5CB"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6C6E79E9"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6547C193" w14:textId="77777777" w:rsidR="009B1CF2" w:rsidRPr="0098560F" w:rsidRDefault="009B1CF2" w:rsidP="009B1CF2">
            <w:pPr>
              <w:ind w:right="57"/>
              <w:jc w:val="right"/>
              <w:rPr>
                <w:rFonts w:eastAsia="Times New Roman"/>
                <w:sz w:val="12"/>
                <w:szCs w:val="12"/>
                <w:lang w:val="es-ES"/>
              </w:rPr>
            </w:pPr>
          </w:p>
        </w:tc>
        <w:tc>
          <w:tcPr>
            <w:tcW w:w="588" w:type="dxa"/>
            <w:tcBorders>
              <w:top w:val="nil"/>
              <w:bottom w:val="nil"/>
            </w:tcBorders>
          </w:tcPr>
          <w:p w14:paraId="0CDA0DD4" w14:textId="77777777" w:rsidR="009B1CF2" w:rsidRPr="0098560F" w:rsidRDefault="009B1CF2" w:rsidP="009B1CF2">
            <w:pPr>
              <w:ind w:right="113"/>
              <w:jc w:val="right"/>
              <w:rPr>
                <w:rFonts w:eastAsia="Times New Roman"/>
                <w:sz w:val="12"/>
                <w:szCs w:val="12"/>
                <w:lang w:val="es-ES"/>
              </w:rPr>
            </w:pPr>
          </w:p>
        </w:tc>
        <w:tc>
          <w:tcPr>
            <w:tcW w:w="717" w:type="dxa"/>
            <w:tcBorders>
              <w:top w:val="nil"/>
              <w:bottom w:val="nil"/>
            </w:tcBorders>
          </w:tcPr>
          <w:p w14:paraId="2451474C" w14:textId="77777777" w:rsidR="009B1CF2" w:rsidRPr="0098560F" w:rsidRDefault="009B1CF2" w:rsidP="009B1CF2">
            <w:pPr>
              <w:ind w:right="170"/>
              <w:jc w:val="right"/>
              <w:rPr>
                <w:rFonts w:eastAsia="Times New Roman"/>
                <w:sz w:val="12"/>
                <w:szCs w:val="12"/>
                <w:lang w:val="es-ES"/>
              </w:rPr>
            </w:pPr>
          </w:p>
        </w:tc>
        <w:tc>
          <w:tcPr>
            <w:tcW w:w="642" w:type="dxa"/>
            <w:tcBorders>
              <w:top w:val="nil"/>
              <w:bottom w:val="nil"/>
            </w:tcBorders>
          </w:tcPr>
          <w:p w14:paraId="5D28FACF" w14:textId="77777777" w:rsidR="009B1CF2" w:rsidRPr="0098560F" w:rsidRDefault="009B1CF2" w:rsidP="009B1CF2">
            <w:pPr>
              <w:ind w:right="113"/>
              <w:jc w:val="right"/>
              <w:rPr>
                <w:rFonts w:eastAsia="Times New Roman"/>
                <w:sz w:val="12"/>
                <w:szCs w:val="12"/>
                <w:lang w:val="es-ES"/>
              </w:rPr>
            </w:pPr>
          </w:p>
        </w:tc>
      </w:tr>
      <w:tr w:rsidR="009B1CF2" w:rsidRPr="009B1CF2" w14:paraId="45885EEF" w14:textId="77777777" w:rsidTr="0098560F">
        <w:trPr>
          <w:jc w:val="center"/>
        </w:trPr>
        <w:tc>
          <w:tcPr>
            <w:tcW w:w="3528" w:type="dxa"/>
            <w:tcBorders>
              <w:top w:val="nil"/>
              <w:bottom w:val="nil"/>
            </w:tcBorders>
          </w:tcPr>
          <w:p w14:paraId="6D06CE10"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Economías avanzadas</w:t>
            </w:r>
          </w:p>
        </w:tc>
        <w:tc>
          <w:tcPr>
            <w:tcW w:w="540" w:type="dxa"/>
            <w:tcBorders>
              <w:top w:val="nil"/>
              <w:bottom w:val="nil"/>
            </w:tcBorders>
          </w:tcPr>
          <w:p w14:paraId="391C38F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2.1</w:t>
            </w:r>
          </w:p>
        </w:tc>
        <w:tc>
          <w:tcPr>
            <w:tcW w:w="540" w:type="dxa"/>
            <w:tcBorders>
              <w:top w:val="nil"/>
              <w:bottom w:val="nil"/>
            </w:tcBorders>
          </w:tcPr>
          <w:p w14:paraId="0AC15C9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3.3</w:t>
            </w:r>
          </w:p>
        </w:tc>
        <w:tc>
          <w:tcPr>
            <w:tcW w:w="540" w:type="dxa"/>
            <w:tcBorders>
              <w:top w:val="nil"/>
              <w:bottom w:val="nil"/>
            </w:tcBorders>
          </w:tcPr>
          <w:p w14:paraId="37096A3D"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3.3</w:t>
            </w:r>
          </w:p>
        </w:tc>
        <w:tc>
          <w:tcPr>
            <w:tcW w:w="540" w:type="dxa"/>
            <w:tcBorders>
              <w:top w:val="nil"/>
              <w:bottom w:val="nil"/>
            </w:tcBorders>
          </w:tcPr>
          <w:p w14:paraId="7F3D832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4.3</w:t>
            </w:r>
          </w:p>
        </w:tc>
        <w:tc>
          <w:tcPr>
            <w:tcW w:w="540" w:type="dxa"/>
            <w:tcBorders>
              <w:top w:val="nil"/>
              <w:bottom w:val="nil"/>
            </w:tcBorders>
          </w:tcPr>
          <w:p w14:paraId="75DD0C3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3C2B6C4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-0.5</w:t>
            </w:r>
          </w:p>
        </w:tc>
        <w:tc>
          <w:tcPr>
            <w:tcW w:w="588" w:type="dxa"/>
            <w:tcBorders>
              <w:top w:val="nil"/>
              <w:bottom w:val="nil"/>
            </w:tcBorders>
          </w:tcPr>
          <w:p w14:paraId="68E5E43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56700411"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2258D8F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12B25EA2" w14:textId="77777777" w:rsidTr="0098560F">
        <w:trPr>
          <w:jc w:val="center"/>
        </w:trPr>
        <w:tc>
          <w:tcPr>
            <w:tcW w:w="3528" w:type="dxa"/>
            <w:tcBorders>
              <w:top w:val="nil"/>
              <w:bottom w:val="nil"/>
            </w:tcBorders>
          </w:tcPr>
          <w:p w14:paraId="1BAEE38C"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Economías de mercados emergentes y en desarrollo</w:t>
            </w:r>
          </w:p>
        </w:tc>
        <w:tc>
          <w:tcPr>
            <w:tcW w:w="540" w:type="dxa"/>
            <w:tcBorders>
              <w:top w:val="nil"/>
              <w:bottom w:val="nil"/>
            </w:tcBorders>
          </w:tcPr>
          <w:p w14:paraId="1F5C3AD8"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5.5</w:t>
            </w:r>
          </w:p>
        </w:tc>
        <w:tc>
          <w:tcPr>
            <w:tcW w:w="540" w:type="dxa"/>
            <w:tcBorders>
              <w:top w:val="nil"/>
              <w:bottom w:val="nil"/>
            </w:tcBorders>
          </w:tcPr>
          <w:p w14:paraId="304A20C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3.7</w:t>
            </w:r>
          </w:p>
        </w:tc>
        <w:tc>
          <w:tcPr>
            <w:tcW w:w="540" w:type="dxa"/>
            <w:tcBorders>
              <w:top w:val="nil"/>
              <w:bottom w:val="nil"/>
            </w:tcBorders>
          </w:tcPr>
          <w:p w14:paraId="26D9120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3.5</w:t>
            </w:r>
          </w:p>
        </w:tc>
        <w:tc>
          <w:tcPr>
            <w:tcW w:w="540" w:type="dxa"/>
            <w:tcBorders>
              <w:top w:val="nil"/>
              <w:bottom w:val="nil"/>
            </w:tcBorders>
          </w:tcPr>
          <w:p w14:paraId="7095107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5.5</w:t>
            </w:r>
          </w:p>
        </w:tc>
        <w:tc>
          <w:tcPr>
            <w:tcW w:w="540" w:type="dxa"/>
            <w:tcBorders>
              <w:top w:val="nil"/>
              <w:bottom w:val="nil"/>
            </w:tcBorders>
          </w:tcPr>
          <w:p w14:paraId="21A5D6D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722EAFE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-0.6</w:t>
            </w:r>
          </w:p>
        </w:tc>
        <w:tc>
          <w:tcPr>
            <w:tcW w:w="588" w:type="dxa"/>
            <w:tcBorders>
              <w:top w:val="nil"/>
              <w:bottom w:val="nil"/>
            </w:tcBorders>
          </w:tcPr>
          <w:p w14:paraId="041FB9B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5024785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2228CFA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7C10A323" w14:textId="77777777" w:rsidTr="0098560F">
        <w:trPr>
          <w:jc w:val="center"/>
        </w:trPr>
        <w:tc>
          <w:tcPr>
            <w:tcW w:w="3528" w:type="dxa"/>
            <w:tcBorders>
              <w:top w:val="nil"/>
              <w:bottom w:val="nil"/>
            </w:tcBorders>
          </w:tcPr>
          <w:p w14:paraId="5FE52C17"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Exportaciones</w:t>
            </w:r>
          </w:p>
        </w:tc>
        <w:tc>
          <w:tcPr>
            <w:tcW w:w="540" w:type="dxa"/>
            <w:tcBorders>
              <w:top w:val="nil"/>
              <w:bottom w:val="nil"/>
            </w:tcBorders>
          </w:tcPr>
          <w:p w14:paraId="75D953E1"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2D73E3AA"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51F1AD39"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3F8F53F3"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78946EDC"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716DE91A" w14:textId="77777777" w:rsidR="009B1CF2" w:rsidRPr="0098560F" w:rsidRDefault="009B1CF2" w:rsidP="009B1CF2">
            <w:pPr>
              <w:ind w:right="57"/>
              <w:jc w:val="right"/>
              <w:rPr>
                <w:rFonts w:eastAsia="Times New Roman"/>
                <w:sz w:val="12"/>
                <w:szCs w:val="12"/>
                <w:lang w:val="es-ES"/>
              </w:rPr>
            </w:pPr>
          </w:p>
        </w:tc>
        <w:tc>
          <w:tcPr>
            <w:tcW w:w="588" w:type="dxa"/>
            <w:tcBorders>
              <w:top w:val="nil"/>
              <w:bottom w:val="nil"/>
            </w:tcBorders>
          </w:tcPr>
          <w:p w14:paraId="20947BF7" w14:textId="77777777" w:rsidR="009B1CF2" w:rsidRPr="0098560F" w:rsidRDefault="009B1CF2" w:rsidP="009B1CF2">
            <w:pPr>
              <w:ind w:right="113"/>
              <w:jc w:val="right"/>
              <w:rPr>
                <w:rFonts w:eastAsia="Times New Roman"/>
                <w:sz w:val="12"/>
                <w:szCs w:val="12"/>
                <w:lang w:val="es-ES"/>
              </w:rPr>
            </w:pPr>
          </w:p>
        </w:tc>
        <w:tc>
          <w:tcPr>
            <w:tcW w:w="717" w:type="dxa"/>
            <w:tcBorders>
              <w:top w:val="nil"/>
              <w:bottom w:val="nil"/>
            </w:tcBorders>
          </w:tcPr>
          <w:p w14:paraId="7B646D65" w14:textId="77777777" w:rsidR="009B1CF2" w:rsidRPr="0098560F" w:rsidRDefault="009B1CF2" w:rsidP="009B1CF2">
            <w:pPr>
              <w:ind w:right="170"/>
              <w:jc w:val="right"/>
              <w:rPr>
                <w:rFonts w:eastAsia="Times New Roman"/>
                <w:sz w:val="12"/>
                <w:szCs w:val="12"/>
                <w:lang w:val="es-ES"/>
              </w:rPr>
            </w:pPr>
          </w:p>
        </w:tc>
        <w:tc>
          <w:tcPr>
            <w:tcW w:w="642" w:type="dxa"/>
            <w:tcBorders>
              <w:top w:val="nil"/>
              <w:bottom w:val="nil"/>
            </w:tcBorders>
          </w:tcPr>
          <w:p w14:paraId="56C5C482" w14:textId="77777777" w:rsidR="009B1CF2" w:rsidRPr="0098560F" w:rsidRDefault="009B1CF2" w:rsidP="009B1CF2">
            <w:pPr>
              <w:ind w:right="113"/>
              <w:jc w:val="right"/>
              <w:rPr>
                <w:rFonts w:eastAsia="Times New Roman"/>
                <w:sz w:val="12"/>
                <w:szCs w:val="12"/>
                <w:lang w:val="es-ES"/>
              </w:rPr>
            </w:pPr>
          </w:p>
        </w:tc>
      </w:tr>
      <w:tr w:rsidR="009B1CF2" w:rsidRPr="009B1CF2" w14:paraId="49691351" w14:textId="77777777" w:rsidTr="0098560F">
        <w:trPr>
          <w:jc w:val="center"/>
        </w:trPr>
        <w:tc>
          <w:tcPr>
            <w:tcW w:w="3528" w:type="dxa"/>
            <w:tcBorders>
              <w:top w:val="nil"/>
              <w:bottom w:val="nil"/>
            </w:tcBorders>
          </w:tcPr>
          <w:p w14:paraId="254F75D8"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Economías avanzadas</w:t>
            </w:r>
          </w:p>
        </w:tc>
        <w:tc>
          <w:tcPr>
            <w:tcW w:w="540" w:type="dxa"/>
            <w:tcBorders>
              <w:top w:val="nil"/>
              <w:bottom w:val="nil"/>
            </w:tcBorders>
          </w:tcPr>
          <w:p w14:paraId="7468AA5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3.1</w:t>
            </w:r>
          </w:p>
        </w:tc>
        <w:tc>
          <w:tcPr>
            <w:tcW w:w="540" w:type="dxa"/>
            <w:tcBorders>
              <w:top w:val="nil"/>
              <w:bottom w:val="nil"/>
            </w:tcBorders>
          </w:tcPr>
          <w:p w14:paraId="6E5AF73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3.3</w:t>
            </w:r>
          </w:p>
        </w:tc>
        <w:tc>
          <w:tcPr>
            <w:tcW w:w="540" w:type="dxa"/>
            <w:tcBorders>
              <w:top w:val="nil"/>
              <w:bottom w:val="nil"/>
            </w:tcBorders>
          </w:tcPr>
          <w:p w14:paraId="32CBA4E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3.2</w:t>
            </w:r>
          </w:p>
        </w:tc>
        <w:tc>
          <w:tcPr>
            <w:tcW w:w="540" w:type="dxa"/>
            <w:tcBorders>
              <w:top w:val="nil"/>
              <w:bottom w:val="nil"/>
            </w:tcBorders>
          </w:tcPr>
          <w:p w14:paraId="4982A96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4.1</w:t>
            </w:r>
          </w:p>
        </w:tc>
        <w:tc>
          <w:tcPr>
            <w:tcW w:w="540" w:type="dxa"/>
            <w:tcBorders>
              <w:top w:val="nil"/>
              <w:bottom w:val="nil"/>
            </w:tcBorders>
          </w:tcPr>
          <w:p w14:paraId="34A9D30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72124C2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-0.5</w:t>
            </w:r>
          </w:p>
        </w:tc>
        <w:tc>
          <w:tcPr>
            <w:tcW w:w="588" w:type="dxa"/>
            <w:tcBorders>
              <w:top w:val="nil"/>
              <w:bottom w:val="nil"/>
            </w:tcBorders>
          </w:tcPr>
          <w:p w14:paraId="4300310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7965067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33B532C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254222E3" w14:textId="77777777" w:rsidTr="0098560F">
        <w:trPr>
          <w:jc w:val="center"/>
        </w:trPr>
        <w:tc>
          <w:tcPr>
            <w:tcW w:w="3528" w:type="dxa"/>
            <w:tcBorders>
              <w:top w:val="nil"/>
              <w:bottom w:val="nil"/>
            </w:tcBorders>
          </w:tcPr>
          <w:p w14:paraId="5F16F845" w14:textId="77777777" w:rsidR="009B1CF2" w:rsidRPr="0098560F" w:rsidRDefault="009B1CF2" w:rsidP="009B1CF2">
            <w:pPr>
              <w:ind w:left="170"/>
              <w:rPr>
                <w:rFonts w:eastAsia="Times New Roman"/>
                <w:sz w:val="12"/>
                <w:szCs w:val="12"/>
                <w:lang w:val="es-ES"/>
              </w:rPr>
            </w:pPr>
            <w:r w:rsidRPr="0098560F">
              <w:rPr>
                <w:rFonts w:eastAsia="Times New Roman"/>
                <w:sz w:val="12"/>
                <w:szCs w:val="12"/>
                <w:lang w:val="es-ES"/>
              </w:rPr>
              <w:t>Economías de mercados emergentes y en desarrollo</w:t>
            </w:r>
          </w:p>
        </w:tc>
        <w:tc>
          <w:tcPr>
            <w:tcW w:w="540" w:type="dxa"/>
            <w:tcBorders>
              <w:top w:val="nil"/>
              <w:bottom w:val="nil"/>
            </w:tcBorders>
          </w:tcPr>
          <w:p w14:paraId="0F3F53D9"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4.6</w:t>
            </w:r>
          </w:p>
        </w:tc>
        <w:tc>
          <w:tcPr>
            <w:tcW w:w="540" w:type="dxa"/>
            <w:tcBorders>
              <w:top w:val="nil"/>
              <w:bottom w:val="nil"/>
            </w:tcBorders>
          </w:tcPr>
          <w:p w14:paraId="0B806B13"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3.4</w:t>
            </w:r>
          </w:p>
        </w:tc>
        <w:tc>
          <w:tcPr>
            <w:tcW w:w="540" w:type="dxa"/>
            <w:tcBorders>
              <w:top w:val="nil"/>
              <w:bottom w:val="nil"/>
            </w:tcBorders>
          </w:tcPr>
          <w:p w14:paraId="58987711"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5.3</w:t>
            </w:r>
          </w:p>
        </w:tc>
        <w:tc>
          <w:tcPr>
            <w:tcW w:w="540" w:type="dxa"/>
            <w:tcBorders>
              <w:top w:val="nil"/>
              <w:bottom w:val="nil"/>
            </w:tcBorders>
          </w:tcPr>
          <w:p w14:paraId="6C1CA5B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5.7</w:t>
            </w:r>
          </w:p>
        </w:tc>
        <w:tc>
          <w:tcPr>
            <w:tcW w:w="540" w:type="dxa"/>
            <w:tcBorders>
              <w:top w:val="nil"/>
              <w:bottom w:val="nil"/>
            </w:tcBorders>
          </w:tcPr>
          <w:p w14:paraId="220EFFF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347EFC3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-0.5</w:t>
            </w:r>
          </w:p>
        </w:tc>
        <w:tc>
          <w:tcPr>
            <w:tcW w:w="588" w:type="dxa"/>
            <w:tcBorders>
              <w:top w:val="nil"/>
              <w:bottom w:val="nil"/>
            </w:tcBorders>
          </w:tcPr>
          <w:p w14:paraId="069E1D5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7AD7C919"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434ABD0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484C53A5" w14:textId="77777777" w:rsidTr="0098560F">
        <w:trPr>
          <w:jc w:val="center"/>
        </w:trPr>
        <w:tc>
          <w:tcPr>
            <w:tcW w:w="3528" w:type="dxa"/>
            <w:tcBorders>
              <w:top w:val="nil"/>
              <w:bottom w:val="nil"/>
            </w:tcBorders>
          </w:tcPr>
          <w:p w14:paraId="75412F89" w14:textId="77777777" w:rsidR="009B1CF2" w:rsidRPr="0098560F" w:rsidRDefault="009B1CF2" w:rsidP="009B1CF2">
            <w:pPr>
              <w:rPr>
                <w:rFonts w:eastAsia="Times New Roman"/>
                <w:b/>
                <w:sz w:val="12"/>
                <w:szCs w:val="12"/>
                <w:lang w:val="es-ES"/>
              </w:rPr>
            </w:pPr>
            <w:r w:rsidRPr="0098560F">
              <w:rPr>
                <w:rFonts w:eastAsia="Times New Roman"/>
                <w:b/>
                <w:sz w:val="12"/>
                <w:szCs w:val="12"/>
                <w:lang w:val="es-ES"/>
              </w:rPr>
              <w:t>Precios de las materias primas (dólares de Estados Unidos de Norteamérica)</w:t>
            </w:r>
          </w:p>
        </w:tc>
        <w:tc>
          <w:tcPr>
            <w:tcW w:w="540" w:type="dxa"/>
            <w:tcBorders>
              <w:top w:val="nil"/>
              <w:bottom w:val="nil"/>
            </w:tcBorders>
          </w:tcPr>
          <w:p w14:paraId="60C98923"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2E9EF2FC"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22DC7D46"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7FBEA418"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4FAA195D"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4B9BED4F" w14:textId="77777777" w:rsidR="009B1CF2" w:rsidRPr="0098560F" w:rsidRDefault="009B1CF2" w:rsidP="009B1CF2">
            <w:pPr>
              <w:ind w:right="57"/>
              <w:jc w:val="right"/>
              <w:rPr>
                <w:rFonts w:eastAsia="Times New Roman"/>
                <w:sz w:val="12"/>
                <w:szCs w:val="12"/>
                <w:lang w:val="es-ES"/>
              </w:rPr>
            </w:pPr>
          </w:p>
        </w:tc>
        <w:tc>
          <w:tcPr>
            <w:tcW w:w="588" w:type="dxa"/>
            <w:tcBorders>
              <w:top w:val="nil"/>
              <w:bottom w:val="nil"/>
            </w:tcBorders>
          </w:tcPr>
          <w:p w14:paraId="37EBD873" w14:textId="77777777" w:rsidR="009B1CF2" w:rsidRPr="0098560F" w:rsidRDefault="009B1CF2" w:rsidP="009B1CF2">
            <w:pPr>
              <w:ind w:right="113"/>
              <w:jc w:val="right"/>
              <w:rPr>
                <w:rFonts w:eastAsia="Times New Roman"/>
                <w:b/>
                <w:sz w:val="12"/>
                <w:szCs w:val="12"/>
                <w:lang w:val="es-ES"/>
              </w:rPr>
            </w:pPr>
          </w:p>
        </w:tc>
        <w:tc>
          <w:tcPr>
            <w:tcW w:w="717" w:type="dxa"/>
            <w:tcBorders>
              <w:top w:val="nil"/>
              <w:bottom w:val="nil"/>
            </w:tcBorders>
          </w:tcPr>
          <w:p w14:paraId="6DDB8B11" w14:textId="77777777" w:rsidR="009B1CF2" w:rsidRPr="0098560F" w:rsidRDefault="009B1CF2" w:rsidP="009B1CF2">
            <w:pPr>
              <w:ind w:right="170"/>
              <w:jc w:val="right"/>
              <w:rPr>
                <w:rFonts w:eastAsia="Times New Roman"/>
                <w:b/>
                <w:sz w:val="12"/>
                <w:szCs w:val="12"/>
                <w:lang w:val="es-ES"/>
              </w:rPr>
            </w:pPr>
          </w:p>
        </w:tc>
        <w:tc>
          <w:tcPr>
            <w:tcW w:w="642" w:type="dxa"/>
            <w:tcBorders>
              <w:top w:val="nil"/>
              <w:bottom w:val="nil"/>
            </w:tcBorders>
          </w:tcPr>
          <w:p w14:paraId="1A72FC78" w14:textId="77777777" w:rsidR="009B1CF2" w:rsidRPr="0098560F" w:rsidRDefault="009B1CF2" w:rsidP="009B1CF2">
            <w:pPr>
              <w:ind w:right="113"/>
              <w:jc w:val="right"/>
              <w:rPr>
                <w:rFonts w:eastAsia="Times New Roman"/>
                <w:b/>
                <w:sz w:val="12"/>
                <w:szCs w:val="12"/>
                <w:lang w:val="es-ES"/>
              </w:rPr>
            </w:pPr>
          </w:p>
        </w:tc>
      </w:tr>
      <w:tr w:rsidR="009B1CF2" w:rsidRPr="009B1CF2" w14:paraId="22635FD6" w14:textId="77777777" w:rsidTr="0098560F">
        <w:trPr>
          <w:jc w:val="center"/>
        </w:trPr>
        <w:tc>
          <w:tcPr>
            <w:tcW w:w="3528" w:type="dxa"/>
            <w:tcBorders>
              <w:top w:val="nil"/>
              <w:bottom w:val="nil"/>
            </w:tcBorders>
          </w:tcPr>
          <w:p w14:paraId="3331C8CB"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Petróleo</w:t>
            </w:r>
            <w:r w:rsidRPr="0098560F">
              <w:rPr>
                <w:rFonts w:eastAsia="Times New Roman"/>
                <w:sz w:val="12"/>
                <w:szCs w:val="12"/>
                <w:u w:val="single"/>
                <w:vertAlign w:val="superscript"/>
                <w:lang w:val="es-ES"/>
              </w:rPr>
              <w:t>9</w:t>
            </w:r>
            <w:r w:rsidRPr="0098560F">
              <w:rPr>
                <w:rFonts w:eastAsia="Times New Roman"/>
                <w:sz w:val="12"/>
                <w:szCs w:val="12"/>
                <w:vertAlign w:val="superscript"/>
                <w:lang w:val="es-ES"/>
              </w:rPr>
              <w:t>/</w:t>
            </w:r>
          </w:p>
        </w:tc>
        <w:tc>
          <w:tcPr>
            <w:tcW w:w="540" w:type="dxa"/>
            <w:tcBorders>
              <w:top w:val="nil"/>
              <w:bottom w:val="nil"/>
            </w:tcBorders>
          </w:tcPr>
          <w:p w14:paraId="17F0E42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-0.9</w:t>
            </w:r>
          </w:p>
        </w:tc>
        <w:tc>
          <w:tcPr>
            <w:tcW w:w="540" w:type="dxa"/>
            <w:tcBorders>
              <w:top w:val="nil"/>
              <w:bottom w:val="nil"/>
            </w:tcBorders>
          </w:tcPr>
          <w:p w14:paraId="0F6D357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-7.5</w:t>
            </w:r>
          </w:p>
        </w:tc>
        <w:tc>
          <w:tcPr>
            <w:tcW w:w="540" w:type="dxa"/>
            <w:tcBorders>
              <w:top w:val="nil"/>
              <w:bottom w:val="nil"/>
            </w:tcBorders>
          </w:tcPr>
          <w:p w14:paraId="6BA8B76C"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-39.6</w:t>
            </w:r>
          </w:p>
        </w:tc>
        <w:tc>
          <w:tcPr>
            <w:tcW w:w="540" w:type="dxa"/>
            <w:tcBorders>
              <w:top w:val="nil"/>
              <w:bottom w:val="nil"/>
            </w:tcBorders>
          </w:tcPr>
          <w:p w14:paraId="429195F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12.9</w:t>
            </w:r>
          </w:p>
        </w:tc>
        <w:tc>
          <w:tcPr>
            <w:tcW w:w="540" w:type="dxa"/>
            <w:tcBorders>
              <w:top w:val="nil"/>
              <w:bottom w:val="nil"/>
            </w:tcBorders>
          </w:tcPr>
          <w:p w14:paraId="66339FD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1.5</w:t>
            </w:r>
          </w:p>
        </w:tc>
        <w:tc>
          <w:tcPr>
            <w:tcW w:w="540" w:type="dxa"/>
            <w:tcBorders>
              <w:top w:val="nil"/>
              <w:bottom w:val="nil"/>
            </w:tcBorders>
          </w:tcPr>
          <w:p w14:paraId="6586E26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0.3</w:t>
            </w:r>
          </w:p>
        </w:tc>
        <w:tc>
          <w:tcPr>
            <w:tcW w:w="588" w:type="dxa"/>
            <w:tcBorders>
              <w:top w:val="nil"/>
              <w:bottom w:val="nil"/>
            </w:tcBorders>
          </w:tcPr>
          <w:p w14:paraId="02A85C3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-28.7</w:t>
            </w:r>
          </w:p>
        </w:tc>
        <w:tc>
          <w:tcPr>
            <w:tcW w:w="717" w:type="dxa"/>
            <w:tcBorders>
              <w:top w:val="nil"/>
              <w:bottom w:val="nil"/>
            </w:tcBorders>
          </w:tcPr>
          <w:p w14:paraId="0FE678CF"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-16.4</w:t>
            </w:r>
          </w:p>
        </w:tc>
        <w:tc>
          <w:tcPr>
            <w:tcW w:w="642" w:type="dxa"/>
            <w:tcBorders>
              <w:top w:val="nil"/>
              <w:bottom w:val="nil"/>
            </w:tcBorders>
          </w:tcPr>
          <w:p w14:paraId="17B553F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8.0</w:t>
            </w:r>
          </w:p>
        </w:tc>
      </w:tr>
      <w:tr w:rsidR="009B1CF2" w:rsidRPr="009B1CF2" w14:paraId="508996E3" w14:textId="77777777" w:rsidTr="0098560F">
        <w:trPr>
          <w:jc w:val="center"/>
        </w:trPr>
        <w:tc>
          <w:tcPr>
            <w:tcW w:w="3528" w:type="dxa"/>
            <w:tcBorders>
              <w:top w:val="nil"/>
              <w:bottom w:val="nil"/>
            </w:tcBorders>
          </w:tcPr>
          <w:p w14:paraId="59604931"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No combustibles (promedio basado en ponderaciones de la exportación mundial de materias primas)</w:t>
            </w:r>
          </w:p>
        </w:tc>
        <w:tc>
          <w:tcPr>
            <w:tcW w:w="540" w:type="dxa"/>
            <w:tcBorders>
              <w:top w:val="nil"/>
              <w:bottom w:val="nil"/>
            </w:tcBorders>
            <w:vAlign w:val="bottom"/>
          </w:tcPr>
          <w:p w14:paraId="5DE4BC5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-1.2</w:t>
            </w:r>
          </w:p>
        </w:tc>
        <w:tc>
          <w:tcPr>
            <w:tcW w:w="540" w:type="dxa"/>
            <w:tcBorders>
              <w:top w:val="nil"/>
              <w:bottom w:val="nil"/>
            </w:tcBorders>
            <w:vAlign w:val="bottom"/>
          </w:tcPr>
          <w:p w14:paraId="2B19F96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-4.0</w:t>
            </w:r>
          </w:p>
        </w:tc>
        <w:tc>
          <w:tcPr>
            <w:tcW w:w="540" w:type="dxa"/>
            <w:tcBorders>
              <w:top w:val="nil"/>
              <w:bottom w:val="nil"/>
            </w:tcBorders>
            <w:vAlign w:val="bottom"/>
          </w:tcPr>
          <w:p w14:paraId="1E827755"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-14.1</w:t>
            </w:r>
          </w:p>
        </w:tc>
        <w:tc>
          <w:tcPr>
            <w:tcW w:w="540" w:type="dxa"/>
            <w:tcBorders>
              <w:top w:val="nil"/>
              <w:bottom w:val="nil"/>
            </w:tcBorders>
            <w:vAlign w:val="bottom"/>
          </w:tcPr>
          <w:p w14:paraId="0E28BC3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-1.0</w:t>
            </w:r>
          </w:p>
        </w:tc>
        <w:tc>
          <w:tcPr>
            <w:tcW w:w="540" w:type="dxa"/>
            <w:tcBorders>
              <w:top w:val="nil"/>
              <w:bottom w:val="nil"/>
            </w:tcBorders>
            <w:vAlign w:val="bottom"/>
          </w:tcPr>
          <w:p w14:paraId="4BC956A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-4.8</w:t>
            </w:r>
          </w:p>
        </w:tc>
        <w:tc>
          <w:tcPr>
            <w:tcW w:w="540" w:type="dxa"/>
            <w:tcBorders>
              <w:top w:val="nil"/>
              <w:bottom w:val="nil"/>
            </w:tcBorders>
            <w:vAlign w:val="bottom"/>
          </w:tcPr>
          <w:p w14:paraId="060D57BA"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-0.3</w:t>
            </w:r>
          </w:p>
        </w:tc>
        <w:tc>
          <w:tcPr>
            <w:tcW w:w="588" w:type="dxa"/>
            <w:tcBorders>
              <w:top w:val="nil"/>
              <w:bottom w:val="nil"/>
            </w:tcBorders>
            <w:vAlign w:val="bottom"/>
          </w:tcPr>
          <w:p w14:paraId="48EB2A0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-7.6</w:t>
            </w:r>
          </w:p>
        </w:tc>
        <w:tc>
          <w:tcPr>
            <w:tcW w:w="717" w:type="dxa"/>
            <w:tcBorders>
              <w:top w:val="nil"/>
              <w:bottom w:val="nil"/>
            </w:tcBorders>
            <w:vAlign w:val="bottom"/>
          </w:tcPr>
          <w:p w14:paraId="00B71B05"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-10.0</w:t>
            </w:r>
          </w:p>
        </w:tc>
        <w:tc>
          <w:tcPr>
            <w:tcW w:w="642" w:type="dxa"/>
            <w:tcBorders>
              <w:top w:val="nil"/>
              <w:bottom w:val="nil"/>
            </w:tcBorders>
            <w:vAlign w:val="bottom"/>
          </w:tcPr>
          <w:p w14:paraId="0B943A3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0.1</w:t>
            </w:r>
          </w:p>
        </w:tc>
      </w:tr>
      <w:tr w:rsidR="009B1CF2" w:rsidRPr="009B1CF2" w14:paraId="4059F4DE" w14:textId="77777777" w:rsidTr="0098560F">
        <w:trPr>
          <w:jc w:val="center"/>
        </w:trPr>
        <w:tc>
          <w:tcPr>
            <w:tcW w:w="3528" w:type="dxa"/>
            <w:tcBorders>
              <w:top w:val="nil"/>
              <w:bottom w:val="nil"/>
            </w:tcBorders>
          </w:tcPr>
          <w:p w14:paraId="496E5812" w14:textId="77777777" w:rsidR="009B1CF2" w:rsidRPr="0098560F" w:rsidRDefault="009B1CF2" w:rsidP="009B1CF2">
            <w:pPr>
              <w:rPr>
                <w:rFonts w:eastAsia="Times New Roman"/>
                <w:b/>
                <w:sz w:val="12"/>
                <w:szCs w:val="12"/>
                <w:lang w:val="es-ES"/>
              </w:rPr>
            </w:pPr>
            <w:r w:rsidRPr="0098560F">
              <w:rPr>
                <w:rFonts w:eastAsia="Times New Roman"/>
                <w:b/>
                <w:sz w:val="12"/>
                <w:szCs w:val="12"/>
                <w:lang w:val="es-ES"/>
              </w:rPr>
              <w:t>Precios al consumidor</w:t>
            </w:r>
          </w:p>
        </w:tc>
        <w:tc>
          <w:tcPr>
            <w:tcW w:w="540" w:type="dxa"/>
            <w:tcBorders>
              <w:top w:val="nil"/>
              <w:bottom w:val="nil"/>
            </w:tcBorders>
          </w:tcPr>
          <w:p w14:paraId="2935855B"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0549AD3C"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76877A9C"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4677AC21"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781358C2"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19410476" w14:textId="77777777" w:rsidR="009B1CF2" w:rsidRPr="0098560F" w:rsidRDefault="009B1CF2" w:rsidP="009B1CF2">
            <w:pPr>
              <w:ind w:right="57"/>
              <w:jc w:val="right"/>
              <w:rPr>
                <w:rFonts w:eastAsia="Times New Roman"/>
                <w:sz w:val="12"/>
                <w:szCs w:val="12"/>
                <w:lang w:val="es-ES"/>
              </w:rPr>
            </w:pPr>
          </w:p>
        </w:tc>
        <w:tc>
          <w:tcPr>
            <w:tcW w:w="588" w:type="dxa"/>
            <w:tcBorders>
              <w:top w:val="nil"/>
              <w:bottom w:val="nil"/>
            </w:tcBorders>
          </w:tcPr>
          <w:p w14:paraId="6E54F19D" w14:textId="77777777" w:rsidR="009B1CF2" w:rsidRPr="0098560F" w:rsidRDefault="009B1CF2" w:rsidP="009B1CF2">
            <w:pPr>
              <w:ind w:right="113"/>
              <w:jc w:val="right"/>
              <w:rPr>
                <w:rFonts w:eastAsia="Times New Roman"/>
                <w:b/>
                <w:sz w:val="12"/>
                <w:szCs w:val="12"/>
                <w:lang w:val="es-ES"/>
              </w:rPr>
            </w:pPr>
          </w:p>
        </w:tc>
        <w:tc>
          <w:tcPr>
            <w:tcW w:w="717" w:type="dxa"/>
            <w:tcBorders>
              <w:top w:val="nil"/>
              <w:bottom w:val="nil"/>
            </w:tcBorders>
          </w:tcPr>
          <w:p w14:paraId="4BC61091" w14:textId="77777777" w:rsidR="009B1CF2" w:rsidRPr="0098560F" w:rsidRDefault="009B1CF2" w:rsidP="009B1CF2">
            <w:pPr>
              <w:ind w:right="170"/>
              <w:jc w:val="right"/>
              <w:rPr>
                <w:rFonts w:eastAsia="Times New Roman"/>
                <w:b/>
                <w:sz w:val="12"/>
                <w:szCs w:val="12"/>
                <w:lang w:val="es-ES"/>
              </w:rPr>
            </w:pPr>
          </w:p>
        </w:tc>
        <w:tc>
          <w:tcPr>
            <w:tcW w:w="642" w:type="dxa"/>
            <w:tcBorders>
              <w:top w:val="nil"/>
              <w:bottom w:val="nil"/>
            </w:tcBorders>
          </w:tcPr>
          <w:p w14:paraId="08766053" w14:textId="77777777" w:rsidR="009B1CF2" w:rsidRPr="0098560F" w:rsidRDefault="009B1CF2" w:rsidP="009B1CF2">
            <w:pPr>
              <w:ind w:right="113"/>
              <w:jc w:val="right"/>
              <w:rPr>
                <w:rFonts w:eastAsia="Times New Roman"/>
                <w:b/>
                <w:sz w:val="12"/>
                <w:szCs w:val="12"/>
                <w:lang w:val="es-ES"/>
              </w:rPr>
            </w:pPr>
          </w:p>
        </w:tc>
      </w:tr>
      <w:tr w:rsidR="009B1CF2" w:rsidRPr="009B1CF2" w14:paraId="0FF9691F" w14:textId="77777777" w:rsidTr="0098560F">
        <w:trPr>
          <w:jc w:val="center"/>
        </w:trPr>
        <w:tc>
          <w:tcPr>
            <w:tcW w:w="3528" w:type="dxa"/>
            <w:tcBorders>
              <w:top w:val="nil"/>
              <w:bottom w:val="nil"/>
            </w:tcBorders>
          </w:tcPr>
          <w:p w14:paraId="5613C2A3"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Economías avanzadas</w:t>
            </w:r>
          </w:p>
        </w:tc>
        <w:tc>
          <w:tcPr>
            <w:tcW w:w="540" w:type="dxa"/>
            <w:tcBorders>
              <w:top w:val="nil"/>
              <w:bottom w:val="nil"/>
            </w:tcBorders>
          </w:tcPr>
          <w:p w14:paraId="4F1EC6D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1.4</w:t>
            </w:r>
          </w:p>
        </w:tc>
        <w:tc>
          <w:tcPr>
            <w:tcW w:w="540" w:type="dxa"/>
            <w:tcBorders>
              <w:top w:val="nil"/>
              <w:bottom w:val="nil"/>
            </w:tcBorders>
          </w:tcPr>
          <w:p w14:paraId="6ABE5DC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1.4</w:t>
            </w:r>
          </w:p>
        </w:tc>
        <w:tc>
          <w:tcPr>
            <w:tcW w:w="540" w:type="dxa"/>
            <w:tcBorders>
              <w:top w:val="nil"/>
              <w:bottom w:val="nil"/>
            </w:tcBorders>
          </w:tcPr>
          <w:p w14:paraId="2421507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2D18107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1.4</w:t>
            </w:r>
          </w:p>
        </w:tc>
        <w:tc>
          <w:tcPr>
            <w:tcW w:w="540" w:type="dxa"/>
            <w:tcBorders>
              <w:top w:val="nil"/>
              <w:bottom w:val="nil"/>
            </w:tcBorders>
          </w:tcPr>
          <w:p w14:paraId="0F3D548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-0.6</w:t>
            </w:r>
          </w:p>
        </w:tc>
        <w:tc>
          <w:tcPr>
            <w:tcW w:w="540" w:type="dxa"/>
            <w:tcBorders>
              <w:top w:val="nil"/>
              <w:bottom w:val="nil"/>
            </w:tcBorders>
          </w:tcPr>
          <w:p w14:paraId="3EE116C3"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5C330E81"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1.0</w:t>
            </w:r>
          </w:p>
        </w:tc>
        <w:tc>
          <w:tcPr>
            <w:tcW w:w="717" w:type="dxa"/>
            <w:tcBorders>
              <w:top w:val="nil"/>
              <w:bottom w:val="nil"/>
            </w:tcBorders>
          </w:tcPr>
          <w:p w14:paraId="2DC058A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0.6</w:t>
            </w:r>
          </w:p>
        </w:tc>
        <w:tc>
          <w:tcPr>
            <w:tcW w:w="642" w:type="dxa"/>
            <w:tcBorders>
              <w:top w:val="nil"/>
              <w:bottom w:val="nil"/>
            </w:tcBorders>
          </w:tcPr>
          <w:p w14:paraId="47151CA9"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1.6</w:t>
            </w:r>
          </w:p>
        </w:tc>
      </w:tr>
      <w:tr w:rsidR="009B1CF2" w:rsidRPr="009B1CF2" w14:paraId="316DFA49" w14:textId="77777777" w:rsidTr="0098560F">
        <w:trPr>
          <w:jc w:val="center"/>
        </w:trPr>
        <w:tc>
          <w:tcPr>
            <w:tcW w:w="3528" w:type="dxa"/>
            <w:tcBorders>
              <w:top w:val="nil"/>
              <w:bottom w:val="nil"/>
            </w:tcBorders>
          </w:tcPr>
          <w:p w14:paraId="6E42890D"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Economías de mercados emergentes y en desarrollo</w:t>
            </w:r>
            <w:r w:rsidRPr="0098560F">
              <w:rPr>
                <w:rFonts w:eastAsia="Times New Roman"/>
                <w:sz w:val="12"/>
                <w:szCs w:val="12"/>
                <w:u w:val="single"/>
                <w:vertAlign w:val="superscript"/>
                <w:lang w:val="es-ES"/>
              </w:rPr>
              <w:t>5</w:t>
            </w:r>
            <w:r w:rsidRPr="0098560F">
              <w:rPr>
                <w:rFonts w:eastAsia="Times New Roman"/>
                <w:sz w:val="12"/>
                <w:szCs w:val="12"/>
                <w:vertAlign w:val="superscript"/>
                <w:lang w:val="es-ES"/>
              </w:rPr>
              <w:t>/</w:t>
            </w:r>
          </w:p>
        </w:tc>
        <w:tc>
          <w:tcPr>
            <w:tcW w:w="540" w:type="dxa"/>
            <w:tcBorders>
              <w:top w:val="nil"/>
              <w:bottom w:val="nil"/>
            </w:tcBorders>
          </w:tcPr>
          <w:p w14:paraId="099099CF"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5.9</w:t>
            </w:r>
          </w:p>
        </w:tc>
        <w:tc>
          <w:tcPr>
            <w:tcW w:w="540" w:type="dxa"/>
            <w:tcBorders>
              <w:top w:val="nil"/>
              <w:bottom w:val="nil"/>
            </w:tcBorders>
          </w:tcPr>
          <w:p w14:paraId="0B6944D6"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5.1</w:t>
            </w:r>
          </w:p>
        </w:tc>
        <w:tc>
          <w:tcPr>
            <w:tcW w:w="540" w:type="dxa"/>
            <w:tcBorders>
              <w:top w:val="nil"/>
              <w:bottom w:val="nil"/>
            </w:tcBorders>
          </w:tcPr>
          <w:p w14:paraId="608286C7"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5.4</w:t>
            </w:r>
          </w:p>
        </w:tc>
        <w:tc>
          <w:tcPr>
            <w:tcW w:w="540" w:type="dxa"/>
            <w:tcBorders>
              <w:top w:val="nil"/>
              <w:bottom w:val="nil"/>
            </w:tcBorders>
          </w:tcPr>
          <w:p w14:paraId="0A79739C"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4.8</w:t>
            </w:r>
          </w:p>
        </w:tc>
        <w:tc>
          <w:tcPr>
            <w:tcW w:w="540" w:type="dxa"/>
            <w:tcBorders>
              <w:top w:val="nil"/>
              <w:bottom w:val="nil"/>
            </w:tcBorders>
          </w:tcPr>
          <w:p w14:paraId="7054F00D"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058A0E66"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-0.6</w:t>
            </w:r>
          </w:p>
        </w:tc>
        <w:tc>
          <w:tcPr>
            <w:tcW w:w="588" w:type="dxa"/>
            <w:tcBorders>
              <w:top w:val="nil"/>
              <w:bottom w:val="nil"/>
            </w:tcBorders>
          </w:tcPr>
          <w:p w14:paraId="1C57134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5.1</w:t>
            </w:r>
          </w:p>
        </w:tc>
        <w:tc>
          <w:tcPr>
            <w:tcW w:w="717" w:type="dxa"/>
            <w:tcBorders>
              <w:top w:val="nil"/>
              <w:bottom w:val="nil"/>
            </w:tcBorders>
          </w:tcPr>
          <w:p w14:paraId="538B7BC9"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5.7</w:t>
            </w:r>
          </w:p>
        </w:tc>
        <w:tc>
          <w:tcPr>
            <w:tcW w:w="642" w:type="dxa"/>
            <w:tcBorders>
              <w:top w:val="nil"/>
              <w:bottom w:val="nil"/>
            </w:tcBorders>
          </w:tcPr>
          <w:p w14:paraId="2918A49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4.5</w:t>
            </w:r>
          </w:p>
        </w:tc>
      </w:tr>
      <w:tr w:rsidR="009B1CF2" w:rsidRPr="009B1CF2" w14:paraId="512B12B3" w14:textId="77777777" w:rsidTr="0098560F">
        <w:trPr>
          <w:jc w:val="center"/>
        </w:trPr>
        <w:tc>
          <w:tcPr>
            <w:tcW w:w="3528" w:type="dxa"/>
            <w:tcBorders>
              <w:top w:val="nil"/>
              <w:bottom w:val="nil"/>
            </w:tcBorders>
          </w:tcPr>
          <w:p w14:paraId="6327916B" w14:textId="77777777" w:rsidR="009B1CF2" w:rsidRPr="0098560F" w:rsidRDefault="009B1CF2" w:rsidP="009B1CF2">
            <w:pPr>
              <w:rPr>
                <w:rFonts w:eastAsia="Times New Roman"/>
                <w:b/>
                <w:sz w:val="12"/>
                <w:szCs w:val="12"/>
                <w:lang w:val="es-ES"/>
              </w:rPr>
            </w:pPr>
            <w:r w:rsidRPr="0098560F">
              <w:rPr>
                <w:rFonts w:eastAsia="Times New Roman"/>
                <w:b/>
                <w:sz w:val="12"/>
                <w:szCs w:val="12"/>
                <w:lang w:val="es-ES"/>
              </w:rPr>
              <w:t>Tasa interbancaria de oferta de Londres (porcentaje)</w:t>
            </w:r>
          </w:p>
        </w:tc>
        <w:tc>
          <w:tcPr>
            <w:tcW w:w="540" w:type="dxa"/>
            <w:tcBorders>
              <w:top w:val="nil"/>
              <w:bottom w:val="nil"/>
            </w:tcBorders>
          </w:tcPr>
          <w:p w14:paraId="000299FB"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7ED9D911"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06696BCC" w14:textId="77777777" w:rsidR="009B1CF2" w:rsidRPr="0098560F" w:rsidRDefault="009B1CF2" w:rsidP="009B1CF2">
            <w:pPr>
              <w:ind w:right="57"/>
              <w:jc w:val="right"/>
              <w:rPr>
                <w:rFonts w:eastAsia="Times New Roman"/>
                <w:sz w:val="12"/>
                <w:szCs w:val="12"/>
                <w:lang w:val="es-ES"/>
              </w:rPr>
            </w:pPr>
          </w:p>
        </w:tc>
        <w:tc>
          <w:tcPr>
            <w:tcW w:w="540" w:type="dxa"/>
            <w:tcBorders>
              <w:top w:val="nil"/>
              <w:bottom w:val="nil"/>
            </w:tcBorders>
          </w:tcPr>
          <w:p w14:paraId="155933E0"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1A27C5C9" w14:textId="77777777" w:rsidR="009B1CF2" w:rsidRPr="0098560F" w:rsidRDefault="009B1CF2" w:rsidP="009B1CF2">
            <w:pPr>
              <w:ind w:right="113"/>
              <w:jc w:val="right"/>
              <w:rPr>
                <w:rFonts w:eastAsia="Times New Roman"/>
                <w:sz w:val="12"/>
                <w:szCs w:val="12"/>
                <w:lang w:val="es-ES"/>
              </w:rPr>
            </w:pPr>
          </w:p>
        </w:tc>
        <w:tc>
          <w:tcPr>
            <w:tcW w:w="540" w:type="dxa"/>
            <w:tcBorders>
              <w:top w:val="nil"/>
              <w:bottom w:val="nil"/>
            </w:tcBorders>
          </w:tcPr>
          <w:p w14:paraId="02DB6659" w14:textId="77777777" w:rsidR="009B1CF2" w:rsidRPr="0098560F" w:rsidRDefault="009B1CF2" w:rsidP="009B1CF2">
            <w:pPr>
              <w:ind w:right="57"/>
              <w:jc w:val="right"/>
              <w:rPr>
                <w:rFonts w:eastAsia="Times New Roman"/>
                <w:sz w:val="12"/>
                <w:szCs w:val="12"/>
                <w:lang w:val="es-ES"/>
              </w:rPr>
            </w:pPr>
          </w:p>
        </w:tc>
        <w:tc>
          <w:tcPr>
            <w:tcW w:w="588" w:type="dxa"/>
            <w:tcBorders>
              <w:top w:val="nil"/>
              <w:bottom w:val="nil"/>
            </w:tcBorders>
          </w:tcPr>
          <w:p w14:paraId="35F20BE5" w14:textId="77777777" w:rsidR="009B1CF2" w:rsidRPr="0098560F" w:rsidRDefault="009B1CF2" w:rsidP="009B1CF2">
            <w:pPr>
              <w:ind w:right="113"/>
              <w:jc w:val="right"/>
              <w:rPr>
                <w:rFonts w:eastAsia="Times New Roman"/>
                <w:sz w:val="12"/>
                <w:szCs w:val="12"/>
                <w:lang w:val="es-ES"/>
              </w:rPr>
            </w:pPr>
          </w:p>
        </w:tc>
        <w:tc>
          <w:tcPr>
            <w:tcW w:w="717" w:type="dxa"/>
            <w:tcBorders>
              <w:top w:val="nil"/>
              <w:bottom w:val="nil"/>
            </w:tcBorders>
          </w:tcPr>
          <w:p w14:paraId="21BF2670" w14:textId="77777777" w:rsidR="009B1CF2" w:rsidRPr="0098560F" w:rsidRDefault="009B1CF2" w:rsidP="009B1CF2">
            <w:pPr>
              <w:ind w:right="170"/>
              <w:jc w:val="right"/>
              <w:rPr>
                <w:rFonts w:eastAsia="Times New Roman"/>
                <w:sz w:val="12"/>
                <w:szCs w:val="12"/>
                <w:lang w:val="es-ES"/>
              </w:rPr>
            </w:pPr>
          </w:p>
        </w:tc>
        <w:tc>
          <w:tcPr>
            <w:tcW w:w="642" w:type="dxa"/>
            <w:tcBorders>
              <w:top w:val="nil"/>
              <w:bottom w:val="nil"/>
            </w:tcBorders>
          </w:tcPr>
          <w:p w14:paraId="3D3263CA" w14:textId="77777777" w:rsidR="009B1CF2" w:rsidRPr="0098560F" w:rsidRDefault="009B1CF2" w:rsidP="009B1CF2">
            <w:pPr>
              <w:ind w:right="113"/>
              <w:jc w:val="right"/>
              <w:rPr>
                <w:rFonts w:eastAsia="Times New Roman"/>
                <w:sz w:val="12"/>
                <w:szCs w:val="12"/>
                <w:lang w:val="es-ES"/>
              </w:rPr>
            </w:pPr>
          </w:p>
        </w:tc>
      </w:tr>
      <w:tr w:rsidR="009B1CF2" w:rsidRPr="009B1CF2" w14:paraId="1F07D0CD" w14:textId="77777777" w:rsidTr="0098560F">
        <w:trPr>
          <w:jc w:val="center"/>
        </w:trPr>
        <w:tc>
          <w:tcPr>
            <w:tcW w:w="3528" w:type="dxa"/>
            <w:tcBorders>
              <w:top w:val="nil"/>
              <w:bottom w:val="nil"/>
            </w:tcBorders>
          </w:tcPr>
          <w:p w14:paraId="7C794074"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Sobre los depósitos en dólares estadounidenses (seis meses)</w:t>
            </w:r>
          </w:p>
        </w:tc>
        <w:tc>
          <w:tcPr>
            <w:tcW w:w="540" w:type="dxa"/>
            <w:tcBorders>
              <w:top w:val="nil"/>
              <w:bottom w:val="nil"/>
            </w:tcBorders>
          </w:tcPr>
          <w:p w14:paraId="52AAA3C4"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0.4</w:t>
            </w:r>
          </w:p>
        </w:tc>
        <w:tc>
          <w:tcPr>
            <w:tcW w:w="540" w:type="dxa"/>
            <w:tcBorders>
              <w:top w:val="nil"/>
              <w:bottom w:val="nil"/>
            </w:tcBorders>
          </w:tcPr>
          <w:p w14:paraId="7759795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0.3</w:t>
            </w:r>
          </w:p>
        </w:tc>
        <w:tc>
          <w:tcPr>
            <w:tcW w:w="540" w:type="dxa"/>
            <w:tcBorders>
              <w:top w:val="nil"/>
              <w:bottom w:val="nil"/>
            </w:tcBorders>
          </w:tcPr>
          <w:p w14:paraId="3E9097A2"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0.7</w:t>
            </w:r>
          </w:p>
        </w:tc>
        <w:tc>
          <w:tcPr>
            <w:tcW w:w="540" w:type="dxa"/>
            <w:tcBorders>
              <w:top w:val="nil"/>
              <w:bottom w:val="nil"/>
            </w:tcBorders>
          </w:tcPr>
          <w:p w14:paraId="4C15EF1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1.9</w:t>
            </w:r>
          </w:p>
        </w:tc>
        <w:tc>
          <w:tcPr>
            <w:tcW w:w="540" w:type="dxa"/>
            <w:tcBorders>
              <w:top w:val="nil"/>
              <w:bottom w:val="nil"/>
            </w:tcBorders>
          </w:tcPr>
          <w:p w14:paraId="00829CB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2DC25A37"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0.0</w:t>
            </w:r>
          </w:p>
        </w:tc>
        <w:tc>
          <w:tcPr>
            <w:tcW w:w="588" w:type="dxa"/>
            <w:tcBorders>
              <w:top w:val="nil"/>
              <w:bottom w:val="nil"/>
            </w:tcBorders>
          </w:tcPr>
          <w:p w14:paraId="140BCBFF"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239DB6B7"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747747B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484D6DFE" w14:textId="77777777" w:rsidTr="0098560F">
        <w:trPr>
          <w:jc w:val="center"/>
        </w:trPr>
        <w:tc>
          <w:tcPr>
            <w:tcW w:w="3528" w:type="dxa"/>
            <w:tcBorders>
              <w:top w:val="nil"/>
              <w:bottom w:val="nil"/>
            </w:tcBorders>
          </w:tcPr>
          <w:p w14:paraId="09E20E16"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Sobre los depósitos en euros (tres meses)</w:t>
            </w:r>
          </w:p>
        </w:tc>
        <w:tc>
          <w:tcPr>
            <w:tcW w:w="540" w:type="dxa"/>
            <w:tcBorders>
              <w:top w:val="nil"/>
              <w:bottom w:val="nil"/>
            </w:tcBorders>
          </w:tcPr>
          <w:p w14:paraId="40430BA7"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6722DF35"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nil"/>
            </w:tcBorders>
          </w:tcPr>
          <w:p w14:paraId="3FD9D06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221D5C6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5B6DE854"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nil"/>
            </w:tcBorders>
          </w:tcPr>
          <w:p w14:paraId="2276B85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nil"/>
            </w:tcBorders>
          </w:tcPr>
          <w:p w14:paraId="3F8B4CBB"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nil"/>
            </w:tcBorders>
          </w:tcPr>
          <w:p w14:paraId="5E0B7B52"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nil"/>
            </w:tcBorders>
          </w:tcPr>
          <w:p w14:paraId="7986ED6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1E149E9E" w14:textId="77777777" w:rsidTr="0098560F">
        <w:trPr>
          <w:jc w:val="center"/>
        </w:trPr>
        <w:tc>
          <w:tcPr>
            <w:tcW w:w="3528" w:type="dxa"/>
            <w:tcBorders>
              <w:top w:val="nil"/>
              <w:bottom w:val="single" w:sz="4" w:space="0" w:color="auto"/>
            </w:tcBorders>
          </w:tcPr>
          <w:p w14:paraId="5D817553" w14:textId="77777777" w:rsidR="009B1CF2" w:rsidRPr="0098560F" w:rsidRDefault="009B1CF2" w:rsidP="009B1CF2">
            <w:pPr>
              <w:rPr>
                <w:rFonts w:eastAsia="Times New Roman"/>
                <w:sz w:val="12"/>
                <w:szCs w:val="12"/>
                <w:lang w:val="es-ES"/>
              </w:rPr>
            </w:pPr>
            <w:r w:rsidRPr="0098560F">
              <w:rPr>
                <w:rFonts w:eastAsia="Times New Roman"/>
                <w:sz w:val="12"/>
                <w:szCs w:val="12"/>
                <w:lang w:val="es-ES"/>
              </w:rPr>
              <w:t>Sobre los depósitos en yenes japoneses (seis meses)</w:t>
            </w:r>
          </w:p>
        </w:tc>
        <w:tc>
          <w:tcPr>
            <w:tcW w:w="540" w:type="dxa"/>
            <w:tcBorders>
              <w:top w:val="nil"/>
              <w:bottom w:val="single" w:sz="4" w:space="0" w:color="auto"/>
            </w:tcBorders>
          </w:tcPr>
          <w:p w14:paraId="4A7ED901"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single" w:sz="4" w:space="0" w:color="auto"/>
            </w:tcBorders>
          </w:tcPr>
          <w:p w14:paraId="7F57CBC2"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single" w:sz="4" w:space="0" w:color="auto"/>
            </w:tcBorders>
          </w:tcPr>
          <w:p w14:paraId="6630CDDB"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40" w:type="dxa"/>
            <w:tcBorders>
              <w:top w:val="nil"/>
              <w:bottom w:val="single" w:sz="4" w:space="0" w:color="auto"/>
            </w:tcBorders>
          </w:tcPr>
          <w:p w14:paraId="7956387A"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0.2</w:t>
            </w:r>
          </w:p>
        </w:tc>
        <w:tc>
          <w:tcPr>
            <w:tcW w:w="540" w:type="dxa"/>
            <w:tcBorders>
              <w:top w:val="nil"/>
              <w:bottom w:val="single" w:sz="4" w:space="0" w:color="auto"/>
            </w:tcBorders>
          </w:tcPr>
          <w:p w14:paraId="7BC18C1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0.0</w:t>
            </w:r>
          </w:p>
        </w:tc>
        <w:tc>
          <w:tcPr>
            <w:tcW w:w="540" w:type="dxa"/>
            <w:tcBorders>
              <w:top w:val="nil"/>
              <w:bottom w:val="single" w:sz="4" w:space="0" w:color="auto"/>
            </w:tcBorders>
          </w:tcPr>
          <w:p w14:paraId="4B2749CF" w14:textId="77777777" w:rsidR="009B1CF2" w:rsidRPr="0098560F" w:rsidRDefault="009B1CF2" w:rsidP="009B1CF2">
            <w:pPr>
              <w:ind w:right="57"/>
              <w:jc w:val="right"/>
              <w:rPr>
                <w:rFonts w:eastAsia="Times New Roman"/>
                <w:sz w:val="12"/>
                <w:szCs w:val="12"/>
                <w:lang w:val="es-ES"/>
              </w:rPr>
            </w:pPr>
            <w:r w:rsidRPr="0098560F">
              <w:rPr>
                <w:rFonts w:eastAsia="Times New Roman"/>
                <w:sz w:val="12"/>
                <w:szCs w:val="12"/>
                <w:lang w:val="es-ES"/>
              </w:rPr>
              <w:t>0.1</w:t>
            </w:r>
          </w:p>
        </w:tc>
        <w:tc>
          <w:tcPr>
            <w:tcW w:w="588" w:type="dxa"/>
            <w:tcBorders>
              <w:top w:val="nil"/>
              <w:bottom w:val="single" w:sz="4" w:space="0" w:color="auto"/>
            </w:tcBorders>
          </w:tcPr>
          <w:p w14:paraId="3D4757C0"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c>
          <w:tcPr>
            <w:tcW w:w="717" w:type="dxa"/>
            <w:tcBorders>
              <w:top w:val="nil"/>
              <w:bottom w:val="single" w:sz="4" w:space="0" w:color="auto"/>
            </w:tcBorders>
          </w:tcPr>
          <w:p w14:paraId="74FE3A83" w14:textId="77777777" w:rsidR="009B1CF2" w:rsidRPr="0098560F" w:rsidRDefault="009B1CF2" w:rsidP="009B1CF2">
            <w:pPr>
              <w:ind w:right="170"/>
              <w:jc w:val="right"/>
              <w:rPr>
                <w:rFonts w:eastAsia="Times New Roman"/>
                <w:sz w:val="12"/>
                <w:szCs w:val="12"/>
                <w:lang w:val="es-ES"/>
              </w:rPr>
            </w:pPr>
            <w:r w:rsidRPr="0098560F">
              <w:rPr>
                <w:rFonts w:eastAsia="Times New Roman"/>
                <w:sz w:val="12"/>
                <w:szCs w:val="12"/>
                <w:lang w:val="es-ES"/>
              </w:rPr>
              <w:t>-</w:t>
            </w:r>
          </w:p>
        </w:tc>
        <w:tc>
          <w:tcPr>
            <w:tcW w:w="642" w:type="dxa"/>
            <w:tcBorders>
              <w:top w:val="nil"/>
              <w:bottom w:val="single" w:sz="4" w:space="0" w:color="auto"/>
            </w:tcBorders>
          </w:tcPr>
          <w:p w14:paraId="5817A4A8" w14:textId="77777777" w:rsidR="009B1CF2" w:rsidRPr="0098560F" w:rsidRDefault="009B1CF2" w:rsidP="009B1CF2">
            <w:pPr>
              <w:ind w:right="113"/>
              <w:jc w:val="right"/>
              <w:rPr>
                <w:rFonts w:eastAsia="Times New Roman"/>
                <w:sz w:val="12"/>
                <w:szCs w:val="12"/>
                <w:lang w:val="es-ES"/>
              </w:rPr>
            </w:pPr>
            <w:r w:rsidRPr="0098560F">
              <w:rPr>
                <w:rFonts w:eastAsia="Times New Roman"/>
                <w:sz w:val="12"/>
                <w:szCs w:val="12"/>
                <w:lang w:val="es-ES"/>
              </w:rPr>
              <w:t>-</w:t>
            </w:r>
          </w:p>
        </w:tc>
      </w:tr>
      <w:tr w:rsidR="009B1CF2" w:rsidRPr="009B1CF2" w14:paraId="34271C1D" w14:textId="77777777" w:rsidTr="008B3DA6">
        <w:trPr>
          <w:jc w:val="center"/>
        </w:trPr>
        <w:tc>
          <w:tcPr>
            <w:tcW w:w="8715" w:type="dxa"/>
            <w:gridSpan w:val="10"/>
            <w:tcBorders>
              <w:left w:val="nil"/>
              <w:bottom w:val="nil"/>
              <w:right w:val="nil"/>
            </w:tcBorders>
          </w:tcPr>
          <w:p w14:paraId="1815E838" w14:textId="77777777" w:rsidR="009B1CF2" w:rsidRPr="0098560F" w:rsidRDefault="009B1CF2" w:rsidP="009B1CF2">
            <w:pPr>
              <w:ind w:left="284" w:hanging="284"/>
              <w:jc w:val="both"/>
              <w:rPr>
                <w:rFonts w:eastAsia="Times New Roman"/>
                <w:sz w:val="12"/>
                <w:szCs w:val="12"/>
                <w:lang w:val="es-ES"/>
              </w:rPr>
            </w:pPr>
            <w:r w:rsidRPr="0098560F">
              <w:rPr>
                <w:rFonts w:eastAsia="Times New Roman"/>
                <w:sz w:val="12"/>
                <w:szCs w:val="12"/>
                <w:lang w:val="es-ES"/>
              </w:rPr>
              <w:t>Nota: Se parte del supuesto de que los tipos de cambio efectivos reales se mantienen constantes a los niveles vigentes entre el 6 de febrero y el 6 de marzo de 2015. Las economías no se enumeran en base al tamaño de la economía. Los datos trimestrales agregados están desestacionalizados. Lituania figura entre las economías avanzadas; en la Actualización de enero de 2015 del informe WEO, figuraba entre las economías de mercados emergentes y en desarrollo.</w:t>
            </w:r>
          </w:p>
          <w:p w14:paraId="1B7A7780" w14:textId="77777777" w:rsidR="009B1CF2" w:rsidRPr="0098560F" w:rsidRDefault="009B1CF2" w:rsidP="009B1CF2">
            <w:pPr>
              <w:jc w:val="both"/>
              <w:rPr>
                <w:rFonts w:eastAsia="Times New Roman"/>
                <w:sz w:val="12"/>
                <w:szCs w:val="12"/>
                <w:lang w:val="es-ES"/>
              </w:rPr>
            </w:pPr>
            <w:r w:rsidRPr="0098560F">
              <w:rPr>
                <w:rFonts w:eastAsia="Times New Roman"/>
                <w:sz w:val="12"/>
                <w:szCs w:val="12"/>
                <w:u w:val="single"/>
                <w:lang w:val="es-ES"/>
              </w:rPr>
              <w:t>1</w:t>
            </w:r>
            <w:r w:rsidRPr="0098560F">
              <w:rPr>
                <w:rFonts w:eastAsia="Times New Roman"/>
                <w:sz w:val="12"/>
                <w:szCs w:val="12"/>
                <w:lang w:val="es-ES"/>
              </w:rPr>
              <w:t>/ diferencia basada en cifras redondeadas, tanto en los pronósticos de esta edición como en los de la Actualización de enero de 2015 del informe WEO.</w:t>
            </w:r>
          </w:p>
          <w:p w14:paraId="44472418" w14:textId="77777777" w:rsidR="009B1CF2" w:rsidRPr="0098560F" w:rsidRDefault="009B1CF2" w:rsidP="009B1CF2">
            <w:pPr>
              <w:jc w:val="both"/>
              <w:rPr>
                <w:rFonts w:eastAsia="Times New Roman"/>
                <w:sz w:val="12"/>
                <w:szCs w:val="12"/>
                <w:lang w:val="es-ES"/>
              </w:rPr>
            </w:pPr>
            <w:r w:rsidRPr="0098560F">
              <w:rPr>
                <w:rFonts w:eastAsia="Times New Roman"/>
                <w:sz w:val="12"/>
                <w:szCs w:val="12"/>
                <w:u w:val="single"/>
                <w:lang w:val="es-ES"/>
              </w:rPr>
              <w:t>2</w:t>
            </w:r>
            <w:r w:rsidRPr="0098560F">
              <w:rPr>
                <w:rFonts w:eastAsia="Times New Roman"/>
                <w:sz w:val="12"/>
                <w:szCs w:val="12"/>
                <w:lang w:val="es-ES"/>
              </w:rPr>
              <w:t>/ Las estimaciones y proyecciones trimestrales abarcan el 90% de las ponderaciones mundiales ajustadas según la paridad del poder adquisitivo.</w:t>
            </w:r>
          </w:p>
          <w:p w14:paraId="78408834" w14:textId="77777777" w:rsidR="009B1CF2" w:rsidRPr="0098560F" w:rsidRDefault="009B1CF2" w:rsidP="009B1CF2">
            <w:pPr>
              <w:ind w:left="170" w:hanging="170"/>
              <w:jc w:val="both"/>
              <w:rPr>
                <w:rFonts w:eastAsia="Times New Roman"/>
                <w:sz w:val="12"/>
                <w:szCs w:val="12"/>
                <w:lang w:val="es-ES"/>
              </w:rPr>
            </w:pPr>
            <w:r w:rsidRPr="0098560F">
              <w:rPr>
                <w:rFonts w:eastAsia="Times New Roman"/>
                <w:sz w:val="12"/>
                <w:szCs w:val="12"/>
                <w:u w:val="single"/>
                <w:lang w:val="es-ES"/>
              </w:rPr>
              <w:t>3</w:t>
            </w:r>
            <w:r w:rsidRPr="0098560F">
              <w:rPr>
                <w:rFonts w:eastAsia="Times New Roman"/>
                <w:sz w:val="12"/>
                <w:szCs w:val="12"/>
                <w:lang w:val="es-ES"/>
              </w:rPr>
              <w:t>/ Excluido Lituania, que ingresó en la zona del euro en enero de 2015. Los datos sobre Lituania no se incluyen en los agregados de la zona del euro porque Eurostat no ha publicado en su totalidad los datos consolidados del grupo.</w:t>
            </w:r>
          </w:p>
          <w:p w14:paraId="5EB62AC6" w14:textId="1AC7CEAA" w:rsidR="009B1CF2" w:rsidRPr="0098560F" w:rsidRDefault="009B1CF2" w:rsidP="009B1CF2">
            <w:pPr>
              <w:ind w:left="227" w:hanging="227"/>
              <w:jc w:val="both"/>
              <w:rPr>
                <w:rFonts w:eastAsia="Times New Roman"/>
                <w:sz w:val="12"/>
                <w:szCs w:val="12"/>
                <w:lang w:val="es-ES"/>
              </w:rPr>
            </w:pPr>
            <w:r w:rsidRPr="0098560F">
              <w:rPr>
                <w:rFonts w:eastAsia="Times New Roman"/>
                <w:sz w:val="12"/>
                <w:szCs w:val="12"/>
                <w:u w:val="single"/>
                <w:lang w:val="es-ES"/>
              </w:rPr>
              <w:t>4</w:t>
            </w:r>
            <w:r w:rsidRPr="0098560F">
              <w:rPr>
                <w:rFonts w:eastAsia="Times New Roman"/>
                <w:sz w:val="12"/>
                <w:szCs w:val="12"/>
                <w:lang w:val="es-ES"/>
              </w:rPr>
              <w:t>/ Excluidos el G-7 (Alemania, Canadá, Estados Unidos</w:t>
            </w:r>
            <w:r w:rsidR="00A303E8">
              <w:rPr>
                <w:rFonts w:eastAsia="Times New Roman"/>
                <w:sz w:val="12"/>
                <w:szCs w:val="12"/>
                <w:lang w:val="es-ES"/>
              </w:rPr>
              <w:t xml:space="preserve"> de Norteamérica</w:t>
            </w:r>
            <w:r w:rsidRPr="0098560F">
              <w:rPr>
                <w:rFonts w:eastAsia="Times New Roman"/>
                <w:sz w:val="12"/>
                <w:szCs w:val="12"/>
                <w:lang w:val="es-ES"/>
              </w:rPr>
              <w:t>, Francia, Italia, Japón, el Reino Unido) y los países de la zona euro, pero se incluye Lituania.</w:t>
            </w:r>
          </w:p>
          <w:p w14:paraId="0D93DFC0" w14:textId="77777777" w:rsidR="009B1CF2" w:rsidRPr="0098560F" w:rsidRDefault="009B1CF2" w:rsidP="009B1CF2">
            <w:pPr>
              <w:ind w:left="227" w:hanging="227"/>
              <w:jc w:val="both"/>
              <w:rPr>
                <w:rFonts w:eastAsia="Times New Roman"/>
                <w:sz w:val="12"/>
                <w:szCs w:val="12"/>
                <w:lang w:val="es-ES"/>
              </w:rPr>
            </w:pPr>
            <w:r w:rsidRPr="0098560F">
              <w:rPr>
                <w:rFonts w:eastAsia="Times New Roman"/>
                <w:sz w:val="12"/>
                <w:szCs w:val="12"/>
                <w:u w:val="single"/>
                <w:lang w:val="es-ES"/>
              </w:rPr>
              <w:t>5</w:t>
            </w:r>
            <w:r w:rsidRPr="0098560F">
              <w:rPr>
                <w:rFonts w:eastAsia="Times New Roman"/>
                <w:sz w:val="12"/>
                <w:szCs w:val="12"/>
                <w:lang w:val="es-ES"/>
              </w:rPr>
              <w:t>/ Las estimaciones y proyecciones trimestrales abarcan aproximadamente el 80% de las economías emergentes y en desarrollo.</w:t>
            </w:r>
          </w:p>
          <w:p w14:paraId="7CFB78DA" w14:textId="77777777" w:rsidR="009B1CF2" w:rsidRPr="0098560F" w:rsidRDefault="009B1CF2" w:rsidP="009B1CF2">
            <w:pPr>
              <w:ind w:left="113" w:hanging="113"/>
              <w:jc w:val="both"/>
              <w:rPr>
                <w:rFonts w:eastAsia="Times New Roman"/>
                <w:sz w:val="12"/>
                <w:szCs w:val="12"/>
                <w:lang w:val="es-ES"/>
              </w:rPr>
            </w:pPr>
            <w:r w:rsidRPr="0098560F">
              <w:rPr>
                <w:rFonts w:eastAsia="Times New Roman"/>
                <w:sz w:val="12"/>
                <w:szCs w:val="12"/>
                <w:u w:val="single"/>
                <w:lang w:val="es-ES"/>
              </w:rPr>
              <w:t>6</w:t>
            </w:r>
            <w:r w:rsidRPr="0098560F">
              <w:rPr>
                <w:rFonts w:eastAsia="Times New Roman"/>
                <w:sz w:val="12"/>
                <w:szCs w:val="12"/>
                <w:lang w:val="es-ES"/>
              </w:rPr>
              <w:t>/ Los datos y proyecciones se presentan en base el ejercicio fiscal, y el PIB a partir de 2011, en base al PIB a precios de mercado con el ejercicio 2011/12 como año base. Las tasas de crecimiento indicadas en la Actualización de enero de 2015 del informe WEO estaban basadas en el PIB a precios de mercado con el ejercicio 2004/05 como año base.</w:t>
            </w:r>
          </w:p>
          <w:p w14:paraId="56583490" w14:textId="77777777" w:rsidR="009B1CF2" w:rsidRPr="0098560F" w:rsidRDefault="009B1CF2" w:rsidP="009B1CF2">
            <w:pPr>
              <w:ind w:left="113" w:hanging="113"/>
              <w:jc w:val="both"/>
              <w:rPr>
                <w:rFonts w:eastAsia="Times New Roman"/>
                <w:sz w:val="12"/>
                <w:szCs w:val="12"/>
                <w:lang w:val="es-ES"/>
              </w:rPr>
            </w:pPr>
            <w:r w:rsidRPr="0098560F">
              <w:rPr>
                <w:rFonts w:eastAsia="Times New Roman"/>
                <w:sz w:val="12"/>
                <w:szCs w:val="12"/>
                <w:u w:val="single"/>
                <w:lang w:val="es-ES"/>
              </w:rPr>
              <w:t>7</w:t>
            </w:r>
            <w:r w:rsidRPr="0098560F">
              <w:rPr>
                <w:rFonts w:eastAsia="Times New Roman"/>
                <w:sz w:val="12"/>
                <w:szCs w:val="12"/>
                <w:lang w:val="es-ES"/>
              </w:rPr>
              <w:t>/ Filipinas, Indonesia, Malasia, Tailandia y Vietnam.</w:t>
            </w:r>
          </w:p>
          <w:p w14:paraId="10E54B69" w14:textId="77777777" w:rsidR="009B1CF2" w:rsidRPr="0098560F" w:rsidRDefault="009B1CF2" w:rsidP="009B1CF2">
            <w:pPr>
              <w:ind w:left="113" w:hanging="113"/>
              <w:jc w:val="both"/>
              <w:rPr>
                <w:rFonts w:eastAsia="Times New Roman"/>
                <w:sz w:val="12"/>
                <w:szCs w:val="12"/>
                <w:lang w:val="es-ES"/>
              </w:rPr>
            </w:pPr>
            <w:r w:rsidRPr="0098560F">
              <w:rPr>
                <w:rFonts w:eastAsia="Times New Roman"/>
                <w:sz w:val="12"/>
                <w:szCs w:val="12"/>
                <w:u w:val="single"/>
                <w:lang w:val="es-ES"/>
              </w:rPr>
              <w:t>8</w:t>
            </w:r>
            <w:r w:rsidRPr="0098560F">
              <w:rPr>
                <w:rFonts w:eastAsia="Times New Roman"/>
                <w:sz w:val="12"/>
                <w:szCs w:val="12"/>
                <w:lang w:val="es-ES"/>
              </w:rPr>
              <w:t>/ Las proyecciones de Lituania estaban incluidas en la Actualización de enero de 2015 del informe WEO, pero se las excluye de las columnas que comparan los pronósticos actuales con los de esa Actualización.</w:t>
            </w:r>
          </w:p>
          <w:p w14:paraId="478ABF7B" w14:textId="784D7ED5" w:rsidR="009B1CF2" w:rsidRPr="0098560F" w:rsidRDefault="009B1CF2" w:rsidP="009B1CF2">
            <w:pPr>
              <w:ind w:left="113" w:hanging="113"/>
              <w:jc w:val="both"/>
              <w:rPr>
                <w:rFonts w:eastAsia="Times New Roman"/>
                <w:sz w:val="12"/>
                <w:szCs w:val="12"/>
                <w:lang w:val="es-ES"/>
              </w:rPr>
            </w:pPr>
            <w:r w:rsidRPr="0098560F">
              <w:rPr>
                <w:rFonts w:eastAsia="Times New Roman"/>
                <w:sz w:val="12"/>
                <w:szCs w:val="12"/>
                <w:u w:val="single"/>
                <w:lang w:val="es-ES"/>
              </w:rPr>
              <w:t>9</w:t>
            </w:r>
            <w:r w:rsidRPr="0098560F">
              <w:rPr>
                <w:rFonts w:eastAsia="Times New Roman"/>
                <w:sz w:val="12"/>
                <w:szCs w:val="12"/>
                <w:lang w:val="es-ES"/>
              </w:rPr>
              <w:t>/ Promedio simple de los precios de las variedades de crudo U.K. Brent, Dubai y West Texas Intermediate. El prec</w:t>
            </w:r>
            <w:r w:rsidR="0098560F">
              <w:rPr>
                <w:rFonts w:eastAsia="Times New Roman"/>
                <w:sz w:val="12"/>
                <w:szCs w:val="12"/>
                <w:lang w:val="es-ES"/>
              </w:rPr>
              <w:t xml:space="preserve">io promedio del petróleo fue </w:t>
            </w:r>
            <w:r w:rsidRPr="0098560F">
              <w:rPr>
                <w:rFonts w:eastAsia="Times New Roman"/>
                <w:sz w:val="12"/>
                <w:szCs w:val="12"/>
                <w:lang w:val="es-ES"/>
              </w:rPr>
              <w:t>96.25</w:t>
            </w:r>
            <w:r w:rsidR="0098560F">
              <w:rPr>
                <w:rFonts w:eastAsia="Times New Roman"/>
                <w:sz w:val="12"/>
                <w:szCs w:val="12"/>
                <w:lang w:val="es-ES"/>
              </w:rPr>
              <w:t xml:space="preserve"> dólares</w:t>
            </w:r>
            <w:r w:rsidRPr="0098560F">
              <w:rPr>
                <w:rFonts w:eastAsia="Times New Roman"/>
                <w:sz w:val="12"/>
                <w:szCs w:val="12"/>
                <w:lang w:val="es-ES"/>
              </w:rPr>
              <w:t xml:space="preserve"> en 2014; el precio supuesto en base a los mercados de futuros es 58.14</w:t>
            </w:r>
            <w:r w:rsidR="0098560F">
              <w:rPr>
                <w:rFonts w:eastAsia="Times New Roman"/>
                <w:sz w:val="12"/>
                <w:szCs w:val="12"/>
                <w:lang w:val="es-ES"/>
              </w:rPr>
              <w:t xml:space="preserve"> dólares</w:t>
            </w:r>
            <w:r w:rsidRPr="0098560F">
              <w:rPr>
                <w:rFonts w:eastAsia="Times New Roman"/>
                <w:sz w:val="12"/>
                <w:szCs w:val="12"/>
                <w:lang w:val="es-ES"/>
              </w:rPr>
              <w:t xml:space="preserve"> en 2015 y 65.65</w:t>
            </w:r>
            <w:r w:rsidR="0098560F">
              <w:rPr>
                <w:rFonts w:eastAsia="Times New Roman"/>
                <w:sz w:val="12"/>
                <w:szCs w:val="12"/>
                <w:lang w:val="es-ES"/>
              </w:rPr>
              <w:t xml:space="preserve"> dólares</w:t>
            </w:r>
            <w:r w:rsidRPr="0098560F">
              <w:rPr>
                <w:rFonts w:eastAsia="Times New Roman"/>
                <w:sz w:val="12"/>
                <w:szCs w:val="12"/>
                <w:lang w:val="es-ES"/>
              </w:rPr>
              <w:t xml:space="preserve"> en 2016.</w:t>
            </w:r>
          </w:p>
          <w:p w14:paraId="30E09E56" w14:textId="77777777" w:rsidR="009B1CF2" w:rsidRPr="0098560F" w:rsidRDefault="009B1CF2" w:rsidP="009B1CF2">
            <w:pPr>
              <w:ind w:left="113" w:hanging="113"/>
              <w:jc w:val="both"/>
              <w:rPr>
                <w:rFonts w:eastAsia="Times New Roman"/>
                <w:sz w:val="12"/>
                <w:szCs w:val="12"/>
                <w:lang w:val="es-ES"/>
              </w:rPr>
            </w:pPr>
            <w:r w:rsidRPr="0098560F">
              <w:rPr>
                <w:rFonts w:eastAsia="Times New Roman"/>
                <w:sz w:val="12"/>
                <w:szCs w:val="12"/>
                <w:lang w:val="es-ES"/>
              </w:rPr>
              <w:t>FUENTE. FMI.</w:t>
            </w:r>
          </w:p>
        </w:tc>
      </w:tr>
    </w:tbl>
    <w:p w14:paraId="5B6E5A54" w14:textId="77777777" w:rsidR="009B1CF2" w:rsidRDefault="009B1CF2" w:rsidP="009B1CF2">
      <w:pPr>
        <w:rPr>
          <w:rFonts w:eastAsia="Times New Roman"/>
          <w:lang w:val="es-ES"/>
        </w:rPr>
      </w:pPr>
    </w:p>
    <w:p w14:paraId="4E024889" w14:textId="77777777" w:rsidR="008D5EEA" w:rsidRDefault="008D5EEA" w:rsidP="009B1CF2">
      <w:pPr>
        <w:rPr>
          <w:rFonts w:eastAsia="Times New Roman"/>
          <w:lang w:val="es-ES"/>
        </w:rPr>
      </w:pPr>
    </w:p>
    <w:p w14:paraId="115EA169" w14:textId="77777777" w:rsidR="0098560F" w:rsidRPr="009B1CF2" w:rsidRDefault="0098560F" w:rsidP="009B1CF2">
      <w:pPr>
        <w:rPr>
          <w:rFonts w:eastAsia="Times New Roman"/>
          <w:lang w:val="es-E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735"/>
      </w:tblGrid>
      <w:tr w:rsidR="00BD25FC" w:rsidRPr="00BD25FC" w14:paraId="033EE7B1" w14:textId="77777777" w:rsidTr="00FC7423">
        <w:trPr>
          <w:jc w:val="center"/>
        </w:trPr>
        <w:tc>
          <w:tcPr>
            <w:tcW w:w="6291" w:type="dxa"/>
          </w:tcPr>
          <w:p w14:paraId="560D94A3" w14:textId="77777777" w:rsidR="00BD25FC" w:rsidRPr="00BD25FC" w:rsidRDefault="00BD25FC" w:rsidP="00BD25FC">
            <w:pPr>
              <w:jc w:val="center"/>
              <w:rPr>
                <w:rFonts w:eastAsia="Calibri"/>
                <w:b/>
                <w:sz w:val="22"/>
                <w:szCs w:val="22"/>
                <w:lang w:eastAsia="en-US"/>
              </w:rPr>
            </w:pPr>
            <w:r w:rsidRPr="00BD25FC">
              <w:rPr>
                <w:rFonts w:eastAsia="Calibri"/>
                <w:b/>
                <w:sz w:val="22"/>
                <w:szCs w:val="22"/>
                <w:lang w:eastAsia="en-US"/>
              </w:rPr>
              <w:lastRenderedPageBreak/>
              <w:t>INDICADORES DE LA ACTIVIDAD MUNDIAL</w:t>
            </w:r>
          </w:p>
          <w:p w14:paraId="620C0C40" w14:textId="77777777" w:rsidR="00BD25FC" w:rsidRPr="00BD25FC" w:rsidRDefault="00BD25FC" w:rsidP="00BD25FC">
            <w:pPr>
              <w:jc w:val="center"/>
              <w:rPr>
                <w:rFonts w:eastAsia="Calibri"/>
                <w:b/>
                <w:sz w:val="22"/>
                <w:szCs w:val="22"/>
                <w:lang w:eastAsia="en-US"/>
              </w:rPr>
            </w:pPr>
            <w:r w:rsidRPr="00BD25FC">
              <w:rPr>
                <w:rFonts w:eastAsia="Calibri"/>
                <w:b/>
                <w:sz w:val="22"/>
                <w:szCs w:val="22"/>
                <w:lang w:eastAsia="en-US"/>
              </w:rPr>
              <w:t>El crecimiento mundial registrado en el segundo semestre de 2014 coincidió en líneas generales con las proyecciones de octubre de 2014, pero esto oculta datos de crecimiento muy sorpresivos, que apuntan a mayores divergencias entre las grandes economías. Si bien la actividad en Estados Unidos de Norteamérica fue más vigorosa de lo esperado, la evolución de otras grandes economías defraudó las expectativas</w:t>
            </w:r>
          </w:p>
        </w:tc>
      </w:tr>
      <w:tr w:rsidR="00BD25FC" w:rsidRPr="00BD25FC" w14:paraId="225B661F" w14:textId="77777777" w:rsidTr="00FC7423">
        <w:trPr>
          <w:jc w:val="center"/>
        </w:trPr>
        <w:tc>
          <w:tcPr>
            <w:tcW w:w="6291" w:type="dxa"/>
          </w:tcPr>
          <w:p w14:paraId="1F4B2F1E" w14:textId="77777777" w:rsidR="00BD25FC" w:rsidRPr="00BD25FC" w:rsidRDefault="00BD25FC" w:rsidP="00BD25FC">
            <w:pPr>
              <w:jc w:val="center"/>
              <w:rPr>
                <w:rFonts w:eastAsia="Calibri"/>
                <w:sz w:val="22"/>
                <w:szCs w:val="22"/>
                <w:lang w:eastAsia="en-US"/>
              </w:rPr>
            </w:pPr>
            <w:r w:rsidRPr="00BD25FC">
              <w:rPr>
                <w:rFonts w:eastAsia="Calibri"/>
                <w:noProof/>
                <w:sz w:val="22"/>
                <w:szCs w:val="22"/>
                <w:lang w:eastAsia="es-MX"/>
              </w:rPr>
              <w:drawing>
                <wp:inline distT="0" distB="0" distL="0" distR="0" wp14:anchorId="532A04D8" wp14:editId="599D2C8F">
                  <wp:extent cx="4139565" cy="23876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39565" cy="2387600"/>
                          </a:xfrm>
                          <a:prstGeom prst="rect">
                            <a:avLst/>
                          </a:prstGeom>
                          <a:noFill/>
                          <a:ln>
                            <a:noFill/>
                          </a:ln>
                        </pic:spPr>
                      </pic:pic>
                    </a:graphicData>
                  </a:graphic>
                </wp:inline>
              </w:drawing>
            </w:r>
          </w:p>
        </w:tc>
      </w:tr>
      <w:tr w:rsidR="00BD25FC" w:rsidRPr="00BD25FC" w14:paraId="15FB1FC5" w14:textId="77777777" w:rsidTr="00FC7423">
        <w:trPr>
          <w:jc w:val="center"/>
        </w:trPr>
        <w:tc>
          <w:tcPr>
            <w:tcW w:w="6291" w:type="dxa"/>
          </w:tcPr>
          <w:p w14:paraId="27698409" w14:textId="77777777" w:rsidR="00BD25FC" w:rsidRPr="00BD25FC" w:rsidRDefault="00BD25FC" w:rsidP="00BD25FC">
            <w:pPr>
              <w:jc w:val="center"/>
              <w:rPr>
                <w:rFonts w:eastAsia="Calibri"/>
                <w:sz w:val="22"/>
                <w:szCs w:val="22"/>
                <w:lang w:eastAsia="en-US"/>
              </w:rPr>
            </w:pPr>
            <w:r w:rsidRPr="00BD25FC">
              <w:rPr>
                <w:rFonts w:eastAsia="Calibri"/>
                <w:noProof/>
                <w:sz w:val="22"/>
                <w:szCs w:val="22"/>
                <w:lang w:eastAsia="es-MX"/>
              </w:rPr>
              <w:drawing>
                <wp:inline distT="0" distB="0" distL="0" distR="0" wp14:anchorId="01C0B698" wp14:editId="656F284E">
                  <wp:extent cx="3736676" cy="25527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39996" cy="2554968"/>
                          </a:xfrm>
                          <a:prstGeom prst="rect">
                            <a:avLst/>
                          </a:prstGeom>
                          <a:noFill/>
                          <a:ln>
                            <a:noFill/>
                          </a:ln>
                        </pic:spPr>
                      </pic:pic>
                    </a:graphicData>
                  </a:graphic>
                </wp:inline>
              </w:drawing>
            </w:r>
          </w:p>
        </w:tc>
      </w:tr>
      <w:tr w:rsidR="00BD25FC" w:rsidRPr="00BD25FC" w14:paraId="06D56494" w14:textId="77777777" w:rsidTr="00FC7423">
        <w:trPr>
          <w:jc w:val="center"/>
        </w:trPr>
        <w:tc>
          <w:tcPr>
            <w:tcW w:w="6291" w:type="dxa"/>
          </w:tcPr>
          <w:p w14:paraId="5DFE7B84" w14:textId="77777777" w:rsidR="00BD25FC" w:rsidRPr="00BD25FC" w:rsidRDefault="00BD25FC" w:rsidP="00BD25FC">
            <w:pPr>
              <w:jc w:val="center"/>
              <w:rPr>
                <w:rFonts w:eastAsia="Calibri"/>
                <w:sz w:val="22"/>
                <w:szCs w:val="22"/>
                <w:lang w:eastAsia="en-US"/>
              </w:rPr>
            </w:pPr>
            <w:r w:rsidRPr="00BD25FC">
              <w:rPr>
                <w:rFonts w:eastAsia="Calibri"/>
                <w:noProof/>
                <w:sz w:val="22"/>
                <w:szCs w:val="22"/>
                <w:lang w:eastAsia="es-MX"/>
              </w:rPr>
              <w:lastRenderedPageBreak/>
              <w:drawing>
                <wp:inline distT="0" distB="0" distL="0" distR="0" wp14:anchorId="2B9A38ED" wp14:editId="5686ABD2">
                  <wp:extent cx="3898265" cy="2594610"/>
                  <wp:effectExtent l="0" t="0" r="698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98265" cy="2594610"/>
                          </a:xfrm>
                          <a:prstGeom prst="rect">
                            <a:avLst/>
                          </a:prstGeom>
                          <a:noFill/>
                          <a:ln>
                            <a:noFill/>
                          </a:ln>
                        </pic:spPr>
                      </pic:pic>
                    </a:graphicData>
                  </a:graphic>
                </wp:inline>
              </w:drawing>
            </w:r>
          </w:p>
        </w:tc>
      </w:tr>
      <w:tr w:rsidR="00BD25FC" w:rsidRPr="00BD25FC" w14:paraId="769BD43C" w14:textId="77777777" w:rsidTr="00FC7423">
        <w:trPr>
          <w:jc w:val="center"/>
        </w:trPr>
        <w:tc>
          <w:tcPr>
            <w:tcW w:w="6291" w:type="dxa"/>
          </w:tcPr>
          <w:p w14:paraId="43802B47" w14:textId="77777777" w:rsidR="00BD25FC" w:rsidRPr="00BD25FC" w:rsidRDefault="00BD25FC" w:rsidP="00BD25FC">
            <w:pPr>
              <w:rPr>
                <w:rFonts w:eastAsia="Calibri"/>
                <w:sz w:val="20"/>
                <w:szCs w:val="20"/>
                <w:lang w:eastAsia="en-US"/>
              </w:rPr>
            </w:pPr>
            <w:r w:rsidRPr="00BD25FC">
              <w:rPr>
                <w:rFonts w:eastAsia="Calibri"/>
                <w:sz w:val="20"/>
                <w:szCs w:val="20"/>
                <w:lang w:eastAsia="en-US"/>
              </w:rPr>
              <w:t>Nota: PI= producción industrial; PMI = índice de gerentes de compras.</w:t>
            </w:r>
          </w:p>
          <w:p w14:paraId="27090E66"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1</w:t>
            </w:r>
            <w:r w:rsidRPr="00BD25FC">
              <w:rPr>
                <w:rFonts w:eastAsia="Calibri"/>
                <w:sz w:val="20"/>
                <w:szCs w:val="20"/>
                <w:lang w:eastAsia="en-US"/>
              </w:rPr>
              <w:t>/ Australia, Canadá, Corea, Dinamarca, Estados Unidos de Norteamérica, Israel, Japón, Noruega (solo PI), Nueva Zelandia, provincia china de Taiwán, RAE de Hong Kong (solo PI), Reino Unido, República Checa, Singapur, Suecia (solo PI), Suiza, zona del euro.</w:t>
            </w:r>
          </w:p>
          <w:p w14:paraId="217A1D19"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2</w:t>
            </w:r>
            <w:r w:rsidRPr="00BD25FC">
              <w:rPr>
                <w:rFonts w:eastAsia="Calibri"/>
                <w:sz w:val="20"/>
                <w:szCs w:val="20"/>
                <w:lang w:eastAsia="en-US"/>
              </w:rPr>
              <w:t xml:space="preserve">/ Argentina (solo PI), Brasil, Bulgaria (solo PI), Chile (solo PI), China, Colombia (solo PI), Filipinas (solo PI), Hungría, India, Indonesia, Letonia (solo PI), Lituania (solo PI), Malasia (solo PI), México, Pakistán (solo PI), Perú (solo PI), Polonia, Rumania (solo PI), Rusia, Sudáfrica, Tailandia (solo PI), Turquía, Ucrania (solo PI), Venezuela (solo PI). </w:t>
            </w:r>
          </w:p>
          <w:p w14:paraId="64BB0AD7" w14:textId="77777777" w:rsidR="00BD25FC" w:rsidRPr="00BD25FC" w:rsidRDefault="00BD25FC" w:rsidP="00BD25FC">
            <w:pPr>
              <w:ind w:left="907" w:hanging="907"/>
              <w:jc w:val="both"/>
              <w:rPr>
                <w:rFonts w:eastAsia="Calibri"/>
                <w:sz w:val="20"/>
                <w:szCs w:val="20"/>
                <w:lang w:eastAsia="en-US"/>
              </w:rPr>
            </w:pPr>
            <w:r w:rsidRPr="00BD25FC">
              <w:rPr>
                <w:rFonts w:eastAsia="Calibri"/>
                <w:sz w:val="20"/>
                <w:szCs w:val="20"/>
                <w:lang w:eastAsia="en-US"/>
              </w:rPr>
              <w:t>FUENTE</w:t>
            </w:r>
            <w:r w:rsidRPr="00BD25FC">
              <w:rPr>
                <w:rFonts w:eastAsia="Calibri"/>
                <w:i/>
                <w:sz w:val="20"/>
                <w:szCs w:val="20"/>
                <w:lang w:eastAsia="en-US"/>
              </w:rPr>
              <w:t>: CPB Netherlands Bureau for Economic Policy Analysis, Haver Analytics, Markit Economics</w:t>
            </w:r>
            <w:r w:rsidRPr="00BD25FC">
              <w:rPr>
                <w:rFonts w:eastAsia="Calibri"/>
                <w:sz w:val="20"/>
                <w:szCs w:val="20"/>
                <w:lang w:eastAsia="en-US"/>
              </w:rPr>
              <w:t xml:space="preserve"> y estimaciones del personal técnico del FMI.</w:t>
            </w:r>
          </w:p>
        </w:tc>
      </w:tr>
    </w:tbl>
    <w:p w14:paraId="4AA04A65" w14:textId="77777777" w:rsidR="009B1CF2" w:rsidRDefault="009B1CF2" w:rsidP="009B1CF2">
      <w:pPr>
        <w:spacing w:after="360" w:line="360" w:lineRule="auto"/>
        <w:ind w:right="-159"/>
        <w:jc w:val="center"/>
        <w:rPr>
          <w:rFonts w:eastAsia="Calibri"/>
          <w:sz w:val="26"/>
          <w:szCs w:val="26"/>
          <w:lang w:eastAsia="en-US"/>
        </w:rPr>
      </w:pPr>
    </w:p>
    <w:p w14:paraId="4FF2ACF2" w14:textId="77777777" w:rsidR="0098560F" w:rsidRDefault="0098560F" w:rsidP="009B1CF2">
      <w:pPr>
        <w:spacing w:after="360" w:line="360" w:lineRule="auto"/>
        <w:ind w:right="-159"/>
        <w:jc w:val="center"/>
        <w:rPr>
          <w:rFonts w:eastAsia="Calibri"/>
          <w:sz w:val="26"/>
          <w:szCs w:val="26"/>
          <w:lang w:eastAsia="en-US"/>
        </w:rPr>
      </w:pPr>
    </w:p>
    <w:p w14:paraId="2BE19795" w14:textId="77777777" w:rsidR="0098560F" w:rsidRDefault="0098560F" w:rsidP="009B1CF2">
      <w:pPr>
        <w:spacing w:after="360" w:line="360" w:lineRule="auto"/>
        <w:ind w:right="-159"/>
        <w:jc w:val="center"/>
        <w:rPr>
          <w:rFonts w:eastAsia="Calibri"/>
          <w:sz w:val="26"/>
          <w:szCs w:val="26"/>
          <w:lang w:eastAsia="en-US"/>
        </w:rPr>
      </w:pPr>
    </w:p>
    <w:p w14:paraId="0880F68A" w14:textId="77777777" w:rsidR="0098560F" w:rsidRDefault="0098560F" w:rsidP="009B1CF2">
      <w:pPr>
        <w:spacing w:after="360" w:line="360" w:lineRule="auto"/>
        <w:ind w:right="-159"/>
        <w:jc w:val="center"/>
        <w:rPr>
          <w:rFonts w:eastAsia="Calibri"/>
          <w:sz w:val="26"/>
          <w:szCs w:val="26"/>
          <w:lang w:eastAsia="en-US"/>
        </w:rPr>
      </w:pPr>
    </w:p>
    <w:p w14:paraId="567EC394" w14:textId="77777777" w:rsidR="0098560F" w:rsidRDefault="0098560F" w:rsidP="009B1CF2">
      <w:pPr>
        <w:spacing w:after="360" w:line="360" w:lineRule="auto"/>
        <w:ind w:right="-159"/>
        <w:jc w:val="center"/>
        <w:rPr>
          <w:rFonts w:eastAsia="Calibri"/>
          <w:sz w:val="26"/>
          <w:szCs w:val="26"/>
          <w:lang w:eastAsia="en-US"/>
        </w:rPr>
      </w:pPr>
    </w:p>
    <w:p w14:paraId="5821EE7D" w14:textId="77777777" w:rsidR="0098560F" w:rsidRDefault="0098560F" w:rsidP="009B1CF2">
      <w:pPr>
        <w:spacing w:after="360" w:line="360" w:lineRule="auto"/>
        <w:ind w:right="-159"/>
        <w:jc w:val="center"/>
        <w:rPr>
          <w:rFonts w:eastAsia="Calibri"/>
          <w:sz w:val="26"/>
          <w:szCs w:val="26"/>
          <w:lang w:eastAsia="en-US"/>
        </w:rPr>
      </w:pPr>
    </w:p>
    <w:p w14:paraId="28C71691" w14:textId="77777777" w:rsidR="0098560F" w:rsidRDefault="0098560F" w:rsidP="009B1CF2">
      <w:pPr>
        <w:spacing w:after="360" w:line="360" w:lineRule="auto"/>
        <w:ind w:right="-159"/>
        <w:jc w:val="center"/>
        <w:rPr>
          <w:rFonts w:eastAsia="Calibri"/>
          <w:sz w:val="26"/>
          <w:szCs w:val="26"/>
          <w:lang w:eastAsia="en-US"/>
        </w:rPr>
      </w:pPr>
    </w:p>
    <w:p w14:paraId="78B97464" w14:textId="77777777" w:rsidR="0098560F" w:rsidRPr="009B1CF2" w:rsidRDefault="0098560F" w:rsidP="009B1CF2">
      <w:pPr>
        <w:spacing w:after="360" w:line="360" w:lineRule="auto"/>
        <w:ind w:right="-159"/>
        <w:jc w:val="center"/>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6291"/>
      </w:tblGrid>
      <w:tr w:rsidR="009B1CF2" w:rsidRPr="009B1CF2" w14:paraId="38946007" w14:textId="77777777" w:rsidTr="008B3DA6">
        <w:trPr>
          <w:jc w:val="center"/>
        </w:trPr>
        <w:tc>
          <w:tcPr>
            <w:tcW w:w="6291" w:type="dxa"/>
          </w:tcPr>
          <w:p w14:paraId="513AFFEC" w14:textId="77777777" w:rsidR="009B1CF2" w:rsidRPr="009B1CF2" w:rsidRDefault="009B1CF2" w:rsidP="009B1CF2">
            <w:pPr>
              <w:jc w:val="center"/>
              <w:rPr>
                <w:rFonts w:eastAsia="Calibri"/>
                <w:b/>
                <w:sz w:val="22"/>
                <w:szCs w:val="22"/>
                <w:lang w:eastAsia="en-US"/>
              </w:rPr>
            </w:pPr>
            <w:r w:rsidRPr="009B1CF2">
              <w:rPr>
                <w:rFonts w:eastAsia="Calibri"/>
                <w:b/>
                <w:sz w:val="22"/>
                <w:szCs w:val="22"/>
                <w:lang w:eastAsia="en-US"/>
              </w:rPr>
              <w:t>INFLACIÓN MUNDIAL</w:t>
            </w:r>
          </w:p>
          <w:p w14:paraId="5F78CE6F" w14:textId="77777777" w:rsidR="009B1CF2" w:rsidRPr="009B1CF2" w:rsidRDefault="009B1CF2" w:rsidP="009B1CF2">
            <w:pPr>
              <w:jc w:val="center"/>
              <w:rPr>
                <w:rFonts w:eastAsia="Calibri"/>
                <w:b/>
                <w:sz w:val="22"/>
                <w:szCs w:val="22"/>
                <w:lang w:eastAsia="en-US"/>
              </w:rPr>
            </w:pPr>
            <w:r w:rsidRPr="009B1CF2">
              <w:rPr>
                <w:rFonts w:eastAsia="Calibri"/>
                <w:b/>
                <w:sz w:val="22"/>
                <w:szCs w:val="22"/>
                <w:lang w:eastAsia="en-US"/>
              </w:rPr>
              <w:t>-Variación porcentual interanual, salvo indicación en contrario-</w:t>
            </w:r>
          </w:p>
        </w:tc>
      </w:tr>
      <w:tr w:rsidR="009B1CF2" w:rsidRPr="009B1CF2" w14:paraId="64079BEE" w14:textId="77777777" w:rsidTr="008B3DA6">
        <w:trPr>
          <w:jc w:val="center"/>
        </w:trPr>
        <w:tc>
          <w:tcPr>
            <w:tcW w:w="6291" w:type="dxa"/>
          </w:tcPr>
          <w:p w14:paraId="2F34AF01" w14:textId="77777777" w:rsidR="009B1CF2" w:rsidRPr="009B1CF2" w:rsidRDefault="009B1CF2" w:rsidP="009B1CF2">
            <w:pPr>
              <w:jc w:val="center"/>
              <w:rPr>
                <w:rFonts w:eastAsia="Calibri"/>
                <w:b/>
                <w:sz w:val="22"/>
                <w:szCs w:val="22"/>
                <w:lang w:eastAsia="en-US"/>
              </w:rPr>
            </w:pPr>
            <w:r w:rsidRPr="009B1CF2">
              <w:rPr>
                <w:rFonts w:eastAsia="Calibri"/>
                <w:b/>
                <w:sz w:val="22"/>
                <w:szCs w:val="22"/>
                <w:lang w:eastAsia="en-US"/>
              </w:rPr>
              <w:t>El nivel general de inﬂación ha disminuido en las economías avanzadas, como consecuencia del abaratamiento del petróleo, la caída de los precios de otras materias primas y el debilitamiento de la demanda en una serie de países que ya experimentaban una inﬂación inferior a la meta, como la zona del euro y Japón. En los mercados emergentes, la caída de los precios del petróleo y de otras materias primas contribuyó en general a reducir la inﬂación a lo largo de 2014, con la destacada excepción de los países que sufrieron depreciaciones cambiarias considerables, como Rusia</w:t>
            </w:r>
          </w:p>
          <w:p w14:paraId="132A97A0" w14:textId="77777777" w:rsidR="009B1CF2" w:rsidRPr="009B1CF2" w:rsidRDefault="009B1CF2" w:rsidP="009B1CF2">
            <w:pPr>
              <w:jc w:val="center"/>
              <w:rPr>
                <w:rFonts w:eastAsia="Calibri"/>
                <w:sz w:val="22"/>
                <w:szCs w:val="22"/>
                <w:lang w:eastAsia="en-US"/>
              </w:rPr>
            </w:pPr>
            <w:r w:rsidRPr="009B1CF2">
              <w:rPr>
                <w:rFonts w:eastAsia="Calibri"/>
                <w:noProof/>
                <w:sz w:val="22"/>
                <w:szCs w:val="22"/>
                <w:lang w:eastAsia="es-MX"/>
              </w:rPr>
              <w:drawing>
                <wp:inline distT="0" distB="0" distL="0" distR="0" wp14:anchorId="2AEF0E96" wp14:editId="300F6BFB">
                  <wp:extent cx="3620580" cy="3960000"/>
                  <wp:effectExtent l="0" t="0" r="0" b="2540"/>
                  <wp:docPr id="1821" name="Imagen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20580" cy="3960000"/>
                          </a:xfrm>
                          <a:prstGeom prst="rect">
                            <a:avLst/>
                          </a:prstGeom>
                          <a:noFill/>
                          <a:ln>
                            <a:noFill/>
                          </a:ln>
                        </pic:spPr>
                      </pic:pic>
                    </a:graphicData>
                  </a:graphic>
                </wp:inline>
              </w:drawing>
            </w:r>
          </w:p>
        </w:tc>
      </w:tr>
      <w:tr w:rsidR="009B1CF2" w:rsidRPr="009B1CF2" w14:paraId="7F753793" w14:textId="77777777" w:rsidTr="008B3DA6">
        <w:trPr>
          <w:jc w:val="center"/>
        </w:trPr>
        <w:tc>
          <w:tcPr>
            <w:tcW w:w="6291" w:type="dxa"/>
          </w:tcPr>
          <w:p w14:paraId="12F5EC41" w14:textId="77777777" w:rsidR="009B1CF2" w:rsidRPr="009B1CF2" w:rsidRDefault="009B1CF2" w:rsidP="009B1CF2">
            <w:pPr>
              <w:jc w:val="center"/>
              <w:rPr>
                <w:rFonts w:eastAsia="Calibri"/>
                <w:sz w:val="22"/>
                <w:szCs w:val="22"/>
                <w:lang w:eastAsia="en-US"/>
              </w:rPr>
            </w:pPr>
            <w:r w:rsidRPr="009B1CF2">
              <w:rPr>
                <w:rFonts w:eastAsia="Calibri"/>
                <w:noProof/>
                <w:sz w:val="22"/>
                <w:szCs w:val="22"/>
                <w:lang w:eastAsia="es-MX"/>
              </w:rPr>
              <w:lastRenderedPageBreak/>
              <w:drawing>
                <wp:inline distT="0" distB="0" distL="0" distR="0" wp14:anchorId="5AAE4DB4" wp14:editId="6BE7E434">
                  <wp:extent cx="3683205" cy="2160000"/>
                  <wp:effectExtent l="0" t="0" r="0" b="0"/>
                  <wp:docPr id="1822" name="Imagen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83205" cy="2160000"/>
                          </a:xfrm>
                          <a:prstGeom prst="rect">
                            <a:avLst/>
                          </a:prstGeom>
                          <a:noFill/>
                          <a:ln>
                            <a:noFill/>
                          </a:ln>
                        </pic:spPr>
                      </pic:pic>
                    </a:graphicData>
                  </a:graphic>
                </wp:inline>
              </w:drawing>
            </w:r>
          </w:p>
        </w:tc>
      </w:tr>
      <w:tr w:rsidR="009B1CF2" w:rsidRPr="009B1CF2" w14:paraId="33BDB40C" w14:textId="77777777" w:rsidTr="008B3DA6">
        <w:trPr>
          <w:jc w:val="center"/>
        </w:trPr>
        <w:tc>
          <w:tcPr>
            <w:tcW w:w="6291" w:type="dxa"/>
          </w:tcPr>
          <w:p w14:paraId="4EE20AEC" w14:textId="77777777" w:rsidR="009B1CF2" w:rsidRPr="009B1CF2" w:rsidRDefault="009B1CF2" w:rsidP="009B1CF2">
            <w:pPr>
              <w:ind w:left="510" w:hanging="510"/>
              <w:jc w:val="both"/>
              <w:rPr>
                <w:rFonts w:eastAsia="Calibri"/>
                <w:sz w:val="20"/>
                <w:szCs w:val="20"/>
                <w:lang w:eastAsia="en-US"/>
              </w:rPr>
            </w:pPr>
            <w:r w:rsidRPr="009B1CF2">
              <w:rPr>
                <w:rFonts w:eastAsia="Calibri"/>
                <w:sz w:val="20"/>
                <w:szCs w:val="20"/>
                <w:lang w:eastAsia="en-US"/>
              </w:rPr>
              <w:t>* Estados Unidos de Norteamérica.</w:t>
            </w:r>
          </w:p>
          <w:p w14:paraId="50C9D7C6" w14:textId="77777777" w:rsidR="009B1CF2" w:rsidRPr="009B1CF2" w:rsidRDefault="009B1CF2" w:rsidP="009B1CF2">
            <w:pPr>
              <w:ind w:left="510" w:hanging="510"/>
              <w:jc w:val="both"/>
              <w:rPr>
                <w:rFonts w:eastAsia="Calibri"/>
                <w:sz w:val="20"/>
                <w:szCs w:val="20"/>
                <w:lang w:eastAsia="en-US"/>
              </w:rPr>
            </w:pPr>
            <w:r w:rsidRPr="009B1CF2">
              <w:rPr>
                <w:rFonts w:eastAsia="Calibri"/>
                <w:sz w:val="20"/>
                <w:szCs w:val="20"/>
                <w:lang w:eastAsia="en-US"/>
              </w:rPr>
              <w:t>Nota: En las leyendas de datos en la gráﬁca se utilizan los códigos de países de la Organización Internacional de Normalización (ISO).</w:t>
            </w:r>
          </w:p>
          <w:p w14:paraId="6A67B12D" w14:textId="77777777" w:rsidR="009B1CF2" w:rsidRPr="009B1CF2" w:rsidRDefault="009B1CF2" w:rsidP="009B1CF2">
            <w:pPr>
              <w:ind w:left="227" w:hanging="227"/>
              <w:jc w:val="both"/>
              <w:rPr>
                <w:rFonts w:eastAsia="Calibri"/>
                <w:sz w:val="20"/>
                <w:szCs w:val="20"/>
                <w:lang w:eastAsia="en-US"/>
              </w:rPr>
            </w:pPr>
            <w:r w:rsidRPr="009B1CF2">
              <w:rPr>
                <w:rFonts w:eastAsia="Calibri"/>
                <w:sz w:val="20"/>
                <w:szCs w:val="20"/>
                <w:u w:val="single"/>
                <w:lang w:eastAsia="en-US"/>
              </w:rPr>
              <w:t>1</w:t>
            </w:r>
            <w:r w:rsidRPr="009B1CF2">
              <w:rPr>
                <w:rFonts w:eastAsia="Calibri"/>
                <w:sz w:val="20"/>
                <w:szCs w:val="20"/>
                <w:lang w:eastAsia="en-US"/>
              </w:rPr>
              <w:t>/ Excluye Venezuela.</w:t>
            </w:r>
          </w:p>
          <w:p w14:paraId="2704FAEB" w14:textId="77777777" w:rsidR="009B1CF2" w:rsidRPr="009B1CF2" w:rsidRDefault="009B1CF2" w:rsidP="009B1CF2">
            <w:pPr>
              <w:ind w:left="227" w:hanging="227"/>
              <w:jc w:val="both"/>
              <w:rPr>
                <w:rFonts w:eastAsia="Calibri"/>
                <w:sz w:val="20"/>
                <w:szCs w:val="20"/>
                <w:lang w:eastAsia="en-US"/>
              </w:rPr>
            </w:pPr>
            <w:r w:rsidRPr="009B1CF2">
              <w:rPr>
                <w:rFonts w:eastAsia="Calibri"/>
                <w:sz w:val="20"/>
                <w:szCs w:val="20"/>
                <w:u w:val="single"/>
                <w:lang w:eastAsia="en-US"/>
              </w:rPr>
              <w:t>2</w:t>
            </w:r>
            <w:r w:rsidRPr="009B1CF2">
              <w:rPr>
                <w:rFonts w:eastAsia="Calibri"/>
                <w:sz w:val="20"/>
                <w:szCs w:val="20"/>
                <w:lang w:eastAsia="en-US"/>
              </w:rPr>
              <w:t>/ Las líneas punteadas representan las expectativas inﬂacionarias de 6 a 10 años.</w:t>
            </w:r>
          </w:p>
          <w:p w14:paraId="051ACE9C" w14:textId="77777777" w:rsidR="009B1CF2" w:rsidRPr="009B1CF2" w:rsidRDefault="009B1CF2" w:rsidP="009B1CF2">
            <w:pPr>
              <w:ind w:left="227" w:hanging="227"/>
              <w:jc w:val="both"/>
              <w:rPr>
                <w:rFonts w:eastAsia="Calibri"/>
                <w:sz w:val="20"/>
                <w:szCs w:val="20"/>
                <w:lang w:eastAsia="en-US"/>
              </w:rPr>
            </w:pPr>
            <w:r w:rsidRPr="009B1CF2">
              <w:rPr>
                <w:rFonts w:eastAsia="Calibri"/>
                <w:sz w:val="20"/>
                <w:szCs w:val="20"/>
                <w:u w:val="single"/>
                <w:lang w:eastAsia="en-US"/>
              </w:rPr>
              <w:t>3</w:t>
            </w:r>
            <w:r w:rsidRPr="009B1CF2">
              <w:rPr>
                <w:rFonts w:eastAsia="Calibri"/>
                <w:sz w:val="20"/>
                <w:szCs w:val="20"/>
                <w:lang w:eastAsia="en-US"/>
              </w:rPr>
              <w:t>/ En Japón, el aumento de la inﬂación en 2014 reﬂeja, en gran medida, el aumento del impuesto sobre el consumo.</w:t>
            </w:r>
          </w:p>
          <w:p w14:paraId="7074E3DA" w14:textId="77777777" w:rsidR="009B1CF2" w:rsidRPr="009B1CF2" w:rsidRDefault="009B1CF2" w:rsidP="009B1CF2">
            <w:pPr>
              <w:ind w:left="227" w:hanging="227"/>
              <w:jc w:val="both"/>
              <w:rPr>
                <w:rFonts w:eastAsia="Calibri"/>
                <w:sz w:val="20"/>
                <w:szCs w:val="20"/>
                <w:lang w:eastAsia="en-US"/>
              </w:rPr>
            </w:pPr>
            <w:r w:rsidRPr="009B1CF2">
              <w:rPr>
                <w:rFonts w:eastAsia="Calibri"/>
                <w:sz w:val="20"/>
                <w:szCs w:val="20"/>
                <w:u w:val="single"/>
                <w:lang w:eastAsia="en-US"/>
              </w:rPr>
              <w:t>4</w:t>
            </w:r>
            <w:r w:rsidRPr="009B1CF2">
              <w:rPr>
                <w:rFonts w:eastAsia="Calibri"/>
                <w:sz w:val="20"/>
                <w:szCs w:val="20"/>
                <w:lang w:eastAsia="en-US"/>
              </w:rPr>
              <w:t>/ Las variaciones de la inﬂación se calculan como la tasa de inﬂación interanual de diciembre de 2014 menos la tasa de inﬂación interanual de diciembre de 2013.</w:t>
            </w:r>
          </w:p>
          <w:p w14:paraId="4F561057" w14:textId="77777777" w:rsidR="009B1CF2" w:rsidRPr="009B1CF2" w:rsidRDefault="009B1CF2" w:rsidP="009B1CF2">
            <w:pPr>
              <w:ind w:left="907" w:hanging="907"/>
              <w:jc w:val="both"/>
              <w:rPr>
                <w:rFonts w:eastAsia="Calibri"/>
                <w:sz w:val="20"/>
                <w:szCs w:val="20"/>
                <w:lang w:eastAsia="en-US"/>
              </w:rPr>
            </w:pPr>
            <w:r w:rsidRPr="009B1CF2">
              <w:rPr>
                <w:rFonts w:eastAsia="Calibri"/>
                <w:sz w:val="20"/>
                <w:szCs w:val="20"/>
                <w:lang w:eastAsia="en-US"/>
              </w:rPr>
              <w:t>FUENTE</w:t>
            </w:r>
            <w:r w:rsidRPr="009B1CF2">
              <w:rPr>
                <w:rFonts w:eastAsia="Calibri"/>
                <w:i/>
                <w:sz w:val="20"/>
                <w:szCs w:val="20"/>
                <w:lang w:eastAsia="en-US"/>
              </w:rPr>
              <w:t xml:space="preserve">: Consensus Economics; </w:t>
            </w:r>
            <w:r w:rsidRPr="009B1CF2">
              <w:rPr>
                <w:rFonts w:eastAsia="Calibri"/>
                <w:sz w:val="20"/>
                <w:szCs w:val="20"/>
                <w:lang w:eastAsia="en-US"/>
              </w:rPr>
              <w:t>FMI, Sistema de Precios de Productos Primarios, y estimaciones del personal técnico del FM.</w:t>
            </w:r>
          </w:p>
        </w:tc>
      </w:tr>
    </w:tbl>
    <w:p w14:paraId="0FB0ED0E" w14:textId="77777777" w:rsidR="009B1CF2" w:rsidRPr="009B1CF2" w:rsidRDefault="009B1CF2" w:rsidP="009B1CF2">
      <w:pPr>
        <w:spacing w:after="160" w:line="259" w:lineRule="auto"/>
        <w:rPr>
          <w:rFonts w:ascii="Calibri" w:eastAsia="Calibri" w:hAnsi="Calibri"/>
          <w:sz w:val="22"/>
          <w:szCs w:val="22"/>
          <w:lang w:eastAsia="en-US"/>
        </w:rPr>
      </w:pPr>
    </w:p>
    <w:p w14:paraId="1182EA83" w14:textId="77777777" w:rsidR="009B1CF2" w:rsidRPr="009B1CF2" w:rsidRDefault="009B1CF2" w:rsidP="009B1CF2">
      <w:pPr>
        <w:spacing w:after="160" w:line="259" w:lineRule="auto"/>
        <w:rPr>
          <w:rFonts w:ascii="Calibri" w:eastAsia="Calibri" w:hAnsi="Calibri"/>
          <w:sz w:val="22"/>
          <w:szCs w:val="22"/>
          <w:lang w:eastAsia="en-US"/>
        </w:rPr>
      </w:pPr>
    </w:p>
    <w:p w14:paraId="666B4E72" w14:textId="77777777" w:rsidR="009B1CF2" w:rsidRPr="009B1CF2" w:rsidRDefault="009B1CF2" w:rsidP="009B1CF2">
      <w:pPr>
        <w:spacing w:after="160" w:line="259" w:lineRule="auto"/>
        <w:rPr>
          <w:rFonts w:ascii="Calibri" w:eastAsia="Calibri" w:hAnsi="Calibri"/>
          <w:sz w:val="22"/>
          <w:szCs w:val="22"/>
          <w:lang w:eastAsia="en-US"/>
        </w:rPr>
      </w:pPr>
    </w:p>
    <w:p w14:paraId="3DAD67B8" w14:textId="77777777" w:rsidR="009B1CF2" w:rsidRPr="009B1CF2" w:rsidRDefault="009B1CF2" w:rsidP="009B1CF2">
      <w:pPr>
        <w:spacing w:after="160" w:line="259" w:lineRule="auto"/>
        <w:rPr>
          <w:rFonts w:ascii="Calibri" w:eastAsia="Calibri" w:hAnsi="Calibri"/>
          <w:sz w:val="22"/>
          <w:szCs w:val="22"/>
          <w:lang w:eastAsia="en-US"/>
        </w:rPr>
      </w:pPr>
    </w:p>
    <w:p w14:paraId="4070E4CC" w14:textId="77777777" w:rsidR="009B1CF2" w:rsidRPr="009B1CF2" w:rsidRDefault="009B1CF2" w:rsidP="009B1CF2">
      <w:pPr>
        <w:spacing w:after="160" w:line="259" w:lineRule="auto"/>
        <w:rPr>
          <w:rFonts w:ascii="Calibri" w:eastAsia="Calibri" w:hAnsi="Calibri"/>
          <w:sz w:val="22"/>
          <w:szCs w:val="22"/>
          <w:lang w:eastAsia="en-US"/>
        </w:rPr>
      </w:pPr>
    </w:p>
    <w:p w14:paraId="46062F9D" w14:textId="77777777" w:rsidR="009B1CF2" w:rsidRPr="009B1CF2" w:rsidRDefault="009B1CF2" w:rsidP="009B1CF2">
      <w:pPr>
        <w:spacing w:after="160" w:line="259" w:lineRule="auto"/>
        <w:rPr>
          <w:rFonts w:ascii="Calibri" w:eastAsia="Calibri" w:hAnsi="Calibri"/>
          <w:sz w:val="22"/>
          <w:szCs w:val="22"/>
          <w:lang w:eastAsia="en-US"/>
        </w:rPr>
      </w:pPr>
    </w:p>
    <w:p w14:paraId="765D7B24" w14:textId="77777777" w:rsidR="009B1CF2" w:rsidRPr="009B1CF2" w:rsidRDefault="009B1CF2" w:rsidP="009B1CF2">
      <w:pPr>
        <w:spacing w:after="160" w:line="259" w:lineRule="auto"/>
        <w:rPr>
          <w:rFonts w:ascii="Calibri" w:eastAsia="Calibri" w:hAnsi="Calibri"/>
          <w:sz w:val="22"/>
          <w:szCs w:val="22"/>
          <w:lang w:eastAsia="en-US"/>
        </w:rPr>
      </w:pPr>
    </w:p>
    <w:p w14:paraId="7B49FD80" w14:textId="77777777" w:rsidR="009B1CF2" w:rsidRPr="009B1CF2" w:rsidRDefault="009B1CF2" w:rsidP="009B1CF2">
      <w:pPr>
        <w:spacing w:after="160" w:line="259" w:lineRule="auto"/>
        <w:rPr>
          <w:rFonts w:ascii="Calibri" w:eastAsia="Calibri" w:hAnsi="Calibri"/>
          <w:sz w:val="22"/>
          <w:szCs w:val="22"/>
          <w:lang w:eastAsia="en-US"/>
        </w:rPr>
      </w:pPr>
    </w:p>
    <w:p w14:paraId="608F0737" w14:textId="77777777" w:rsidR="009B1CF2" w:rsidRPr="009B1CF2" w:rsidRDefault="009B1CF2" w:rsidP="009B1CF2">
      <w:pPr>
        <w:spacing w:after="160" w:line="259" w:lineRule="auto"/>
        <w:rPr>
          <w:rFonts w:ascii="Calibri" w:eastAsia="Calibri" w:hAnsi="Calibri"/>
          <w:sz w:val="22"/>
          <w:szCs w:val="22"/>
          <w:lang w:eastAsia="en-US"/>
        </w:rPr>
      </w:pPr>
    </w:p>
    <w:p w14:paraId="6A14C296" w14:textId="77777777" w:rsidR="009B1CF2" w:rsidRPr="009B1CF2" w:rsidRDefault="009B1CF2" w:rsidP="009B1CF2">
      <w:pPr>
        <w:spacing w:after="160" w:line="259" w:lineRule="auto"/>
        <w:rPr>
          <w:rFonts w:ascii="Calibri" w:eastAsia="Calibri" w:hAnsi="Calibri"/>
          <w:sz w:val="22"/>
          <w:szCs w:val="22"/>
          <w:lang w:eastAsia="en-US"/>
        </w:rPr>
      </w:pPr>
    </w:p>
    <w:p w14:paraId="3979ED21" w14:textId="77777777" w:rsidR="009B1CF2" w:rsidRPr="009B1CF2" w:rsidRDefault="009B1CF2" w:rsidP="009B1CF2">
      <w:pPr>
        <w:spacing w:after="160" w:line="259" w:lineRule="auto"/>
        <w:rPr>
          <w:rFonts w:ascii="Calibri" w:eastAsia="Calibri" w:hAnsi="Calibri"/>
          <w:sz w:val="22"/>
          <w:szCs w:val="22"/>
          <w:lang w:eastAsia="en-US"/>
        </w:rPr>
      </w:pPr>
    </w:p>
    <w:p w14:paraId="158ACF67" w14:textId="77777777" w:rsidR="009B1CF2" w:rsidRPr="009B1CF2" w:rsidRDefault="009B1CF2" w:rsidP="009B1CF2">
      <w:pPr>
        <w:spacing w:after="160" w:line="259" w:lineRule="auto"/>
        <w:rPr>
          <w:rFonts w:ascii="Calibri" w:eastAsia="Calibri" w:hAnsi="Calibri"/>
          <w:sz w:val="22"/>
          <w:szCs w:val="22"/>
          <w:lang w:eastAsia="en-US"/>
        </w:rPr>
      </w:pPr>
    </w:p>
    <w:p w14:paraId="09434FAE" w14:textId="77777777" w:rsidR="009B1CF2" w:rsidRPr="009B1CF2" w:rsidRDefault="009B1CF2" w:rsidP="009B1CF2">
      <w:pPr>
        <w:spacing w:after="160" w:line="259" w:lineRule="auto"/>
        <w:rPr>
          <w:rFonts w:ascii="Calibri" w:eastAsia="Calibri" w:hAnsi="Calibri"/>
          <w:sz w:val="22"/>
          <w:szCs w:val="22"/>
          <w:lang w:eastAsia="en-US"/>
        </w:rPr>
      </w:pPr>
    </w:p>
    <w:p w14:paraId="76546E98" w14:textId="77777777" w:rsidR="009B1CF2" w:rsidRPr="009B1CF2" w:rsidRDefault="009B1CF2" w:rsidP="009B1CF2">
      <w:pPr>
        <w:spacing w:after="160" w:line="259" w:lineRule="auto"/>
        <w:rPr>
          <w:rFonts w:ascii="Calibri" w:eastAsia="Calibri" w:hAnsi="Calibri"/>
          <w:sz w:val="22"/>
          <w:szCs w:val="22"/>
          <w:lang w:eastAsia="en-US"/>
        </w:rPr>
      </w:pPr>
    </w:p>
    <w:tbl>
      <w:tblPr>
        <w:tblW w:w="0" w:type="auto"/>
        <w:jc w:val="center"/>
        <w:tblBorders>
          <w:insideV w:val="single" w:sz="4" w:space="0" w:color="auto"/>
        </w:tblBorders>
        <w:tblLook w:val="04A0" w:firstRow="1" w:lastRow="0" w:firstColumn="1" w:lastColumn="0" w:noHBand="0" w:noVBand="1"/>
      </w:tblPr>
      <w:tblGrid>
        <w:gridCol w:w="6291"/>
      </w:tblGrid>
      <w:tr w:rsidR="00BD25FC" w:rsidRPr="00BD25FC" w14:paraId="5EF9A685" w14:textId="77777777" w:rsidTr="00FC7423">
        <w:trPr>
          <w:jc w:val="center"/>
        </w:trPr>
        <w:tc>
          <w:tcPr>
            <w:tcW w:w="6291" w:type="dxa"/>
          </w:tcPr>
          <w:p w14:paraId="014E1204" w14:textId="77777777" w:rsidR="00BD25FC" w:rsidRPr="00BD25FC" w:rsidRDefault="00BD25FC" w:rsidP="00BD25FC">
            <w:pPr>
              <w:jc w:val="center"/>
              <w:rPr>
                <w:rFonts w:eastAsia="Calibri"/>
                <w:b/>
                <w:sz w:val="22"/>
                <w:szCs w:val="22"/>
                <w:lang w:eastAsia="en-US"/>
              </w:rPr>
            </w:pPr>
            <w:r w:rsidRPr="00BD25FC">
              <w:rPr>
                <w:rFonts w:eastAsia="Calibri"/>
                <w:b/>
                <w:sz w:val="22"/>
                <w:szCs w:val="22"/>
                <w:lang w:eastAsia="en-US"/>
              </w:rPr>
              <w:lastRenderedPageBreak/>
              <w:t>ECONOMÍAS AVANZADAS: CONDICIONES MONETARIAS</w:t>
            </w:r>
          </w:p>
          <w:p w14:paraId="2B15D4AF" w14:textId="77777777" w:rsidR="00BD25FC" w:rsidRPr="00BD25FC" w:rsidRDefault="00BD25FC" w:rsidP="00BD25FC">
            <w:pPr>
              <w:jc w:val="center"/>
              <w:rPr>
                <w:rFonts w:eastAsia="Calibri"/>
                <w:b/>
                <w:sz w:val="22"/>
                <w:szCs w:val="22"/>
                <w:lang w:eastAsia="en-US"/>
              </w:rPr>
            </w:pPr>
            <w:r w:rsidRPr="00BD25FC">
              <w:rPr>
                <w:rFonts w:eastAsia="Calibri"/>
                <w:b/>
                <w:sz w:val="22"/>
                <w:szCs w:val="22"/>
                <w:lang w:eastAsia="en-US"/>
              </w:rPr>
              <w:t>La disminución del nivel general de inﬂación, sumada a las variaciones de las perspectivas de crecimiento y los anuncios realizados por el Banco de Japón en octubre y el Banco Central Europeo en enero sobre la ampliación de los programas de compra de activos más amplia de lo esperado, ha reforzado las</w:t>
            </w:r>
          </w:p>
          <w:p w14:paraId="7F8CFE03" w14:textId="77777777" w:rsidR="00BD25FC" w:rsidRPr="00BD25FC" w:rsidRDefault="00BD25FC" w:rsidP="00BD25FC">
            <w:pPr>
              <w:jc w:val="center"/>
              <w:rPr>
                <w:rFonts w:eastAsia="Calibri"/>
                <w:b/>
                <w:sz w:val="22"/>
                <w:szCs w:val="22"/>
                <w:lang w:eastAsia="en-US"/>
              </w:rPr>
            </w:pPr>
            <w:r w:rsidRPr="00BD25FC">
              <w:rPr>
                <w:rFonts w:eastAsia="Calibri"/>
                <w:b/>
                <w:sz w:val="22"/>
                <w:szCs w:val="22"/>
                <w:lang w:eastAsia="en-US"/>
              </w:rPr>
              <w:t>expectativas de una prolongada divergencia de la orientación de la política monetaria de las principales economías avanzadas, lo cual amplió los diferenciales de las tasas de interés a largo plazo</w:t>
            </w:r>
          </w:p>
        </w:tc>
      </w:tr>
      <w:tr w:rsidR="00BD25FC" w:rsidRPr="00BD25FC" w14:paraId="13C619F5" w14:textId="77777777" w:rsidTr="00FC7423">
        <w:trPr>
          <w:jc w:val="center"/>
        </w:trPr>
        <w:tc>
          <w:tcPr>
            <w:tcW w:w="6291" w:type="dxa"/>
          </w:tcPr>
          <w:p w14:paraId="2A76346E" w14:textId="77777777" w:rsidR="00BD25FC" w:rsidRPr="00BD25FC" w:rsidRDefault="00BD25FC" w:rsidP="00BD25FC">
            <w:pPr>
              <w:jc w:val="center"/>
              <w:rPr>
                <w:rFonts w:eastAsia="Calibri"/>
                <w:sz w:val="22"/>
                <w:szCs w:val="22"/>
                <w:lang w:eastAsia="en-US"/>
              </w:rPr>
            </w:pPr>
            <w:r w:rsidRPr="00BD25FC">
              <w:rPr>
                <w:rFonts w:eastAsia="Calibri"/>
                <w:noProof/>
                <w:sz w:val="22"/>
                <w:szCs w:val="22"/>
                <w:lang w:eastAsia="es-MX"/>
              </w:rPr>
              <w:drawing>
                <wp:inline distT="0" distB="0" distL="0" distR="0" wp14:anchorId="03091EF2" wp14:editId="749AE42F">
                  <wp:extent cx="3663950" cy="439420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63950" cy="4394200"/>
                          </a:xfrm>
                          <a:prstGeom prst="rect">
                            <a:avLst/>
                          </a:prstGeom>
                          <a:noFill/>
                          <a:ln>
                            <a:noFill/>
                          </a:ln>
                        </pic:spPr>
                      </pic:pic>
                    </a:graphicData>
                  </a:graphic>
                </wp:inline>
              </w:drawing>
            </w:r>
          </w:p>
        </w:tc>
      </w:tr>
      <w:tr w:rsidR="00BD25FC" w:rsidRPr="00BD25FC" w14:paraId="43317C4D" w14:textId="77777777" w:rsidTr="00FC7423">
        <w:trPr>
          <w:jc w:val="center"/>
        </w:trPr>
        <w:tc>
          <w:tcPr>
            <w:tcW w:w="6291" w:type="dxa"/>
          </w:tcPr>
          <w:p w14:paraId="31DE961C" w14:textId="77777777" w:rsidR="00BD25FC" w:rsidRPr="00BD25FC" w:rsidRDefault="00BD25FC" w:rsidP="00BD25FC">
            <w:pPr>
              <w:jc w:val="center"/>
              <w:rPr>
                <w:rFonts w:eastAsia="Calibri"/>
                <w:sz w:val="22"/>
                <w:szCs w:val="22"/>
                <w:lang w:eastAsia="en-US"/>
              </w:rPr>
            </w:pPr>
            <w:r w:rsidRPr="00BD25FC">
              <w:rPr>
                <w:rFonts w:eastAsia="Calibri"/>
                <w:noProof/>
                <w:sz w:val="22"/>
                <w:szCs w:val="22"/>
                <w:lang w:eastAsia="es-MX"/>
              </w:rPr>
              <w:lastRenderedPageBreak/>
              <w:drawing>
                <wp:inline distT="0" distB="0" distL="0" distR="0" wp14:anchorId="4250BACF" wp14:editId="1C167F21">
                  <wp:extent cx="3653155" cy="2362200"/>
                  <wp:effectExtent l="0" t="0" r="444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3423" cy="2362373"/>
                          </a:xfrm>
                          <a:prstGeom prst="rect">
                            <a:avLst/>
                          </a:prstGeom>
                          <a:noFill/>
                          <a:ln>
                            <a:noFill/>
                          </a:ln>
                        </pic:spPr>
                      </pic:pic>
                    </a:graphicData>
                  </a:graphic>
                </wp:inline>
              </w:drawing>
            </w:r>
          </w:p>
        </w:tc>
      </w:tr>
      <w:tr w:rsidR="00BD25FC" w:rsidRPr="00BD25FC" w14:paraId="60825524" w14:textId="77777777" w:rsidTr="00FC7423">
        <w:trPr>
          <w:jc w:val="center"/>
        </w:trPr>
        <w:tc>
          <w:tcPr>
            <w:tcW w:w="6291" w:type="dxa"/>
          </w:tcPr>
          <w:p w14:paraId="5C7A5E6D" w14:textId="77777777" w:rsidR="00BD25FC" w:rsidRPr="00BD25FC" w:rsidRDefault="00BD25FC" w:rsidP="00BD25FC">
            <w:pPr>
              <w:ind w:left="510" w:hanging="510"/>
              <w:jc w:val="both"/>
              <w:rPr>
                <w:rFonts w:eastAsia="Calibri"/>
                <w:sz w:val="20"/>
                <w:szCs w:val="20"/>
                <w:lang w:eastAsia="en-US"/>
              </w:rPr>
            </w:pPr>
            <w:r w:rsidRPr="00BD25FC">
              <w:rPr>
                <w:rFonts w:eastAsia="Calibri"/>
                <w:sz w:val="20"/>
                <w:szCs w:val="20"/>
                <w:lang w:eastAsia="en-US"/>
              </w:rPr>
              <w:t>* Estados Unidos de Norteamérica.</w:t>
            </w:r>
          </w:p>
          <w:p w14:paraId="5D856E3D"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1</w:t>
            </w:r>
            <w:r w:rsidRPr="00BD25FC">
              <w:rPr>
                <w:rFonts w:eastAsia="Calibri"/>
                <w:sz w:val="20"/>
                <w:szCs w:val="20"/>
                <w:lang w:eastAsia="en-US"/>
              </w:rPr>
              <w:t>/ Las expectativas se basan en los futuros sobre la tasa de los fondos federales de Estados Unidos de Norteamérica, la tasa interbancaria a un día promedio en libras esterlinas del Reino Unido y la tasa a término ofrecida en el mercado interbancario en euros en la zona del euro; datos actualizados al 27 de marzo de 2015.</w:t>
            </w:r>
          </w:p>
          <w:p w14:paraId="62E2F08D"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2</w:t>
            </w:r>
            <w:r w:rsidRPr="00BD25FC">
              <w:rPr>
                <w:rFonts w:eastAsia="Calibri"/>
                <w:sz w:val="20"/>
                <w:szCs w:val="20"/>
                <w:lang w:eastAsia="en-US"/>
              </w:rPr>
              <w:t>/ Se usan datos sobre ﬂujos de fondos para la zona del euro, España y Estados Unidos de Norteamérica. Los préstamos bancarios italianos a residentes italianos se corrigen para tener en cuenta las titulizaciones.</w:t>
            </w:r>
          </w:p>
          <w:p w14:paraId="37333B9F"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3</w:t>
            </w:r>
            <w:r w:rsidRPr="00BD25FC">
              <w:rPr>
                <w:rFonts w:eastAsia="Calibri"/>
                <w:sz w:val="20"/>
                <w:szCs w:val="20"/>
                <w:lang w:eastAsia="en-US"/>
              </w:rPr>
              <w:t>/ Interpolado del patrimonio neto anual como porcentaje del ingreso disponible.</w:t>
            </w:r>
          </w:p>
          <w:p w14:paraId="438319E7"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4</w:t>
            </w:r>
            <w:r w:rsidRPr="00BD25FC">
              <w:rPr>
                <w:rFonts w:eastAsia="Calibri"/>
                <w:sz w:val="20"/>
                <w:szCs w:val="20"/>
                <w:lang w:eastAsia="en-US"/>
              </w:rPr>
              <w:t>/ Incluye empleadores de subsectores (incluidos los trabajadores por cuenta propia).</w:t>
            </w:r>
          </w:p>
          <w:p w14:paraId="17859647"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5</w:t>
            </w:r>
            <w:r w:rsidRPr="00BD25FC">
              <w:rPr>
                <w:rFonts w:eastAsia="Calibri"/>
                <w:sz w:val="20"/>
                <w:szCs w:val="20"/>
                <w:lang w:eastAsia="en-US"/>
              </w:rPr>
              <w:t>/ Los países sometidos a presiones al alza son aquellos con un índice de vulnerabilidad de los bienes raíces residenciales que supera la mediana de las economías avanzadas (EA): Australia, Austria, Bélgica, Canadá, Estonia, Francia, Israel, Noruega, Nueva Zelandia, Portugal, RAE de Hong Kong, Reino Unido y Suecia.</w:t>
            </w:r>
          </w:p>
          <w:p w14:paraId="7AE2CFB9" w14:textId="77777777" w:rsidR="00BD25FC" w:rsidRPr="00BD25FC" w:rsidRDefault="00BD25FC" w:rsidP="00BD25FC">
            <w:pPr>
              <w:ind w:left="227" w:hanging="227"/>
              <w:jc w:val="both"/>
              <w:rPr>
                <w:rFonts w:eastAsia="Calibri"/>
                <w:sz w:val="20"/>
                <w:szCs w:val="20"/>
                <w:lang w:eastAsia="en-US"/>
              </w:rPr>
            </w:pPr>
            <w:r w:rsidRPr="00BD25FC">
              <w:rPr>
                <w:rFonts w:eastAsia="Calibri"/>
                <w:sz w:val="20"/>
                <w:szCs w:val="20"/>
                <w:u w:val="single"/>
                <w:lang w:eastAsia="en-US"/>
              </w:rPr>
              <w:t>6</w:t>
            </w:r>
            <w:r w:rsidRPr="00BD25FC">
              <w:rPr>
                <w:rFonts w:eastAsia="Calibri"/>
                <w:sz w:val="20"/>
                <w:szCs w:val="20"/>
                <w:lang w:eastAsia="en-US"/>
              </w:rPr>
              <w:t>/ Los datos abarcan hasta el 20 de marzo de 2015, excepto en el caso del BCE (6 de marzo de 2015). Los cálculos del BCE se basan en el estado ﬁnanciero semanal del Eurosistema.</w:t>
            </w:r>
          </w:p>
          <w:p w14:paraId="6A47D34E" w14:textId="77777777" w:rsidR="00BD25FC" w:rsidRPr="00BD25FC" w:rsidRDefault="00BD25FC" w:rsidP="00BD25FC">
            <w:pPr>
              <w:ind w:left="907" w:hanging="907"/>
              <w:jc w:val="both"/>
              <w:rPr>
                <w:rFonts w:eastAsia="Calibri"/>
                <w:sz w:val="20"/>
                <w:szCs w:val="20"/>
                <w:lang w:eastAsia="en-US"/>
              </w:rPr>
            </w:pPr>
            <w:r w:rsidRPr="00BD25FC">
              <w:rPr>
                <w:rFonts w:eastAsia="Calibri"/>
                <w:sz w:val="20"/>
                <w:szCs w:val="20"/>
                <w:lang w:eastAsia="en-US"/>
              </w:rPr>
              <w:t>FUENTE</w:t>
            </w:r>
            <w:r w:rsidRPr="00BD25FC">
              <w:rPr>
                <w:rFonts w:eastAsia="Calibri"/>
                <w:i/>
                <w:sz w:val="20"/>
                <w:szCs w:val="20"/>
                <w:lang w:eastAsia="en-US"/>
              </w:rPr>
              <w:t xml:space="preserve">: Banco de España; Bloomberg, L.P.; </w:t>
            </w:r>
            <w:r w:rsidRPr="00BD25FC">
              <w:rPr>
                <w:rFonts w:eastAsia="Calibri"/>
                <w:sz w:val="20"/>
                <w:szCs w:val="20"/>
                <w:lang w:eastAsia="en-US"/>
              </w:rPr>
              <w:t xml:space="preserve">Banco Central Europeo (BCE); </w:t>
            </w:r>
            <w:r w:rsidRPr="00BD25FC">
              <w:rPr>
                <w:rFonts w:eastAsia="Calibri"/>
                <w:i/>
                <w:sz w:val="20"/>
                <w:szCs w:val="20"/>
                <w:lang w:eastAsia="en-US"/>
              </w:rPr>
              <w:t>Haver Analytics</w:t>
            </w:r>
            <w:r w:rsidRPr="00BD25FC">
              <w:rPr>
                <w:rFonts w:eastAsia="Calibri"/>
                <w:sz w:val="20"/>
                <w:szCs w:val="20"/>
                <w:lang w:eastAsia="en-US"/>
              </w:rPr>
              <w:t>; Organización para la Cooperación y el Desarrollo Económicos, y cálculos del personal técnico del FMI.</w:t>
            </w:r>
          </w:p>
        </w:tc>
      </w:tr>
    </w:tbl>
    <w:p w14:paraId="1AFCEDA4" w14:textId="77777777" w:rsidR="009B1CF2" w:rsidRPr="009B1CF2" w:rsidRDefault="009B1CF2" w:rsidP="009B1CF2">
      <w:pPr>
        <w:spacing w:after="160" w:line="259" w:lineRule="auto"/>
        <w:rPr>
          <w:rFonts w:ascii="Calibri" w:eastAsia="Calibri" w:hAnsi="Calibri"/>
          <w:sz w:val="22"/>
          <w:szCs w:val="22"/>
          <w:lang w:eastAsia="en-US"/>
        </w:rPr>
      </w:pPr>
    </w:p>
    <w:p w14:paraId="74357F85" w14:textId="77777777" w:rsidR="009B1CF2" w:rsidRPr="009B1CF2" w:rsidRDefault="009B1CF2" w:rsidP="00063952">
      <w:pPr>
        <w:spacing w:after="360" w:line="420" w:lineRule="exact"/>
        <w:ind w:right="-159"/>
        <w:jc w:val="both"/>
        <w:rPr>
          <w:rFonts w:eastAsia="Calibri"/>
          <w:sz w:val="26"/>
          <w:szCs w:val="26"/>
          <w:lang w:eastAsia="en-US"/>
        </w:rPr>
      </w:pPr>
      <w:r w:rsidRPr="009B1CF2">
        <w:rPr>
          <w:rFonts w:eastAsia="Calibri"/>
          <w:sz w:val="26"/>
          <w:szCs w:val="26"/>
          <w:lang w:eastAsia="en-US"/>
        </w:rPr>
        <w:t xml:space="preserve">El nivel general de inflación ha bajado en las economías avanzadas (gráfica </w:t>
      </w:r>
      <w:r w:rsidRPr="009B1CF2">
        <w:rPr>
          <w:rFonts w:eastAsia="Calibri"/>
          <w:i/>
          <w:sz w:val="26"/>
          <w:szCs w:val="26"/>
          <w:lang w:eastAsia="en-US"/>
        </w:rPr>
        <w:t>Inflación Mundial</w:t>
      </w:r>
      <w:r w:rsidRPr="009B1CF2">
        <w:rPr>
          <w:rFonts w:eastAsia="Calibri"/>
          <w:sz w:val="26"/>
          <w:szCs w:val="26"/>
          <w:lang w:eastAsia="en-US"/>
        </w:rPr>
        <w:t xml:space="preserve">), gracias al retroceso de los precios del petróleo y de otras materias primas, y al debilitamiento de la demanda en una serie de países que ya están experimentando una inflación inferior a la meta; por ejemplo, la zona del euro y Japón. La disminución de la inflación, sumada al cambio de las perspectivas de crecimiento y a los anuncios de programas de compra de activos superiores a lo previsto que realizaron el Banco de Japón en octubre y el BCE en enero, ha reafirmado las expectativas de una prolongada </w:t>
      </w:r>
      <w:r w:rsidRPr="009B1CF2">
        <w:rPr>
          <w:rFonts w:eastAsia="Calibri"/>
          <w:sz w:val="26"/>
          <w:szCs w:val="26"/>
          <w:lang w:eastAsia="en-US"/>
        </w:rPr>
        <w:lastRenderedPageBreak/>
        <w:t xml:space="preserve">divergencia en la orientación de la política monetaria de las principales economías avanzadas, lo que ha separado más los diferenciales de las tasas de interés a largo plazo (gráfica </w:t>
      </w:r>
      <w:r w:rsidRPr="009B1CF2">
        <w:rPr>
          <w:rFonts w:eastAsia="Calibri"/>
          <w:i/>
          <w:sz w:val="26"/>
          <w:szCs w:val="26"/>
          <w:lang w:eastAsia="en-US"/>
        </w:rPr>
        <w:t>Economías Avanzadas: Condiciones Monetarias</w:t>
      </w:r>
      <w:r w:rsidRPr="009B1CF2">
        <w:rPr>
          <w:rFonts w:eastAsia="Calibri"/>
          <w:sz w:val="26"/>
          <w:szCs w:val="26"/>
          <w:lang w:eastAsia="en-US"/>
        </w:rPr>
        <w:t xml:space="preserve">). En cuanto a los mercados emergentes, el descenso de los precios del petróleo y de otras materias primas (incluidos los alimentos, que tienen mayor peso en el índice de precios al consumidor de las economías de mercados emergentes y en desarrollo) ha contribuido en general a la caída de la inflación, con la destacada excepción de los países que han sufrido depreciaciones considerables del tipo de cambio, como Rusia. </w:t>
      </w:r>
    </w:p>
    <w:p w14:paraId="436A1471" w14:textId="77777777" w:rsidR="009B1CF2" w:rsidRPr="009B1CF2" w:rsidRDefault="009B1CF2" w:rsidP="00063952">
      <w:pPr>
        <w:spacing w:after="360" w:line="420" w:lineRule="exact"/>
        <w:ind w:right="-159"/>
        <w:jc w:val="both"/>
        <w:rPr>
          <w:rFonts w:eastAsia="Calibri"/>
          <w:sz w:val="26"/>
          <w:szCs w:val="26"/>
          <w:lang w:eastAsia="en-US"/>
        </w:rPr>
      </w:pPr>
      <w:r w:rsidRPr="009B1CF2">
        <w:rPr>
          <w:rFonts w:eastAsia="Calibri"/>
          <w:sz w:val="26"/>
          <w:szCs w:val="26"/>
          <w:lang w:eastAsia="en-US"/>
        </w:rPr>
        <w:t xml:space="preserve">El imprevisto grado de debilidad del crecimiento de los mercados emergentes, sumado a los datos negativos de crecimiento que sorpresivamente se han repetido durante los cuatro últimos años, ha opacado las expectativas en torno a las perspectivas de crecimiento a mediano plazo, tal como lo han señalado también recientes ediciones del informe WEO, lo cual implica una desmejora de las perspectivas mundiales. Retrospectivamente, el sólido desempeño económico que registraron los mercados emergentes inmediatamente después de la crisis reflejó en parte el fuerte crecimiento de China, respaldado en particular por la inversión, que contribuyó considerablemente al alto nivel de precios de las materias primas, así como una mejora de las condiciones financieras mundiales. La desaceleración gradual en China y el descenso de los precios de las materias primas que en parte la acompañó (y que reflejó también una sustancial respuesta de la oferta) en cierta medida le restaron ímpetu al crecimiento en los países exportadores de materias primas y en otros que mantienen lazos comerciales estrechos con China. Por otra parte, la mejora de las condiciones financieras en los mercados emergentes después de la crisis probablemente contribuyó a una expansión del producto, pero no a un aumento sostenido de la tasa de crecimiento. A su vez, el recrudecimiento de las tensiones geopolíticas explica en parte la desaceleración del crecimiento, sobre todo en los países de la CEI y algunos de Oriente Medio. </w:t>
      </w:r>
    </w:p>
    <w:p w14:paraId="579F0818" w14:textId="697B349F"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Estos cambios en los mercados emergentes se suman a las inquietudes en torno al enfriamiento del producto potencial en las economías avanzadas, como consecuencia de factores a largo plazo —como la demografía— y un período dilatado de inversión </w:t>
      </w:r>
      <w:r w:rsidRPr="009B1CF2">
        <w:rPr>
          <w:rFonts w:eastAsia="Calibri"/>
          <w:sz w:val="26"/>
          <w:szCs w:val="26"/>
          <w:lang w:eastAsia="en-US"/>
        </w:rPr>
        <w:lastRenderedPageBreak/>
        <w:t xml:space="preserve">débil después de la crisis. El Capítulo 3 y el 4 </w:t>
      </w:r>
      <w:r w:rsidR="002D35A7">
        <w:rPr>
          <w:rFonts w:eastAsia="Calibri"/>
          <w:sz w:val="26"/>
          <w:szCs w:val="26"/>
          <w:lang w:eastAsia="en-US"/>
        </w:rPr>
        <w:t xml:space="preserve">del documento original </w:t>
      </w:r>
      <w:r w:rsidRPr="009B1CF2">
        <w:rPr>
          <w:rFonts w:eastAsia="Calibri"/>
          <w:sz w:val="26"/>
          <w:szCs w:val="26"/>
          <w:lang w:eastAsia="en-US"/>
        </w:rPr>
        <w:t xml:space="preserve">ahondan en los temas del producto potencial y la inversión, respectivamente. </w:t>
      </w:r>
    </w:p>
    <w:p w14:paraId="0B0660C8"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Caída de los precios del petróleo </w:t>
      </w:r>
    </w:p>
    <w:p w14:paraId="0EBB86E4"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precios del petróleo han bajado alrededor de 45% desde septiembre (gráfica siguiente). A ello ha contribuido una variedad de factores: la imprevista debilidad de la actividad mundial; la contracción de la demanda de petróleo, dada la actividad; y el aumento de la oferta. </w:t>
      </w:r>
    </w:p>
    <w:tbl>
      <w:tblPr>
        <w:tblW w:w="0" w:type="auto"/>
        <w:jc w:val="center"/>
        <w:tblBorders>
          <w:insideV w:val="single" w:sz="4" w:space="0" w:color="auto"/>
        </w:tblBorders>
        <w:tblLook w:val="04A0" w:firstRow="1" w:lastRow="0" w:firstColumn="1" w:lastColumn="0" w:noHBand="0" w:noVBand="1"/>
      </w:tblPr>
      <w:tblGrid>
        <w:gridCol w:w="6516"/>
      </w:tblGrid>
      <w:tr w:rsidR="00063952" w:rsidRPr="00063952" w14:paraId="46A535A8" w14:textId="77777777" w:rsidTr="00FC7423">
        <w:trPr>
          <w:jc w:val="center"/>
        </w:trPr>
        <w:tc>
          <w:tcPr>
            <w:tcW w:w="6306" w:type="dxa"/>
          </w:tcPr>
          <w:p w14:paraId="7715AA73" w14:textId="77777777" w:rsidR="00063952" w:rsidRPr="00063952" w:rsidRDefault="00063952" w:rsidP="00063952">
            <w:pPr>
              <w:jc w:val="center"/>
              <w:rPr>
                <w:rFonts w:eastAsia="Calibri"/>
                <w:b/>
                <w:sz w:val="22"/>
                <w:szCs w:val="22"/>
                <w:lang w:eastAsia="en-US"/>
              </w:rPr>
            </w:pPr>
            <w:r w:rsidRPr="00063952">
              <w:rPr>
                <w:rFonts w:eastAsia="Calibri"/>
                <w:b/>
                <w:sz w:val="22"/>
                <w:szCs w:val="22"/>
                <w:lang w:eastAsia="en-US"/>
              </w:rPr>
              <w:t>MERCADOS DE LAS MATERIAS PRIMAS Y DEL PETRÓLEO</w:t>
            </w:r>
          </w:p>
          <w:p w14:paraId="1538FF42" w14:textId="77777777" w:rsidR="00063952" w:rsidRPr="00063952" w:rsidRDefault="00063952" w:rsidP="00063952">
            <w:pPr>
              <w:jc w:val="center"/>
              <w:rPr>
                <w:rFonts w:eastAsia="Calibri"/>
                <w:b/>
                <w:sz w:val="22"/>
                <w:szCs w:val="22"/>
                <w:lang w:eastAsia="en-US"/>
              </w:rPr>
            </w:pPr>
            <w:r w:rsidRPr="00063952">
              <w:rPr>
                <w:rFonts w:eastAsia="Calibri"/>
                <w:b/>
                <w:sz w:val="22"/>
                <w:szCs w:val="22"/>
                <w:lang w:eastAsia="en-US"/>
              </w:rPr>
              <w:t>Los precios del petróleo han disminuido alrededor de 45% desde septiembre debido a una variedad de factores. La debilidad inesperada de la demanda en algunas grandes economías —en particular las de mercados emergentes— sin duda ha inﬂuido. Sin embargo, el hecho de que los precios del petróleo hayan retrocedido más que los de otras materias primas sugiere que también están actuando factores especíﬁcos del mercado petrolero, en contraposición a la demanda agregada mundial. Estos factores incluyen una oferta de petróleo inesperadamente elevada y cierta debilidad de la demanda de petróleo atribuible a una mayor eﬁciencia energética</w:t>
            </w:r>
          </w:p>
        </w:tc>
      </w:tr>
      <w:tr w:rsidR="00063952" w:rsidRPr="00063952" w14:paraId="18A89CF4" w14:textId="77777777" w:rsidTr="00FC7423">
        <w:trPr>
          <w:jc w:val="center"/>
        </w:trPr>
        <w:tc>
          <w:tcPr>
            <w:tcW w:w="6306" w:type="dxa"/>
          </w:tcPr>
          <w:p w14:paraId="4B084E17" w14:textId="77777777" w:rsidR="00063952" w:rsidRPr="00063952" w:rsidRDefault="00063952" w:rsidP="00063952">
            <w:pPr>
              <w:jc w:val="center"/>
              <w:rPr>
                <w:rFonts w:eastAsia="Calibri"/>
                <w:sz w:val="22"/>
                <w:szCs w:val="22"/>
                <w:lang w:eastAsia="en-US"/>
              </w:rPr>
            </w:pPr>
            <w:r w:rsidRPr="00063952">
              <w:rPr>
                <w:rFonts w:eastAsia="Calibri"/>
                <w:noProof/>
                <w:sz w:val="22"/>
                <w:szCs w:val="22"/>
                <w:lang w:eastAsia="es-MX"/>
              </w:rPr>
              <w:drawing>
                <wp:inline distT="0" distB="0" distL="0" distR="0" wp14:anchorId="7E89A0E3" wp14:editId="46035CA5">
                  <wp:extent cx="3942080" cy="3429000"/>
                  <wp:effectExtent l="0" t="0" r="127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42080" cy="3429000"/>
                          </a:xfrm>
                          <a:prstGeom prst="rect">
                            <a:avLst/>
                          </a:prstGeom>
                          <a:noFill/>
                          <a:ln>
                            <a:noFill/>
                          </a:ln>
                        </pic:spPr>
                      </pic:pic>
                    </a:graphicData>
                  </a:graphic>
                </wp:inline>
              </w:drawing>
            </w:r>
          </w:p>
        </w:tc>
      </w:tr>
      <w:tr w:rsidR="00063952" w:rsidRPr="00063952" w14:paraId="0807DBCA" w14:textId="77777777" w:rsidTr="00FC7423">
        <w:trPr>
          <w:jc w:val="center"/>
        </w:trPr>
        <w:tc>
          <w:tcPr>
            <w:tcW w:w="6306" w:type="dxa"/>
          </w:tcPr>
          <w:p w14:paraId="1799F2E4" w14:textId="77777777" w:rsidR="00063952" w:rsidRPr="00063952" w:rsidRDefault="00063952" w:rsidP="00063952">
            <w:pPr>
              <w:jc w:val="center"/>
              <w:rPr>
                <w:rFonts w:eastAsia="Calibri"/>
                <w:sz w:val="22"/>
                <w:szCs w:val="22"/>
                <w:lang w:eastAsia="en-US"/>
              </w:rPr>
            </w:pPr>
            <w:r w:rsidRPr="00063952">
              <w:rPr>
                <w:rFonts w:eastAsia="Calibri"/>
                <w:noProof/>
                <w:sz w:val="22"/>
                <w:szCs w:val="22"/>
                <w:lang w:eastAsia="es-MX"/>
              </w:rPr>
              <w:lastRenderedPageBreak/>
              <w:drawing>
                <wp:inline distT="0" distB="0" distL="0" distR="0" wp14:anchorId="4A4F4DE3" wp14:editId="5F6BD0C9">
                  <wp:extent cx="3997325" cy="4578350"/>
                  <wp:effectExtent l="0" t="0" r="317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97325" cy="4578350"/>
                          </a:xfrm>
                          <a:prstGeom prst="rect">
                            <a:avLst/>
                          </a:prstGeom>
                          <a:noFill/>
                          <a:ln>
                            <a:noFill/>
                          </a:ln>
                        </pic:spPr>
                      </pic:pic>
                    </a:graphicData>
                  </a:graphic>
                </wp:inline>
              </w:drawing>
            </w:r>
          </w:p>
        </w:tc>
      </w:tr>
      <w:tr w:rsidR="00063952" w:rsidRPr="00063952" w14:paraId="0C60F452" w14:textId="77777777" w:rsidTr="00FC7423">
        <w:trPr>
          <w:jc w:val="center"/>
        </w:trPr>
        <w:tc>
          <w:tcPr>
            <w:tcW w:w="6306" w:type="dxa"/>
          </w:tcPr>
          <w:p w14:paraId="30878862" w14:textId="77777777" w:rsidR="00063952" w:rsidRPr="00063952" w:rsidRDefault="00063952" w:rsidP="00063952">
            <w:pPr>
              <w:ind w:left="510" w:hanging="510"/>
              <w:jc w:val="both"/>
              <w:rPr>
                <w:rFonts w:eastAsia="Calibri"/>
                <w:sz w:val="20"/>
                <w:szCs w:val="20"/>
                <w:lang w:eastAsia="en-US"/>
              </w:rPr>
            </w:pPr>
            <w:r w:rsidRPr="00063952">
              <w:rPr>
                <w:rFonts w:eastAsia="Calibri"/>
                <w:sz w:val="20"/>
                <w:szCs w:val="20"/>
                <w:lang w:eastAsia="en-US"/>
              </w:rPr>
              <w:t>* Estados Unidos de Norteamérica.</w:t>
            </w:r>
          </w:p>
          <w:p w14:paraId="5A87F3B0" w14:textId="77777777" w:rsidR="00063952" w:rsidRPr="00063952" w:rsidRDefault="00063952" w:rsidP="00063952">
            <w:pPr>
              <w:ind w:left="510" w:hanging="510"/>
              <w:jc w:val="both"/>
              <w:rPr>
                <w:rFonts w:eastAsia="Calibri"/>
                <w:sz w:val="20"/>
                <w:szCs w:val="20"/>
                <w:lang w:eastAsia="en-US"/>
              </w:rPr>
            </w:pPr>
            <w:r w:rsidRPr="00063952">
              <w:rPr>
                <w:rFonts w:eastAsia="Calibri"/>
                <w:sz w:val="20"/>
                <w:szCs w:val="20"/>
                <w:lang w:eastAsia="en-US"/>
              </w:rPr>
              <w:t>Nota: PPPEI = precio promedio del petróleo de entrega inmediata; CEI = Comunidad de Estados Independientes; ALC = América Latina y el Caribe; OMNA = Oriente Medio y Norte de África; OCDE = Organización para la Cooperación y el Desarrollo Económicos; AS = África subsahariana.</w:t>
            </w:r>
          </w:p>
          <w:p w14:paraId="2C9C89D8" w14:textId="77777777" w:rsidR="00063952" w:rsidRPr="00063952" w:rsidRDefault="00063952" w:rsidP="00063952">
            <w:pPr>
              <w:ind w:left="907" w:hanging="907"/>
              <w:jc w:val="both"/>
              <w:rPr>
                <w:rFonts w:eastAsia="Calibri"/>
                <w:sz w:val="20"/>
                <w:szCs w:val="20"/>
                <w:lang w:eastAsia="en-US"/>
              </w:rPr>
            </w:pPr>
            <w:r w:rsidRPr="00063952">
              <w:rPr>
                <w:rFonts w:eastAsia="Calibri"/>
                <w:sz w:val="20"/>
                <w:szCs w:val="20"/>
                <w:lang w:eastAsia="en-US"/>
              </w:rPr>
              <w:t>FUENTE</w:t>
            </w:r>
            <w:r w:rsidRPr="00063952">
              <w:rPr>
                <w:rFonts w:eastAsia="Calibri"/>
                <w:i/>
                <w:sz w:val="20"/>
                <w:szCs w:val="20"/>
                <w:lang w:eastAsia="en-US"/>
              </w:rPr>
              <w:t xml:space="preserve">: </w:t>
            </w:r>
            <w:r w:rsidRPr="00063952">
              <w:rPr>
                <w:rFonts w:eastAsia="Calibri"/>
                <w:sz w:val="20"/>
                <w:szCs w:val="20"/>
                <w:lang w:eastAsia="en-US"/>
              </w:rPr>
              <w:t>Organización para la Cooperación y el Desarrollo Económicos y estimaciones del personal técnico del FMI.</w:t>
            </w:r>
          </w:p>
        </w:tc>
      </w:tr>
    </w:tbl>
    <w:p w14:paraId="6123089F" w14:textId="77777777" w:rsidR="009B1CF2" w:rsidRPr="009B1CF2" w:rsidRDefault="009B1CF2" w:rsidP="009B1CF2">
      <w:pPr>
        <w:spacing w:after="160" w:line="259" w:lineRule="auto"/>
        <w:rPr>
          <w:rFonts w:ascii="Calibri" w:eastAsia="Calibri" w:hAnsi="Calibri"/>
          <w:sz w:val="22"/>
          <w:szCs w:val="22"/>
          <w:lang w:eastAsia="en-US"/>
        </w:rPr>
      </w:pPr>
    </w:p>
    <w:p w14:paraId="180E96B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debilidad inesperada de la demanda que se observó en algunas economías grandes —en particular, las de mercados emergentes— obviamente ha influido en la caída de los precios del petróleo. Esta debilidad de la demanda puede haberse materializado en parte a comienzos de 2014 (y, por lo tanto, ya estar reflejada en la edición de octubre de 2014 del informe WEO), y su impacto en los precios del petróleo quizá se haya visto suavizado inicialmente por el aumento de la demanda precautoria que resulta de la agudización de las tensiones geopolíticas. El retroceso de los precios de otras materias </w:t>
      </w:r>
      <w:r w:rsidRPr="009B1CF2">
        <w:rPr>
          <w:rFonts w:eastAsia="Calibri"/>
          <w:sz w:val="26"/>
          <w:szCs w:val="26"/>
          <w:lang w:eastAsia="en-US"/>
        </w:rPr>
        <w:lastRenderedPageBreak/>
        <w:t xml:space="preserve">primas (como los metales industriales) también lleva a pensar en cierto debilitamiento de la demanda. </w:t>
      </w:r>
    </w:p>
    <w:p w14:paraId="02B924A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No obstante, varios hechos apuntan a contribuciones importantes de otros factores (véase el análisis del recuadro </w:t>
      </w:r>
      <w:r w:rsidRPr="009B1CF2">
        <w:rPr>
          <w:rFonts w:eastAsia="Calibri"/>
          <w:i/>
          <w:sz w:val="26"/>
          <w:szCs w:val="26"/>
          <w:lang w:eastAsia="en-US"/>
        </w:rPr>
        <w:t>Impacto internacional de la caída de los precios del petróleo</w:t>
      </w:r>
      <w:r w:rsidRPr="009B1CF2">
        <w:rPr>
          <w:rFonts w:eastAsia="Calibri"/>
          <w:sz w:val="26"/>
          <w:szCs w:val="26"/>
          <w:lang w:eastAsia="en-US"/>
        </w:rPr>
        <w:t xml:space="preserve">). Por ejemplo, los precios del petróleo han disminuido mucho más que los precios de otras materias primas en los últimos meses, lo que hace pensar que factores específicos del mercado del petróleo —en contraposición a la demanda mundial— han tenido una incidencia importante; entre estos factores, cabe mencionar una oferta superior a la esperada y cierta debilidad en la demanda atribuible a una mayor eficiencia energética, y no a una demanda agregada débil a nivel mundial. </w:t>
      </w:r>
    </w:p>
    <w:p w14:paraId="13C0E92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factores vinculados a la oferta incluyen el aumento sostenido de la producción en los países que no pertenecen a la Organización de Países Exportadores de Petróleo (OPEP), especialmente Estados Unidos de Norteamérica; la rapidez imprevista de la recuperación de la producción en algunos productores de la OPEP sometidos a tensiones (por ejemplo, Iraq); y, sobre todo, la decisión que tomó la OPEP en noviembre de 2014 de mantener los niveles de producción a pesar de la drástica caída de los precios. </w:t>
      </w:r>
    </w:p>
    <w:p w14:paraId="6ABD2AA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cuanto a la demanda específica de petróleo, los informes de la Agencia Internacional de Energía hacen pensar que, aun teniendo en cuenta la evolución de la demanda agregada, la demanda de petróleo no cumple con las expectativas. </w:t>
      </w:r>
    </w:p>
    <w:p w14:paraId="761A1CF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impacto internacional de la caída de los precios del petróleo depende en gran medida de la persistencia de estos últimos. Los precios de los futuros sobre petróleo apuntan a una recuperación parcial de los precios del petróleo en los años venideros, lo cual concuerda con el impacto negativo previsto de la caída de los precios del petróleo en la inversión y la expansión futura de la capacidad del sector petrolero (véase la sección especial del documento original), aunque a mediano plazo los precios se mantendrían </w:t>
      </w:r>
      <w:r w:rsidRPr="009B1CF2">
        <w:rPr>
          <w:rFonts w:eastAsia="Calibri"/>
          <w:sz w:val="26"/>
          <w:szCs w:val="26"/>
          <w:lang w:eastAsia="en-US"/>
        </w:rPr>
        <w:lastRenderedPageBreak/>
        <w:t xml:space="preserve">muy por debajo de los pronósticos de base de la edición de octubre de 2014 del informe WEO (por ejemplo,  los precios proyectados para 2019 bajaron de 93 a 73 dólares el barril). Al mismo tiempo, la incertidumbre en torno a la trayectoria futura de los precios del petróleo ha recrudecido, como explica más adelante la sección “Riesgos” de este Capítulo. </w:t>
      </w:r>
    </w:p>
    <w:p w14:paraId="62D5F07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Para poner de relieve las implicaciones de la caída de los precios del petróleo para las perspectivas mundiales, el Capítulo presenta el recuadro de escenario 1, basado en Arezki y Blanchard (2014). El modelo que sirve de base al escenario supone que la trayectoria de los precios del petróleo concuerda con los precios de los futuros, y, para que resulte más sencillo, que la disminución de los precios se debe enteramente al aumento de la oferta. En este sentido, los resultados del modelo representan el límite superior al que podría llegar el estímulo mundial generado por la caída de los precios del petróleo. </w:t>
      </w:r>
    </w:p>
    <w:p w14:paraId="44770309"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simulaciones del modelo tienen en cuenta las diferencias entre países respecto de la intensidad energética y producción de petróleo, así como la magnitud de la caída de los precios del petróleo en moneda nacional, a la luz de los fuertes movimientos de las monedas que aborda más adelante este Capítulo y de las diferencias en el traslado de la caída de los precios del petróleo a los consumidores y los productores del sector privado debido a cambios en la política gubernamental (por ejemplo, modificaciones de los subsidios). Específicamente, muchos países —especialmente las economías de mercados emergentes y en desarrollo y los productores de petróleo— controlan los precios de los derivados del petróleo mediante una variedad de instrumentos como subsidios, aranceles y fórmulas de fijación de precios. Por lo general, estos mecanismos se traducen en un traslado incompleto de los precios internacionales a los precios nacionales. Las simulaciones del modelo emplean un indicador que clasifica entre 0 y 1 cada uno de los países en cuestión, donde 1 denota precios completamente administrados y 0 denota precios de mercado. Las simulaciones evalúan el grado de </w:t>
      </w:r>
      <w:r w:rsidRPr="009B1CF2">
        <w:rPr>
          <w:rFonts w:eastAsia="Calibri"/>
          <w:sz w:val="26"/>
          <w:szCs w:val="26"/>
          <w:lang w:eastAsia="en-US"/>
        </w:rPr>
        <w:lastRenderedPageBreak/>
        <w:t>traslado que ocurre en un país determinado según el mecanismo de fijación de precios de los productos derivados del petróleo que existía en el país antes del derrumbe de los precios</w:t>
      </w:r>
      <w:r w:rsidRPr="009B1CF2">
        <w:rPr>
          <w:rFonts w:eastAsia="Calibri"/>
          <w:sz w:val="26"/>
          <w:szCs w:val="26"/>
          <w:vertAlign w:val="superscript"/>
          <w:lang w:eastAsia="en-US"/>
        </w:rPr>
        <w:footnoteReference w:id="1"/>
      </w:r>
      <w:r w:rsidRPr="009B1CF2">
        <w:rPr>
          <w:rFonts w:eastAsia="Calibri"/>
          <w:sz w:val="26"/>
          <w:szCs w:val="26"/>
          <w:lang w:eastAsia="en-US"/>
        </w:rP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9B1CF2" w:rsidRPr="009B1CF2" w14:paraId="2110BC34" w14:textId="77777777" w:rsidTr="0098560F">
        <w:tc>
          <w:tcPr>
            <w:tcW w:w="8828" w:type="dxa"/>
          </w:tcPr>
          <w:p w14:paraId="24BC4923" w14:textId="7E3D12E2" w:rsidR="009B1CF2" w:rsidRPr="009B1CF2" w:rsidRDefault="009B1CF2" w:rsidP="009B1CF2">
            <w:pPr>
              <w:spacing w:before="120" w:after="360"/>
              <w:jc w:val="center"/>
              <w:rPr>
                <w:rFonts w:eastAsia="Calibri"/>
                <w:b/>
                <w:sz w:val="26"/>
                <w:szCs w:val="26"/>
                <w:lang w:eastAsia="en-US"/>
              </w:rPr>
            </w:pPr>
            <w:r w:rsidRPr="009B1CF2">
              <w:rPr>
                <w:rFonts w:eastAsia="Calibri"/>
                <w:b/>
                <w:sz w:val="26"/>
                <w:szCs w:val="26"/>
                <w:lang w:eastAsia="en-US"/>
              </w:rPr>
              <w:t>Escenario 1. Impacto internacional de la caída de los precios del petróleo</w:t>
            </w:r>
          </w:p>
          <w:p w14:paraId="664E8786"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Este escenario emplea dos simulaciones del Modelo G-20 del FMI para analizar el impacto que puede haber tenido en la actividad mundial la disminución del precio esperado del petróleo desde agosto de 2014, tal como lo representa la gráfica </w:t>
            </w:r>
            <w:r w:rsidRPr="009B1CF2">
              <w:rPr>
                <w:rFonts w:eastAsia="Calibri"/>
                <w:i/>
                <w:sz w:val="26"/>
                <w:szCs w:val="26"/>
                <w:lang w:eastAsia="en-US"/>
              </w:rPr>
              <w:t>1. PIB Mundial</w:t>
            </w:r>
            <w:r w:rsidRPr="009B1CF2">
              <w:rPr>
                <w:rFonts w:eastAsia="Calibri"/>
                <w:sz w:val="26"/>
                <w:szCs w:val="26"/>
                <w:lang w:eastAsia="en-US"/>
              </w:rPr>
              <w:t xml:space="preserve"> de este recuadro. En comparación con la trayectoria de los precios internacionales del petróleo prevista por la edición de octubre de 2014 de Perspectivas de la economía mundial, la proyección para 2015 es ahora alrededor de 40% más baja, previéndose que el declive se moderará poco a poco hasta situarse en 20%, aproximadamente, llegado el año 2020. A fin de que resulte más sencillo, las simulaciones suponen que el aumento de la oferta de petróleo es el factor que explica por completo el descenso de la trayectoria de los precios. Por lo tanto, las simulaciones ignoran las implicaciones de la disminución de la demanda de petróleo que explica parte de la caída efectiva de los precios. Además, se ha ajustado el precio del petróleo en moneda nacional de cada país en función de las variaciones del tipo de cambio bilateral del dólar estadounidense ocurridas desde agosto de 2014; sin embargo, las simulaciones no incluyen las implicaciones de las variaciones del tipo de cambio para ninguna otra parte de la economía. </w:t>
            </w:r>
          </w:p>
          <w:p w14:paraId="6DB20847"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La primera simulación (líneas azules de la gráfica </w:t>
            </w:r>
            <w:r w:rsidRPr="009B1CF2">
              <w:rPr>
                <w:rFonts w:eastAsia="Calibri"/>
                <w:i/>
                <w:sz w:val="26"/>
                <w:szCs w:val="26"/>
                <w:lang w:eastAsia="en-US"/>
              </w:rPr>
              <w:t>1. PIB Mundial</w:t>
            </w:r>
            <w:r w:rsidRPr="009B1CF2">
              <w:rPr>
                <w:rFonts w:eastAsia="Calibri"/>
                <w:sz w:val="26"/>
                <w:szCs w:val="26"/>
                <w:lang w:eastAsia="en-US"/>
              </w:rPr>
              <w:t xml:space="preserve">) supone que el abaratamiento del petróleo se traslada completamente a los hogares y las empresas de todos los países. La segunda simulación (líneas rojas) tiene en cuenta que en </w:t>
            </w:r>
            <w:r w:rsidRPr="009B1CF2">
              <w:rPr>
                <w:rFonts w:eastAsia="Calibri"/>
                <w:sz w:val="26"/>
                <w:szCs w:val="26"/>
                <w:lang w:eastAsia="en-US"/>
              </w:rPr>
              <w:lastRenderedPageBreak/>
              <w:t xml:space="preserve">algunos países que se incluyen en las simulaciones (como Brasil, China, India y Rusia) los precios internos del petróleo están administrados en cierta medida. </w:t>
            </w:r>
          </w:p>
          <w:p w14:paraId="61F47B82"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En estos países, la diferencia entre el precio interno administrado y el precio internacional corre a beneficio de la autoridad fiscal. Cuando los precios internacionales del petróleo están en baja y solo parte de la disminución se transmite a los precios internos finales, los ingresos fiscales o cuasifiscales aumentan en los países importadores de petróleo que administran los precios y caen en los países exportadores de petróleo que administran los precios. </w:t>
            </w:r>
          </w:p>
          <w:p w14:paraId="7B3323D5"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Se presume que durante los dos primeros años, las autoridades fiscales de los países importadores de petróleo ahorran el ingreso extra, pero al cabo de ese período lo utilizan para incrementar las transferencias a los hogares. En el caso de los países exportadores de petróleo con precios administrados, la pérdida de ingreso fiscal se ve compensada en parte por la reducción de los subsidios. </w:t>
            </w:r>
          </w:p>
          <w:p w14:paraId="73F29B03" w14:textId="77777777" w:rsidR="009B1CF2" w:rsidRPr="009B1CF2" w:rsidRDefault="009B1CF2" w:rsidP="009B1CF2">
            <w:pPr>
              <w:spacing w:after="360" w:line="360" w:lineRule="auto"/>
              <w:jc w:val="both"/>
              <w:rPr>
                <w:rFonts w:eastAsia="Calibri"/>
                <w:sz w:val="26"/>
                <w:szCs w:val="26"/>
                <w:lang w:eastAsia="en-US"/>
              </w:rPr>
            </w:pPr>
          </w:p>
          <w:p w14:paraId="3D31AD03" w14:textId="77777777" w:rsidR="009B1CF2" w:rsidRPr="009B1CF2" w:rsidRDefault="009B1CF2" w:rsidP="009B1CF2">
            <w:pPr>
              <w:spacing w:after="360" w:line="360" w:lineRule="auto"/>
              <w:jc w:val="both"/>
              <w:rPr>
                <w:rFonts w:eastAsia="Calibri"/>
                <w:sz w:val="26"/>
                <w:szCs w:val="26"/>
                <w:lang w:eastAsia="en-US"/>
              </w:rPr>
            </w:pPr>
          </w:p>
          <w:p w14:paraId="35C72DB9" w14:textId="77777777" w:rsidR="009B1CF2" w:rsidRPr="009B1CF2" w:rsidRDefault="009B1CF2" w:rsidP="009B1CF2">
            <w:pPr>
              <w:spacing w:after="360" w:line="360" w:lineRule="auto"/>
              <w:jc w:val="both"/>
              <w:rPr>
                <w:rFonts w:eastAsia="Calibri"/>
                <w:sz w:val="26"/>
                <w:szCs w:val="26"/>
                <w:lang w:eastAsia="en-US"/>
              </w:rPr>
            </w:pPr>
          </w:p>
          <w:p w14:paraId="3531DFAF" w14:textId="77777777" w:rsidR="009B1CF2" w:rsidRPr="009B1CF2" w:rsidRDefault="009B1CF2" w:rsidP="009B1CF2">
            <w:pPr>
              <w:spacing w:after="360" w:line="360" w:lineRule="auto"/>
              <w:jc w:val="both"/>
              <w:rPr>
                <w:rFonts w:eastAsia="Calibri"/>
                <w:sz w:val="26"/>
                <w:szCs w:val="26"/>
                <w:lang w:eastAsia="en-US"/>
              </w:rPr>
            </w:pPr>
          </w:p>
          <w:p w14:paraId="555F0F5E" w14:textId="77777777" w:rsidR="009B1CF2" w:rsidRPr="009B1CF2" w:rsidRDefault="009B1CF2" w:rsidP="009B1CF2">
            <w:pPr>
              <w:spacing w:after="360" w:line="360" w:lineRule="auto"/>
              <w:jc w:val="both"/>
              <w:rPr>
                <w:rFonts w:eastAsia="Calibri"/>
                <w:sz w:val="26"/>
                <w:szCs w:val="26"/>
                <w:lang w:eastAsia="en-US"/>
              </w:rPr>
            </w:pPr>
          </w:p>
          <w:p w14:paraId="3ADD7E56" w14:textId="77777777" w:rsidR="009B1CF2" w:rsidRPr="009B1CF2" w:rsidRDefault="009B1CF2" w:rsidP="009B1CF2">
            <w:pPr>
              <w:spacing w:after="360" w:line="360" w:lineRule="auto"/>
              <w:jc w:val="both"/>
              <w:rPr>
                <w:rFonts w:eastAsia="Calibri"/>
                <w:sz w:val="26"/>
                <w:szCs w:val="26"/>
                <w:lang w:eastAsia="en-US"/>
              </w:rPr>
            </w:pPr>
          </w:p>
          <w:p w14:paraId="5E448660" w14:textId="77777777" w:rsidR="009B1CF2" w:rsidRPr="009B1CF2" w:rsidRDefault="009B1CF2" w:rsidP="009B1CF2">
            <w:pPr>
              <w:spacing w:after="360" w:line="360" w:lineRule="auto"/>
              <w:jc w:val="both"/>
              <w:rPr>
                <w:rFonts w:eastAsia="Calibri"/>
                <w:sz w:val="26"/>
                <w:szCs w:val="26"/>
                <w:lang w:eastAsia="en-U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291"/>
            </w:tblGrid>
            <w:tr w:rsidR="0072725C" w:rsidRPr="00F24E18" w14:paraId="56A62457" w14:textId="77777777" w:rsidTr="00FC7423">
              <w:trPr>
                <w:jc w:val="center"/>
              </w:trPr>
              <w:tc>
                <w:tcPr>
                  <w:tcW w:w="6291" w:type="dxa"/>
                </w:tcPr>
                <w:p w14:paraId="4D5665B8" w14:textId="77777777" w:rsidR="0072725C" w:rsidRPr="00F24E18" w:rsidRDefault="0072725C" w:rsidP="0072725C">
                  <w:pPr>
                    <w:jc w:val="center"/>
                    <w:rPr>
                      <w:b/>
                    </w:rPr>
                  </w:pPr>
                  <w:r w:rsidRPr="00F24E18">
                    <w:rPr>
                      <w:b/>
                    </w:rPr>
                    <w:lastRenderedPageBreak/>
                    <w:t>IMPACTO DE LOS DESPLAZAMIENTOS DE LOS TIPOS DE CAMBIO DESDE AGOSTO DE 2014</w:t>
                  </w:r>
                </w:p>
                <w:p w14:paraId="068926E7" w14:textId="77777777" w:rsidR="0072725C" w:rsidRPr="00F24E18" w:rsidRDefault="0072725C" w:rsidP="0072725C">
                  <w:pPr>
                    <w:jc w:val="center"/>
                    <w:rPr>
                      <w:b/>
                    </w:rPr>
                  </w:pPr>
                  <w:r w:rsidRPr="00F24E18">
                    <w:rPr>
                      <w:b/>
                    </w:rPr>
                    <w:t>-Diferencia porcentual, salvo indicación en contrario-</w:t>
                  </w:r>
                </w:p>
              </w:tc>
            </w:tr>
            <w:tr w:rsidR="0072725C" w:rsidRPr="00F24E18" w14:paraId="45DE6DF5" w14:textId="77777777" w:rsidTr="00FC7423">
              <w:trPr>
                <w:jc w:val="center"/>
              </w:trPr>
              <w:tc>
                <w:tcPr>
                  <w:tcW w:w="6291" w:type="dxa"/>
                </w:tcPr>
                <w:p w14:paraId="3ECCEED4" w14:textId="77777777" w:rsidR="0072725C" w:rsidRDefault="0072725C" w:rsidP="0072725C">
                  <w:pPr>
                    <w:jc w:val="center"/>
                  </w:pPr>
                  <w:r w:rsidRPr="00212CE8">
                    <w:rPr>
                      <w:noProof/>
                      <w:lang w:eastAsia="es-MX"/>
                    </w:rPr>
                    <w:drawing>
                      <wp:inline distT="0" distB="0" distL="0" distR="0" wp14:anchorId="0169AB70" wp14:editId="4DE28E20">
                        <wp:extent cx="3249930" cy="4368165"/>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49930" cy="4368165"/>
                                </a:xfrm>
                                <a:prstGeom prst="rect">
                                  <a:avLst/>
                                </a:prstGeom>
                                <a:noFill/>
                                <a:ln>
                                  <a:noFill/>
                                </a:ln>
                              </pic:spPr>
                            </pic:pic>
                          </a:graphicData>
                        </a:graphic>
                      </wp:inline>
                    </w:drawing>
                  </w:r>
                </w:p>
                <w:p w14:paraId="044A5C5B" w14:textId="77777777" w:rsidR="0072725C" w:rsidRDefault="0072725C" w:rsidP="0072725C">
                  <w:pPr>
                    <w:jc w:val="center"/>
                  </w:pPr>
                </w:p>
                <w:p w14:paraId="33C5C921" w14:textId="77777777" w:rsidR="0072725C" w:rsidRDefault="0072725C" w:rsidP="0072725C">
                  <w:pPr>
                    <w:jc w:val="center"/>
                  </w:pPr>
                </w:p>
                <w:p w14:paraId="45C1C810" w14:textId="77777777" w:rsidR="0072725C" w:rsidRDefault="0072725C" w:rsidP="0072725C">
                  <w:pPr>
                    <w:jc w:val="center"/>
                  </w:pPr>
                </w:p>
                <w:p w14:paraId="3624D5D2" w14:textId="77777777" w:rsidR="0072725C" w:rsidRDefault="0072725C" w:rsidP="0072725C">
                  <w:pPr>
                    <w:jc w:val="center"/>
                  </w:pPr>
                </w:p>
                <w:p w14:paraId="3E2BA21F" w14:textId="77777777" w:rsidR="0072725C" w:rsidRDefault="0072725C" w:rsidP="0072725C">
                  <w:pPr>
                    <w:jc w:val="center"/>
                  </w:pPr>
                </w:p>
                <w:p w14:paraId="2AF74805" w14:textId="77777777" w:rsidR="0072725C" w:rsidRDefault="0072725C" w:rsidP="0072725C">
                  <w:pPr>
                    <w:jc w:val="center"/>
                  </w:pPr>
                </w:p>
                <w:p w14:paraId="6B92A99A" w14:textId="77777777" w:rsidR="0072725C" w:rsidRDefault="0072725C" w:rsidP="0072725C">
                  <w:pPr>
                    <w:jc w:val="center"/>
                  </w:pPr>
                </w:p>
                <w:p w14:paraId="74816537" w14:textId="77777777" w:rsidR="0072725C" w:rsidRDefault="0072725C" w:rsidP="0072725C">
                  <w:pPr>
                    <w:jc w:val="center"/>
                  </w:pPr>
                </w:p>
                <w:p w14:paraId="2314DAF4" w14:textId="77777777" w:rsidR="0072725C" w:rsidRDefault="0072725C" w:rsidP="0072725C">
                  <w:pPr>
                    <w:jc w:val="center"/>
                  </w:pPr>
                </w:p>
                <w:p w14:paraId="722092BC" w14:textId="77777777" w:rsidR="0072725C" w:rsidRDefault="0072725C" w:rsidP="0072725C">
                  <w:pPr>
                    <w:jc w:val="center"/>
                  </w:pPr>
                </w:p>
                <w:p w14:paraId="66AA3D2A" w14:textId="77777777" w:rsidR="0072725C" w:rsidRDefault="0072725C" w:rsidP="0072725C">
                  <w:pPr>
                    <w:jc w:val="center"/>
                  </w:pPr>
                </w:p>
                <w:p w14:paraId="2BF972AA" w14:textId="77777777" w:rsidR="0072725C" w:rsidRDefault="0072725C" w:rsidP="0072725C">
                  <w:pPr>
                    <w:jc w:val="center"/>
                  </w:pPr>
                </w:p>
                <w:p w14:paraId="1BB0A7A5" w14:textId="77777777" w:rsidR="0072725C" w:rsidRDefault="0072725C" w:rsidP="0072725C">
                  <w:pPr>
                    <w:jc w:val="center"/>
                  </w:pPr>
                </w:p>
                <w:p w14:paraId="631C2E25" w14:textId="77777777" w:rsidR="0072725C" w:rsidRDefault="0072725C" w:rsidP="0072725C">
                  <w:pPr>
                    <w:jc w:val="center"/>
                  </w:pPr>
                </w:p>
                <w:p w14:paraId="4B232D0A" w14:textId="77777777" w:rsidR="0072725C" w:rsidRDefault="0072725C" w:rsidP="0072725C">
                  <w:pPr>
                    <w:jc w:val="center"/>
                  </w:pPr>
                </w:p>
                <w:p w14:paraId="1F83AC2E" w14:textId="77777777" w:rsidR="0072725C" w:rsidRDefault="0072725C" w:rsidP="0072725C">
                  <w:pPr>
                    <w:jc w:val="center"/>
                  </w:pPr>
                </w:p>
                <w:p w14:paraId="1971287F" w14:textId="77777777" w:rsidR="0072725C" w:rsidRDefault="0072725C" w:rsidP="0072725C">
                  <w:pPr>
                    <w:jc w:val="center"/>
                  </w:pPr>
                </w:p>
                <w:p w14:paraId="56F310F5" w14:textId="77777777" w:rsidR="0072725C" w:rsidRPr="00F24E18" w:rsidRDefault="0072725C" w:rsidP="0072725C">
                  <w:pPr>
                    <w:jc w:val="center"/>
                  </w:pPr>
                </w:p>
              </w:tc>
            </w:tr>
            <w:tr w:rsidR="0072725C" w:rsidRPr="00F24E18" w14:paraId="3A387156" w14:textId="77777777" w:rsidTr="00FC7423">
              <w:trPr>
                <w:jc w:val="center"/>
              </w:trPr>
              <w:tc>
                <w:tcPr>
                  <w:tcW w:w="6291" w:type="dxa"/>
                </w:tcPr>
                <w:p w14:paraId="252B4410" w14:textId="77777777" w:rsidR="0072725C" w:rsidRDefault="0072725C" w:rsidP="0072725C">
                  <w:pPr>
                    <w:jc w:val="center"/>
                    <w:rPr>
                      <w:noProof/>
                      <w:lang w:eastAsia="es-MX"/>
                    </w:rPr>
                  </w:pPr>
                </w:p>
                <w:p w14:paraId="07DEEEEF" w14:textId="77777777" w:rsidR="0072725C" w:rsidRDefault="0072725C" w:rsidP="0072725C">
                  <w:pPr>
                    <w:jc w:val="center"/>
                    <w:rPr>
                      <w:noProof/>
                      <w:lang w:eastAsia="es-MX"/>
                    </w:rPr>
                  </w:pPr>
                </w:p>
                <w:p w14:paraId="0E81077E" w14:textId="77777777" w:rsidR="0072725C" w:rsidRDefault="0072725C" w:rsidP="0072725C">
                  <w:pPr>
                    <w:jc w:val="center"/>
                    <w:rPr>
                      <w:noProof/>
                      <w:lang w:eastAsia="es-MX"/>
                    </w:rPr>
                  </w:pPr>
                </w:p>
                <w:p w14:paraId="070916E3" w14:textId="77777777" w:rsidR="0072725C" w:rsidRDefault="0072725C" w:rsidP="0072725C">
                  <w:pPr>
                    <w:jc w:val="center"/>
                    <w:rPr>
                      <w:noProof/>
                      <w:lang w:eastAsia="es-MX"/>
                    </w:rPr>
                  </w:pPr>
                </w:p>
                <w:p w14:paraId="012D1983" w14:textId="77777777" w:rsidR="0072725C" w:rsidRPr="00F24E18" w:rsidRDefault="0072725C" w:rsidP="0072725C">
                  <w:pPr>
                    <w:jc w:val="center"/>
                  </w:pPr>
                  <w:r>
                    <w:rPr>
                      <w:noProof/>
                      <w:lang w:eastAsia="es-MX"/>
                    </w:rPr>
                    <w:t>-</w:t>
                  </w:r>
                  <w:r w:rsidRPr="00212CE8">
                    <w:rPr>
                      <w:noProof/>
                      <w:lang w:eastAsia="es-MX"/>
                    </w:rPr>
                    <w:drawing>
                      <wp:inline distT="0" distB="0" distL="0" distR="0" wp14:anchorId="07734270" wp14:editId="6BC87556">
                        <wp:extent cx="2978150" cy="3515360"/>
                        <wp:effectExtent l="0" t="0" r="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78150" cy="3515360"/>
                                </a:xfrm>
                                <a:prstGeom prst="rect">
                                  <a:avLst/>
                                </a:prstGeom>
                                <a:noFill/>
                                <a:ln>
                                  <a:noFill/>
                                </a:ln>
                              </pic:spPr>
                            </pic:pic>
                          </a:graphicData>
                        </a:graphic>
                      </wp:inline>
                    </w:drawing>
                  </w:r>
                </w:p>
              </w:tc>
            </w:tr>
            <w:tr w:rsidR="0072725C" w:rsidRPr="00F24E18" w14:paraId="28B6A1CB" w14:textId="77777777" w:rsidTr="00FC7423">
              <w:trPr>
                <w:jc w:val="center"/>
              </w:trPr>
              <w:tc>
                <w:tcPr>
                  <w:tcW w:w="6291" w:type="dxa"/>
                </w:tcPr>
                <w:p w14:paraId="2260B34E" w14:textId="77777777" w:rsidR="0072725C" w:rsidRPr="00F24E18" w:rsidRDefault="0072725C" w:rsidP="0072725C">
                  <w:pPr>
                    <w:ind w:left="510" w:hanging="510"/>
                    <w:jc w:val="both"/>
                    <w:rPr>
                      <w:sz w:val="20"/>
                      <w:szCs w:val="20"/>
                    </w:rPr>
                  </w:pPr>
                  <w:r w:rsidRPr="00F24E18">
                    <w:rPr>
                      <w:sz w:val="20"/>
                      <w:szCs w:val="20"/>
                    </w:rPr>
                    <w:lastRenderedPageBreak/>
                    <w:t>* Estados Unidos de Norteamérica.</w:t>
                  </w:r>
                </w:p>
                <w:p w14:paraId="72CB8C14" w14:textId="77777777" w:rsidR="0072725C" w:rsidRPr="00F24E18" w:rsidRDefault="0072725C" w:rsidP="0072725C">
                  <w:pPr>
                    <w:ind w:left="510" w:hanging="510"/>
                    <w:jc w:val="both"/>
                    <w:rPr>
                      <w:sz w:val="20"/>
                      <w:szCs w:val="20"/>
                    </w:rPr>
                  </w:pPr>
                  <w:r w:rsidRPr="00F24E18">
                    <w:rPr>
                      <w:sz w:val="20"/>
                      <w:szCs w:val="20"/>
                    </w:rPr>
                    <w:t>Nota: Las líneas sólidas denotan la respuesta del comercio internacional en el caso de base; las líneas puntuadas denotan una respuesta paulatina del comercio internacional. IPC = índice de precios al consumidor.</w:t>
                  </w:r>
                </w:p>
                <w:p w14:paraId="05C9C5D1" w14:textId="77777777" w:rsidR="0072725C" w:rsidRPr="00F24E18" w:rsidRDefault="0072725C" w:rsidP="0072725C">
                  <w:pPr>
                    <w:ind w:left="907" w:hanging="907"/>
                    <w:jc w:val="both"/>
                    <w:rPr>
                      <w:sz w:val="20"/>
                      <w:szCs w:val="20"/>
                    </w:rPr>
                  </w:pPr>
                  <w:r w:rsidRPr="00F24E18">
                    <w:rPr>
                      <w:sz w:val="20"/>
                      <w:szCs w:val="20"/>
                    </w:rPr>
                    <w:t>FUENTE</w:t>
                  </w:r>
                  <w:r w:rsidRPr="00F24E18">
                    <w:rPr>
                      <w:i/>
                      <w:sz w:val="20"/>
                      <w:szCs w:val="20"/>
                    </w:rPr>
                    <w:t xml:space="preserve">: </w:t>
                  </w:r>
                  <w:r w:rsidRPr="00F24E18">
                    <w:rPr>
                      <w:sz w:val="20"/>
                      <w:szCs w:val="20"/>
                    </w:rPr>
                    <w:t>FMI, simulaciones del modelo G-20.</w:t>
                  </w:r>
                </w:p>
              </w:tc>
            </w:tr>
          </w:tbl>
          <w:p w14:paraId="5737EF1F" w14:textId="77777777" w:rsidR="009B1CF2" w:rsidRPr="009B1CF2" w:rsidRDefault="009B1CF2" w:rsidP="009B1CF2">
            <w:pPr>
              <w:spacing w:after="360" w:line="360" w:lineRule="auto"/>
              <w:jc w:val="center"/>
              <w:rPr>
                <w:rFonts w:eastAsia="Calibri"/>
                <w:sz w:val="26"/>
                <w:szCs w:val="26"/>
                <w:lang w:eastAsia="en-US"/>
              </w:rPr>
            </w:pPr>
          </w:p>
          <w:p w14:paraId="17DD54F3"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A modo de resumen de los resultados de las simulaciones: si la disminución de los precios internacionales del petróleo se trasladara por completo a los precios finales, las estimaciones del modelo hacen pensar que el Producto Interno Bruto (PIB) mundial —excluidos los países donde la oferta de petróleo está aumentando— crecería aproximadamente 1% para 2016. Si, por otra parte, el retroceso de los precios del petróleo no se trasladara por completo y se ahorrara el aumento resultante del ingreso fiscal, el aumento del PIB mundial se reduciría casi a la mitad. Esto muestra que en los países con precios administrados, el estímulo que recibiría la actividad real sería considerablemente menor. El impacto que tendría un traslado más limitado en el producto de las economías avanzadas que aplican precios de </w:t>
            </w:r>
            <w:r w:rsidRPr="009B1CF2">
              <w:rPr>
                <w:rFonts w:eastAsia="Calibri"/>
                <w:sz w:val="26"/>
                <w:szCs w:val="26"/>
                <w:lang w:eastAsia="en-US"/>
              </w:rPr>
              <w:lastRenderedPageBreak/>
              <w:t>mercado a las transacciones de petróleo (por ejemplo, la zona del euro y Estados Unidos de Norteamérica) se limitaría a los efectos de contagio causados por la retracción de la actividad en países con precios administrados. Un traslado más limitado moderaría también el impacto del retroceso de los precios del petróleo en la inflación mundial.</w:t>
            </w:r>
          </w:p>
        </w:tc>
      </w:tr>
    </w:tbl>
    <w:p w14:paraId="1A10ED23" w14:textId="77777777" w:rsidR="009B1CF2" w:rsidRPr="009B1CF2" w:rsidRDefault="009B1CF2" w:rsidP="009B1CF2">
      <w:pPr>
        <w:spacing w:after="360" w:line="360" w:lineRule="auto"/>
        <w:ind w:right="-159"/>
        <w:jc w:val="both"/>
        <w:rPr>
          <w:rFonts w:eastAsia="Calibri"/>
          <w:sz w:val="26"/>
          <w:szCs w:val="26"/>
          <w:lang w:eastAsia="en-US"/>
        </w:rPr>
      </w:pPr>
    </w:p>
    <w:p w14:paraId="16660DD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Globalmente, el modelo implica que el </w:t>
      </w:r>
      <w:r w:rsidRPr="009B1CF2">
        <w:rPr>
          <w:rFonts w:eastAsia="Calibri"/>
          <w:i/>
          <w:sz w:val="26"/>
          <w:szCs w:val="26"/>
          <w:lang w:eastAsia="en-US"/>
        </w:rPr>
        <w:t>shock</w:t>
      </w:r>
      <w:r w:rsidRPr="009B1CF2">
        <w:rPr>
          <w:rFonts w:eastAsia="Calibri"/>
          <w:sz w:val="26"/>
          <w:szCs w:val="26"/>
          <w:lang w:eastAsia="en-US"/>
        </w:rPr>
        <w:t xml:space="preserve"> petrolero infundiría un estímulo considerable en la actividad económica, haciendo subir el producto mundial alrededor de un punto porcentual para 2016 si los precios internacionales se trasladan por completo a los precios nacionales, en particular como consecuencia de la mayor demanda por parte de los grandes importadores de petróleo. Si el traslado de la caída de los precios del petróleo a consumidores y productores es incompleto (como lo suponen los pronósticos de base del informe WEO), el efecto expansivo se vería atenuado en algunos mercados emergentes grandes, pero aun así el producto mundial aumentaría más de 0.50 de punto porcentual en el mismo período. </w:t>
      </w:r>
    </w:p>
    <w:p w14:paraId="642CC3F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Dos factores implicarían un estímulo de la actividad mundial más débil que el que sugieren las simulaciones del modelo. Primero, la contracción de la demanda mundial ha influido en cierta medida en los precios del petróleo. Y segundo, las tensiones macroeconómicas que experimentan los grandes exportadores de petróleo van más allá del impacto puro de la pérdida de los términos de intercambio que capta el modelo, dadas las interacciones con otros </w:t>
      </w:r>
      <w:r w:rsidRPr="009B1CF2">
        <w:rPr>
          <w:rFonts w:eastAsia="Calibri"/>
          <w:i/>
          <w:sz w:val="26"/>
          <w:szCs w:val="26"/>
          <w:lang w:eastAsia="en-US"/>
        </w:rPr>
        <w:t>shocks</w:t>
      </w:r>
      <w:r w:rsidRPr="009B1CF2">
        <w:rPr>
          <w:rFonts w:eastAsia="Calibri"/>
          <w:sz w:val="26"/>
          <w:szCs w:val="26"/>
          <w:lang w:eastAsia="en-US"/>
        </w:rPr>
        <w:t xml:space="preserve"> o condiciones iniciales.</w:t>
      </w:r>
    </w:p>
    <w:p w14:paraId="2465FD86"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Fuertes movimientos de los tipos de cambio </w:t>
      </w:r>
    </w:p>
    <w:p w14:paraId="77BBB2A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movimientos del tipo de cambio observados en los últimos meses han sido sustanciales y reflejan —quizá con cierto retraso— las nuevas expectativas en torno al crecimiento y la política monetaria de las grandes economías, así como el fuerte </w:t>
      </w:r>
      <w:r w:rsidRPr="009B1CF2">
        <w:rPr>
          <w:rFonts w:eastAsia="Calibri"/>
          <w:sz w:val="26"/>
          <w:szCs w:val="26"/>
          <w:lang w:eastAsia="en-US"/>
        </w:rPr>
        <w:lastRenderedPageBreak/>
        <w:t>retroceso de los precios del petróleo (véase más adelante la sección “Evolución del sector externo” de este Capítulo). Entre las principales monedas, para febrero de 2015 el dólar estadounidense se había apreciado alrededor de 10% en términos efectivos reales respecto de los valores utilizados en la edición de octubre de 2014 del informe WEO, con una apreciación real particularmente marcada (14%) frente a las monedas de las grandes economías avanzadas</w:t>
      </w:r>
      <w:r w:rsidRPr="009B1CF2">
        <w:rPr>
          <w:rFonts w:eastAsia="Calibri"/>
          <w:sz w:val="26"/>
          <w:szCs w:val="26"/>
          <w:vertAlign w:val="superscript"/>
          <w:lang w:eastAsia="en-US"/>
        </w:rPr>
        <w:footnoteReference w:id="2"/>
      </w:r>
      <w:r w:rsidRPr="009B1CF2">
        <w:rPr>
          <w:rFonts w:eastAsia="Calibri"/>
          <w:sz w:val="26"/>
          <w:szCs w:val="26"/>
          <w:lang w:eastAsia="en-US"/>
        </w:rPr>
        <w:t xml:space="preserve">. El fortalecimiento de la moneda estadounidense implica que la mayoría de los países experimentaron un retroceso de los precios del petróleo ligeramente menor en relación con el nivel general de precios, que está expresado en dólares de Estados Unidos de Norteamérica. El renminbi, que se ha mantenido más o menos estable frente al dólar, se había apreciado alrededor de 11% en términos efectivos reales para febrero. Entre las otras monedas importantes, el euro y el yen se habían depreciado alrededor de 7%. Y desde que las autoridades nacionales abandonaron el piso del tipo de cambio con el euro el 15 de enero, el franco suizo se ha apreciado sustancialmente. </w:t>
      </w:r>
    </w:p>
    <w:p w14:paraId="76C19A9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monedas de los grandes exportadores de petróleo con tipos de cambio flotantes se habían depreciado para febrero de 2015. La caída fue especialmente pronunciada en el caso del rublo ruso (una depreciación de 30% en términos efectivos reales). Entre las monedas de las economías avanzadas, el dólar canadiense y la corona noruega se habían depreciado 8 y 7%, respectivamente. Entre los demás grandes mercados emergentes, India —un importante importador de petróleo— experimentó una apreciación de su moneda de casi 10% en términos efectivos reales, en tanto que el real brasileño se depreció 9% debido al deterioro de las perspectivas. A nivel más general, los movimientos de los tipos de cambio efectivos reales durante los últimos meses han reflejado ampliamente la evolución de las perspectivas de crecimiento, así como diferencias en la exposición a la caída de los precios del petróleo, como explica en más detalle la sección “Evolución del sector externo”. </w:t>
      </w:r>
    </w:p>
    <w:p w14:paraId="7C55733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En principio, los movimientos del tipo de cambio redistribuyen la demanda entre los países y, por lo tanto, influyen principalmente en las perspectivas económicas relativas, en contraposición al crecimiento mundial. Sin embargo, estos movimientos deberían contribuir a respaldar la recuperación mundial por dos razones: </w:t>
      </w:r>
    </w:p>
    <w:p w14:paraId="7532F540" w14:textId="77777777" w:rsidR="009B1CF2" w:rsidRPr="009B1CF2" w:rsidRDefault="009B1CF2" w:rsidP="003518F4">
      <w:pPr>
        <w:numPr>
          <w:ilvl w:val="0"/>
          <w:numId w:val="147"/>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En la medida en que redistribuyen la demanda de países que pueden distender la política monetaria hacia países que desearían distender la política monetaria pero se ven impedidos por el límite inferior cero de las tasas de política monetaria; estos movimientos del tipo de cambio pueden implicar un estímulo para la demanda mundial. El estímulo ocurriría porque los países limitados por las tasas a cero no las aumentarían en respuesta a una depreciación, en tanto que los países que pueden hacerlo distenderían la política monetaria —respecto del nivel de base— en respuesta a una apreciación. Otro beneficio para los países con monedas en retroceso y un nivel de inflación inferior a la meta sería el aumento de los precios internos.</w:t>
      </w:r>
    </w:p>
    <w:p w14:paraId="3EF78F76" w14:textId="77777777" w:rsidR="009B1CF2" w:rsidRPr="009B1CF2" w:rsidRDefault="009B1CF2" w:rsidP="003518F4">
      <w:pPr>
        <w:numPr>
          <w:ilvl w:val="0"/>
          <w:numId w:val="147"/>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Análogamente, es posible que una redistribución de la demanda hacia países con condiciones macroeconómicas más difíciles resulte beneficiosa porque puede mitigar el riesgo de que recrudezcan las tensiones, con los posibles efectos de contagio. </w:t>
      </w:r>
    </w:p>
    <w:p w14:paraId="3A477B6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Por otra parte, los movimientos pronunciados de los tipos de cambio también pueden causar trastornos; por ejemplo, pueden hacer subir rápidamente el valor de la deuda en moneda extranjera en los países cuya moneda se está depreciando. Esta inquietud reviste especial importancia en los países que han experimentado un fuerte aumento de las exposiciones de las empresas en moneda extranjera en los últimos años, tal como lo explica la edición de abril de 2015 del Informe sobre la estabilidad financiera mundial (informe GFSR). Estos temas se abordan en la sección “Riesgos” de este Capítulo. </w:t>
      </w:r>
    </w:p>
    <w:p w14:paraId="635620F1"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El recuadro de escenario 2 analiza las implicaciones de estos movimientos de los tipos de cambio para las perspectivas mundiales. A fin de aislar el impacto, y en concordancia con la idea de que al menos parte del ajuste de los tipos de cambio refleja una respuesta rezagada a diferencias en las perspectivas económicas y la orientación prevista de la política monetaria, el escenario supone que la fluctuación de los tipos de cambio es resultado de un “</w:t>
      </w:r>
      <w:r w:rsidRPr="009B1CF2">
        <w:rPr>
          <w:rFonts w:eastAsia="Calibri"/>
          <w:i/>
          <w:sz w:val="26"/>
          <w:szCs w:val="26"/>
          <w:lang w:eastAsia="en-US"/>
        </w:rPr>
        <w:t>shock</w:t>
      </w:r>
      <w:r w:rsidRPr="009B1CF2">
        <w:rPr>
          <w:rFonts w:eastAsia="Calibri"/>
          <w:sz w:val="26"/>
          <w:szCs w:val="26"/>
          <w:lang w:eastAsia="en-US"/>
        </w:rPr>
        <w:t xml:space="preserve"> de preferencia de cartera”; en otras palabras, una mayor voluntad de los inversores internacionales a incorporar a sus tenencias instrumentos financieros emitidos por países con monedas en curso de apreciación y viceversa</w:t>
      </w:r>
      <w:r w:rsidRPr="009B1CF2">
        <w:rPr>
          <w:rFonts w:eastAsia="Calibri"/>
          <w:sz w:val="26"/>
          <w:szCs w:val="26"/>
          <w:vertAlign w:val="superscript"/>
          <w:lang w:eastAsia="en-US"/>
        </w:rPr>
        <w:footnoteReference w:id="3"/>
      </w:r>
      <w:r w:rsidRPr="009B1CF2">
        <w:rPr>
          <w:rFonts w:eastAsia="Calibri"/>
          <w:sz w:val="26"/>
          <w:szCs w:val="26"/>
          <w:lang w:eastAsia="en-US"/>
        </w:rPr>
        <w:t xml:space="preserve">. En este escenario, el PIB mundial aumenta alrededor de medio punto porcentual por las razones analizadas anteriormente, observándose un estímulo expansivo en los países y regiones con monedas en curso de depreciación (como la zona del euro y Japón) y un debilitamiento del crecimiento en países con monedas en curso de apreciación (como China y Estados Unidos de Norteamérica). El impacto máximo en la actividad se ve ligeramente moderado cuando los flujos comerciales tardan en responder a las fluctuaciones de los tipos de cambio. </w:t>
      </w:r>
    </w:p>
    <w:p w14:paraId="02BFB917" w14:textId="77777777" w:rsidR="0072725C" w:rsidRDefault="0072725C" w:rsidP="009B1CF2">
      <w:pPr>
        <w:spacing w:after="360" w:line="360" w:lineRule="auto"/>
        <w:ind w:right="-159"/>
        <w:jc w:val="both"/>
        <w:rPr>
          <w:rFonts w:eastAsia="Calibri"/>
          <w:sz w:val="26"/>
          <w:szCs w:val="26"/>
          <w:lang w:eastAsia="en-US"/>
        </w:rPr>
      </w:pPr>
    </w:p>
    <w:p w14:paraId="654EE2A9" w14:textId="77777777" w:rsidR="0072725C" w:rsidRDefault="0072725C" w:rsidP="009B1CF2">
      <w:pPr>
        <w:spacing w:after="360" w:line="360" w:lineRule="auto"/>
        <w:ind w:right="-159"/>
        <w:jc w:val="both"/>
        <w:rPr>
          <w:rFonts w:eastAsia="Calibri"/>
          <w:sz w:val="26"/>
          <w:szCs w:val="26"/>
          <w:lang w:eastAsia="en-US"/>
        </w:rPr>
      </w:pPr>
    </w:p>
    <w:p w14:paraId="1E5A553F" w14:textId="77777777" w:rsidR="0072725C" w:rsidRDefault="0072725C" w:rsidP="009B1CF2">
      <w:pPr>
        <w:spacing w:after="360" w:line="360" w:lineRule="auto"/>
        <w:ind w:right="-159"/>
        <w:jc w:val="both"/>
        <w:rPr>
          <w:rFonts w:eastAsia="Calibri"/>
          <w:sz w:val="26"/>
          <w:szCs w:val="26"/>
          <w:lang w:eastAsia="en-US"/>
        </w:rPr>
      </w:pPr>
    </w:p>
    <w:p w14:paraId="0A85224A" w14:textId="77777777" w:rsidR="0072725C" w:rsidRDefault="0072725C" w:rsidP="009B1CF2">
      <w:pPr>
        <w:spacing w:after="360" w:line="360" w:lineRule="auto"/>
        <w:ind w:right="-159"/>
        <w:jc w:val="both"/>
        <w:rPr>
          <w:rFonts w:eastAsia="Calibri"/>
          <w:sz w:val="26"/>
          <w:szCs w:val="26"/>
          <w:lang w:eastAsia="en-US"/>
        </w:rPr>
      </w:pPr>
    </w:p>
    <w:p w14:paraId="3081208A" w14:textId="77777777" w:rsidR="0072725C" w:rsidRPr="009B1CF2" w:rsidRDefault="0072725C" w:rsidP="009B1CF2">
      <w:pPr>
        <w:spacing w:after="360" w:line="360" w:lineRule="auto"/>
        <w:ind w:right="-159"/>
        <w:jc w:val="both"/>
        <w:rPr>
          <w:rFonts w:eastAsia="Calibri"/>
          <w:sz w:val="26"/>
          <w:szCs w:val="26"/>
          <w:lang w:eastAsia="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9B1CF2" w:rsidRPr="009B1CF2" w14:paraId="0DFB8475" w14:textId="77777777" w:rsidTr="0098560F">
        <w:tc>
          <w:tcPr>
            <w:tcW w:w="8828" w:type="dxa"/>
          </w:tcPr>
          <w:p w14:paraId="06072C4F" w14:textId="5FD6FAF8" w:rsidR="009B1CF2" w:rsidRPr="009B1CF2" w:rsidRDefault="0098560F" w:rsidP="009B1CF2">
            <w:pPr>
              <w:spacing w:after="360"/>
              <w:jc w:val="center"/>
              <w:rPr>
                <w:rFonts w:eastAsia="Calibri"/>
                <w:b/>
                <w:sz w:val="26"/>
                <w:szCs w:val="26"/>
                <w:lang w:eastAsia="en-US"/>
              </w:rPr>
            </w:pPr>
            <w:r>
              <w:rPr>
                <w:rFonts w:eastAsia="Calibri"/>
                <w:b/>
                <w:sz w:val="26"/>
                <w:szCs w:val="26"/>
                <w:lang w:eastAsia="en-US"/>
              </w:rPr>
              <w:lastRenderedPageBreak/>
              <w:t>E</w:t>
            </w:r>
            <w:r w:rsidR="009B1CF2" w:rsidRPr="009B1CF2">
              <w:rPr>
                <w:rFonts w:eastAsia="Calibri"/>
                <w:b/>
                <w:sz w:val="26"/>
                <w:szCs w:val="26"/>
                <w:lang w:eastAsia="en-US"/>
              </w:rPr>
              <w:t>scenario 2. Implicaciones mundiales de los movimientos de los tipos de cambio</w:t>
            </w:r>
          </w:p>
          <w:p w14:paraId="5C3B7A8F"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Este escenario emplea dos simulaciones del Modelo G-20 del FMI para analizar el impacto macroeconómico que pueden haber tenido los desplazamientos de los tipos de cambio reales desde agosto de 2014, tal como lo representa la gráfica </w:t>
            </w:r>
            <w:r w:rsidRPr="009B1CF2">
              <w:rPr>
                <w:rFonts w:eastAsia="Calibri"/>
                <w:i/>
                <w:sz w:val="26"/>
                <w:szCs w:val="26"/>
                <w:lang w:eastAsia="en-US"/>
              </w:rPr>
              <w:t>2. Nivel general de inflación según el IPC</w:t>
            </w:r>
            <w:r w:rsidRPr="009B1CF2">
              <w:rPr>
                <w:rFonts w:eastAsia="Calibri"/>
                <w:sz w:val="26"/>
                <w:szCs w:val="26"/>
                <w:lang w:eastAsia="en-US"/>
              </w:rPr>
              <w:t xml:space="preserve">. Ambas simulaciones reproducen todas las variaciones bilaterales de los tipos de cambio reales de los países del Grupo de los Veinte frente al dólar estadounidense ocurridas entre agosto de 2014 y febrero de 2015 usando </w:t>
            </w:r>
            <w:r w:rsidRPr="009B1CF2">
              <w:rPr>
                <w:rFonts w:eastAsia="Calibri"/>
                <w:i/>
                <w:sz w:val="26"/>
                <w:szCs w:val="26"/>
                <w:lang w:eastAsia="en-US"/>
              </w:rPr>
              <w:t>shocks</w:t>
            </w:r>
            <w:r w:rsidRPr="009B1CF2">
              <w:rPr>
                <w:rFonts w:eastAsia="Calibri"/>
                <w:sz w:val="26"/>
                <w:szCs w:val="26"/>
                <w:lang w:eastAsia="en-US"/>
              </w:rPr>
              <w:t xml:space="preserve"> que representan cambios en las preferencias de los inversores por activos denominados en dólares de Estados Unidos de Norteamérica. Se supone que los desplazamientos de los tipos de cambio son persistentes, y que se disipan solo de manera gradual durante el quinquenio siguiente. Una simulación utiliza la versión de base del modelo (línea continua de la gráfica </w:t>
            </w:r>
            <w:r w:rsidRPr="009B1CF2">
              <w:rPr>
                <w:rFonts w:eastAsia="Calibri"/>
                <w:i/>
                <w:sz w:val="26"/>
                <w:szCs w:val="26"/>
                <w:lang w:eastAsia="en-US"/>
              </w:rPr>
              <w:t>2. Nivel general de inflación según el IPC</w:t>
            </w:r>
            <w:r w:rsidRPr="009B1CF2">
              <w:rPr>
                <w:rFonts w:eastAsia="Calibri"/>
                <w:sz w:val="26"/>
                <w:szCs w:val="26"/>
                <w:lang w:eastAsia="en-US"/>
              </w:rPr>
              <w:t xml:space="preserve">), y la otra, una versión del modelo en la que el comercio responde de manera más paulatina a los movimientos del tipo de cambio (línea puntuada) para captar la posibilidad de que los rezagos de la transmisión de los tipos de cambio al comercio se hayan prolongado por efecto de la fragmentación de las cadenas de producción. </w:t>
            </w:r>
          </w:p>
          <w:p w14:paraId="70D9B210"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En estas simulaciones, el impacto en el PIB es negativo en los países con monedas en curso de apreciación (por ejemplo, China y Estados Unidos de Norteamérica) y positivo en los países con monedas en curso de depreciación (por ejemplo, la zona del euro y Japón). Las magnitudes del impacto dependen del grado de desplazamiento del tipo de cambio, el grado de apertura de la economía del país y la sensibilidad de los volúmenes del comercio internacional a las variaciones de los precios relativos internacionales. Si la política monetaria convencional tiene margen de maniobra, los países que experimentan una apreciación responden distendiendo la política monetaria para apuntalar el producto. Con la excepción de la zona del euro y Japón, los países que experimentan expansiones gracias a la </w:t>
            </w:r>
            <w:r w:rsidRPr="009B1CF2">
              <w:rPr>
                <w:rFonts w:eastAsia="Calibri"/>
                <w:sz w:val="26"/>
                <w:szCs w:val="26"/>
                <w:lang w:eastAsia="en-US"/>
              </w:rPr>
              <w:lastRenderedPageBreak/>
              <w:t xml:space="preserve">depreciación de la moneda responden endureciendo la política monetaria. Las posiciones de base en las que se encuentran la zona del euro y Japón dentro del ciclo permiten absorber las expansiones generadas por las depreciaciones y, por lo tanto, no se endurece la política monetaria. </w:t>
            </w:r>
          </w:p>
          <w:p w14:paraId="6A910227"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 xml:space="preserve">Con tasas de política monetaria al mismo nivel y una inflación en alza en la zona del euro y Japón, el retroceso de las tasas de interés reales contribuye a sustentar la demanda interna y amplificar las expansiones. Como la zona del euro y Japón pueden dar cabida a la expansión, y como China y Estados Unidos de Norteamérica pueden distender la política monetaria, estos desplazamientos de los tipos de cambio producen una ligera expansión del PIB mundial. </w:t>
            </w:r>
          </w:p>
          <w:p w14:paraId="580C7333" w14:textId="77777777" w:rsidR="009B1CF2" w:rsidRPr="009B1CF2" w:rsidRDefault="009B1CF2" w:rsidP="009B1CF2">
            <w:pPr>
              <w:spacing w:after="360" w:line="360" w:lineRule="auto"/>
              <w:jc w:val="both"/>
              <w:rPr>
                <w:rFonts w:eastAsia="Calibri"/>
                <w:sz w:val="26"/>
                <w:szCs w:val="26"/>
                <w:lang w:eastAsia="en-US"/>
              </w:rPr>
            </w:pPr>
            <w:r w:rsidRPr="009B1CF2">
              <w:rPr>
                <w:rFonts w:eastAsia="Calibri"/>
                <w:sz w:val="26"/>
                <w:szCs w:val="26"/>
                <w:lang w:eastAsia="en-US"/>
              </w:rPr>
              <w:t>En la simulación donde los volúmenes de comercio internacional responden a las variaciones de los precios relativos internacionales de manera más gradual que en el caso de base (líneas puntuadas), las contracciones iniciales del producto en los países  con monedas en curso de apreciación son más pequeñas, mientras que en los países con monedas en curso de depreciación las expansiones son más leves.  Esta respuesta más gradual de los volúmenes de comercio internacional tiene un impacto mínimo en el PIB mundial en comparación con la primera simulación.</w:t>
            </w:r>
          </w:p>
          <w:p w14:paraId="70AC4DFB" w14:textId="77777777" w:rsidR="009B1CF2" w:rsidRPr="009B1CF2" w:rsidRDefault="009B1CF2" w:rsidP="009B1CF2">
            <w:pPr>
              <w:spacing w:after="360" w:line="360" w:lineRule="auto"/>
              <w:jc w:val="center"/>
              <w:rPr>
                <w:rFonts w:eastAsia="Calibri"/>
                <w:sz w:val="26"/>
                <w:szCs w:val="26"/>
                <w:lang w:eastAsia="en-US"/>
              </w:rPr>
            </w:pPr>
          </w:p>
          <w:p w14:paraId="1D3889F3" w14:textId="77777777" w:rsidR="009B1CF2" w:rsidRPr="009B1CF2" w:rsidRDefault="009B1CF2" w:rsidP="009B1CF2">
            <w:pPr>
              <w:spacing w:after="360" w:line="360" w:lineRule="auto"/>
              <w:jc w:val="center"/>
              <w:rPr>
                <w:rFonts w:eastAsia="Calibri"/>
                <w:sz w:val="26"/>
                <w:szCs w:val="26"/>
                <w:lang w:eastAsia="en-US"/>
              </w:rPr>
            </w:pPr>
          </w:p>
          <w:p w14:paraId="1D10FB2F" w14:textId="77777777" w:rsidR="009B1CF2" w:rsidRPr="009B1CF2" w:rsidRDefault="009B1CF2" w:rsidP="009B1CF2">
            <w:pPr>
              <w:spacing w:after="360" w:line="360" w:lineRule="auto"/>
              <w:jc w:val="center"/>
              <w:rPr>
                <w:rFonts w:eastAsia="Calibri"/>
                <w:sz w:val="26"/>
                <w:szCs w:val="26"/>
                <w:lang w:eastAsia="en-US"/>
              </w:rPr>
            </w:pPr>
          </w:p>
          <w:p w14:paraId="2F80EDA0" w14:textId="77777777" w:rsidR="009B1CF2" w:rsidRPr="009B1CF2" w:rsidRDefault="009B1CF2" w:rsidP="009B1CF2">
            <w:pPr>
              <w:spacing w:after="360" w:line="360" w:lineRule="auto"/>
              <w:jc w:val="center"/>
              <w:rPr>
                <w:rFonts w:eastAsia="Calibri"/>
                <w:sz w:val="26"/>
                <w:szCs w:val="26"/>
                <w:lang w:eastAsia="en-US"/>
              </w:rPr>
            </w:pPr>
          </w:p>
          <w:p w14:paraId="0028EBC5" w14:textId="77777777" w:rsidR="009B1CF2" w:rsidRPr="009B1CF2" w:rsidRDefault="009B1CF2" w:rsidP="009B1CF2">
            <w:pPr>
              <w:spacing w:after="360" w:line="360" w:lineRule="auto"/>
              <w:jc w:val="center"/>
              <w:rPr>
                <w:rFonts w:eastAsia="Calibri"/>
                <w:sz w:val="26"/>
                <w:szCs w:val="26"/>
                <w:lang w:eastAsia="en-US"/>
              </w:rPr>
            </w:pPr>
          </w:p>
          <w:p w14:paraId="3CE99379" w14:textId="77777777" w:rsidR="009B1CF2" w:rsidRPr="009B1CF2" w:rsidRDefault="009B1CF2" w:rsidP="009B1CF2">
            <w:pPr>
              <w:rPr>
                <w:rFonts w:ascii="Calibri" w:eastAsia="Calibri" w:hAnsi="Calibri"/>
                <w:sz w:val="22"/>
                <w:szCs w:val="22"/>
                <w:lang w:eastAsia="en-US"/>
              </w:rPr>
            </w:pPr>
          </w:p>
          <w:tbl>
            <w:tblPr>
              <w:tblW w:w="0" w:type="auto"/>
              <w:jc w:val="center"/>
              <w:tblBorders>
                <w:insideV w:val="single" w:sz="4" w:space="0" w:color="auto"/>
              </w:tblBorders>
              <w:tblLook w:val="04A0" w:firstRow="1" w:lastRow="0" w:firstColumn="1" w:lastColumn="0" w:noHBand="0" w:noVBand="1"/>
            </w:tblPr>
            <w:tblGrid>
              <w:gridCol w:w="6291"/>
            </w:tblGrid>
            <w:tr w:rsidR="009B1CF2" w:rsidRPr="009B1CF2" w14:paraId="138F969E" w14:textId="77777777" w:rsidTr="008B3DA6">
              <w:trPr>
                <w:jc w:val="center"/>
              </w:trPr>
              <w:tc>
                <w:tcPr>
                  <w:tcW w:w="6291" w:type="dxa"/>
                </w:tcPr>
                <w:p w14:paraId="67CB578E" w14:textId="77777777" w:rsidR="009B1CF2" w:rsidRPr="009B1CF2" w:rsidRDefault="009B1CF2" w:rsidP="009B1CF2">
                  <w:pPr>
                    <w:jc w:val="center"/>
                    <w:rPr>
                      <w:rFonts w:eastAsia="Calibri"/>
                      <w:b/>
                      <w:sz w:val="22"/>
                      <w:szCs w:val="22"/>
                      <w:lang w:eastAsia="en-US"/>
                    </w:rPr>
                  </w:pPr>
                  <w:r w:rsidRPr="009B1CF2">
                    <w:rPr>
                      <w:rFonts w:eastAsia="Calibri"/>
                      <w:b/>
                      <w:sz w:val="22"/>
                      <w:szCs w:val="22"/>
                      <w:lang w:eastAsia="en-US"/>
                    </w:rPr>
                    <w:t>IMPACTO DE LOS DESPLAZAMIENTOS DE LOS TIPOS DE CAMBIO DESDE AGOSTO DE 2014</w:t>
                  </w:r>
                </w:p>
                <w:p w14:paraId="7EEADF90" w14:textId="77777777" w:rsidR="009B1CF2" w:rsidRPr="009B1CF2" w:rsidRDefault="009B1CF2" w:rsidP="009B1CF2">
                  <w:pPr>
                    <w:jc w:val="center"/>
                    <w:rPr>
                      <w:rFonts w:eastAsia="Calibri"/>
                      <w:b/>
                      <w:sz w:val="22"/>
                      <w:szCs w:val="22"/>
                      <w:lang w:eastAsia="en-US"/>
                    </w:rPr>
                  </w:pPr>
                  <w:r w:rsidRPr="009B1CF2">
                    <w:rPr>
                      <w:rFonts w:eastAsia="Calibri"/>
                      <w:b/>
                      <w:sz w:val="22"/>
                      <w:szCs w:val="22"/>
                      <w:lang w:eastAsia="en-US"/>
                    </w:rPr>
                    <w:t>-Diferencia porcentual, salvo indicación en contrario-</w:t>
                  </w:r>
                </w:p>
              </w:tc>
            </w:tr>
            <w:tr w:rsidR="009B1CF2" w:rsidRPr="009B1CF2" w14:paraId="3ED8F8A3" w14:textId="77777777" w:rsidTr="008B3DA6">
              <w:trPr>
                <w:jc w:val="center"/>
              </w:trPr>
              <w:tc>
                <w:tcPr>
                  <w:tcW w:w="6291" w:type="dxa"/>
                </w:tcPr>
                <w:p w14:paraId="0691F641" w14:textId="77777777" w:rsidR="009B1CF2" w:rsidRPr="009B1CF2" w:rsidRDefault="009B1CF2" w:rsidP="009B1CF2">
                  <w:pPr>
                    <w:jc w:val="center"/>
                    <w:rPr>
                      <w:rFonts w:eastAsia="Calibri"/>
                      <w:sz w:val="22"/>
                      <w:szCs w:val="22"/>
                      <w:lang w:eastAsia="en-US"/>
                    </w:rPr>
                  </w:pPr>
                  <w:r w:rsidRPr="009B1CF2">
                    <w:rPr>
                      <w:rFonts w:eastAsia="Calibri"/>
                      <w:noProof/>
                      <w:sz w:val="22"/>
                      <w:szCs w:val="22"/>
                      <w:lang w:eastAsia="es-MX"/>
                    </w:rPr>
                    <w:drawing>
                      <wp:inline distT="0" distB="0" distL="0" distR="0" wp14:anchorId="79F0CACA" wp14:editId="25A09561">
                        <wp:extent cx="3164027" cy="4320000"/>
                        <wp:effectExtent l="0" t="0" r="0" b="4445"/>
                        <wp:docPr id="1829" name="Imagen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64027" cy="4320000"/>
                                </a:xfrm>
                                <a:prstGeom prst="rect">
                                  <a:avLst/>
                                </a:prstGeom>
                                <a:noFill/>
                                <a:ln>
                                  <a:noFill/>
                                </a:ln>
                              </pic:spPr>
                            </pic:pic>
                          </a:graphicData>
                        </a:graphic>
                      </wp:inline>
                    </w:drawing>
                  </w:r>
                </w:p>
                <w:p w14:paraId="28A0E0B3" w14:textId="77777777" w:rsidR="009B1CF2" w:rsidRPr="009B1CF2" w:rsidRDefault="009B1CF2" w:rsidP="009B1CF2">
                  <w:pPr>
                    <w:jc w:val="center"/>
                    <w:rPr>
                      <w:rFonts w:eastAsia="Calibri"/>
                      <w:sz w:val="22"/>
                      <w:szCs w:val="22"/>
                      <w:lang w:eastAsia="en-US"/>
                    </w:rPr>
                  </w:pPr>
                </w:p>
              </w:tc>
            </w:tr>
            <w:tr w:rsidR="006111C3" w:rsidRPr="009B1CF2" w14:paraId="2B3AE087" w14:textId="77777777" w:rsidTr="008B3DA6">
              <w:trPr>
                <w:jc w:val="center"/>
              </w:trPr>
              <w:tc>
                <w:tcPr>
                  <w:tcW w:w="6291" w:type="dxa"/>
                </w:tcPr>
                <w:p w14:paraId="0CC46BBF" w14:textId="77777777" w:rsidR="006111C3" w:rsidRDefault="006111C3" w:rsidP="009B1CF2">
                  <w:pPr>
                    <w:jc w:val="center"/>
                    <w:rPr>
                      <w:rFonts w:eastAsia="Calibri"/>
                      <w:noProof/>
                      <w:sz w:val="22"/>
                      <w:szCs w:val="22"/>
                      <w:lang w:eastAsia="es-MX"/>
                    </w:rPr>
                  </w:pPr>
                </w:p>
                <w:p w14:paraId="6666238D" w14:textId="77777777" w:rsidR="006111C3" w:rsidRDefault="006111C3" w:rsidP="009B1CF2">
                  <w:pPr>
                    <w:jc w:val="center"/>
                    <w:rPr>
                      <w:rFonts w:eastAsia="Calibri"/>
                      <w:noProof/>
                      <w:sz w:val="22"/>
                      <w:szCs w:val="22"/>
                      <w:lang w:eastAsia="es-MX"/>
                    </w:rPr>
                  </w:pPr>
                </w:p>
                <w:p w14:paraId="776EB5A8" w14:textId="77777777" w:rsidR="006111C3" w:rsidRDefault="006111C3" w:rsidP="009B1CF2">
                  <w:pPr>
                    <w:jc w:val="center"/>
                    <w:rPr>
                      <w:rFonts w:eastAsia="Calibri"/>
                      <w:noProof/>
                      <w:sz w:val="22"/>
                      <w:szCs w:val="22"/>
                      <w:lang w:eastAsia="es-MX"/>
                    </w:rPr>
                  </w:pPr>
                </w:p>
                <w:p w14:paraId="6D3BDB46" w14:textId="77777777" w:rsidR="006111C3" w:rsidRDefault="006111C3" w:rsidP="009B1CF2">
                  <w:pPr>
                    <w:jc w:val="center"/>
                    <w:rPr>
                      <w:rFonts w:eastAsia="Calibri"/>
                      <w:noProof/>
                      <w:sz w:val="22"/>
                      <w:szCs w:val="22"/>
                      <w:lang w:eastAsia="es-MX"/>
                    </w:rPr>
                  </w:pPr>
                </w:p>
                <w:p w14:paraId="2C580657" w14:textId="77777777" w:rsidR="006111C3" w:rsidRDefault="006111C3" w:rsidP="009B1CF2">
                  <w:pPr>
                    <w:jc w:val="center"/>
                    <w:rPr>
                      <w:rFonts w:eastAsia="Calibri"/>
                      <w:noProof/>
                      <w:sz w:val="22"/>
                      <w:szCs w:val="22"/>
                      <w:lang w:eastAsia="es-MX"/>
                    </w:rPr>
                  </w:pPr>
                </w:p>
                <w:p w14:paraId="47F7FF76" w14:textId="77777777" w:rsidR="006111C3" w:rsidRDefault="006111C3" w:rsidP="009B1CF2">
                  <w:pPr>
                    <w:jc w:val="center"/>
                    <w:rPr>
                      <w:rFonts w:eastAsia="Calibri"/>
                      <w:noProof/>
                      <w:sz w:val="22"/>
                      <w:szCs w:val="22"/>
                      <w:lang w:eastAsia="es-MX"/>
                    </w:rPr>
                  </w:pPr>
                </w:p>
                <w:p w14:paraId="10103321" w14:textId="77777777" w:rsidR="006111C3" w:rsidRDefault="006111C3" w:rsidP="009B1CF2">
                  <w:pPr>
                    <w:jc w:val="center"/>
                    <w:rPr>
                      <w:rFonts w:eastAsia="Calibri"/>
                      <w:noProof/>
                      <w:sz w:val="22"/>
                      <w:szCs w:val="22"/>
                      <w:lang w:eastAsia="es-MX"/>
                    </w:rPr>
                  </w:pPr>
                </w:p>
                <w:p w14:paraId="5886239F" w14:textId="77777777" w:rsidR="006111C3" w:rsidRDefault="006111C3" w:rsidP="009B1CF2">
                  <w:pPr>
                    <w:jc w:val="center"/>
                    <w:rPr>
                      <w:rFonts w:eastAsia="Calibri"/>
                      <w:noProof/>
                      <w:sz w:val="22"/>
                      <w:szCs w:val="22"/>
                      <w:lang w:eastAsia="es-MX"/>
                    </w:rPr>
                  </w:pPr>
                </w:p>
                <w:p w14:paraId="2D11722A" w14:textId="77777777" w:rsidR="006111C3" w:rsidRDefault="006111C3" w:rsidP="009B1CF2">
                  <w:pPr>
                    <w:jc w:val="center"/>
                    <w:rPr>
                      <w:rFonts w:eastAsia="Calibri"/>
                      <w:noProof/>
                      <w:sz w:val="22"/>
                      <w:szCs w:val="22"/>
                      <w:lang w:eastAsia="es-MX"/>
                    </w:rPr>
                  </w:pPr>
                </w:p>
                <w:p w14:paraId="11558236" w14:textId="77777777" w:rsidR="006111C3" w:rsidRDefault="006111C3" w:rsidP="009B1CF2">
                  <w:pPr>
                    <w:jc w:val="center"/>
                    <w:rPr>
                      <w:rFonts w:eastAsia="Calibri"/>
                      <w:noProof/>
                      <w:sz w:val="22"/>
                      <w:szCs w:val="22"/>
                      <w:lang w:eastAsia="es-MX"/>
                    </w:rPr>
                  </w:pPr>
                </w:p>
                <w:p w14:paraId="18711A00" w14:textId="77777777" w:rsidR="006111C3" w:rsidRDefault="006111C3" w:rsidP="009B1CF2">
                  <w:pPr>
                    <w:jc w:val="center"/>
                    <w:rPr>
                      <w:rFonts w:eastAsia="Calibri"/>
                      <w:noProof/>
                      <w:sz w:val="22"/>
                      <w:szCs w:val="22"/>
                      <w:lang w:eastAsia="es-MX"/>
                    </w:rPr>
                  </w:pPr>
                </w:p>
                <w:p w14:paraId="45FF374F" w14:textId="77777777" w:rsidR="006111C3" w:rsidRDefault="006111C3" w:rsidP="009B1CF2">
                  <w:pPr>
                    <w:jc w:val="center"/>
                    <w:rPr>
                      <w:rFonts w:eastAsia="Calibri"/>
                      <w:noProof/>
                      <w:sz w:val="22"/>
                      <w:szCs w:val="22"/>
                      <w:lang w:eastAsia="es-MX"/>
                    </w:rPr>
                  </w:pPr>
                </w:p>
                <w:p w14:paraId="6AF9AC36" w14:textId="77777777" w:rsidR="006111C3" w:rsidRDefault="006111C3" w:rsidP="009B1CF2">
                  <w:pPr>
                    <w:jc w:val="center"/>
                    <w:rPr>
                      <w:rFonts w:eastAsia="Calibri"/>
                      <w:noProof/>
                      <w:sz w:val="22"/>
                      <w:szCs w:val="22"/>
                      <w:lang w:eastAsia="es-MX"/>
                    </w:rPr>
                  </w:pPr>
                </w:p>
                <w:p w14:paraId="07507DA5" w14:textId="77777777" w:rsidR="006111C3" w:rsidRDefault="006111C3" w:rsidP="009B1CF2">
                  <w:pPr>
                    <w:jc w:val="center"/>
                    <w:rPr>
                      <w:rFonts w:eastAsia="Calibri"/>
                      <w:noProof/>
                      <w:sz w:val="22"/>
                      <w:szCs w:val="22"/>
                      <w:lang w:eastAsia="es-MX"/>
                    </w:rPr>
                  </w:pPr>
                </w:p>
                <w:p w14:paraId="35F0D751" w14:textId="77777777" w:rsidR="006111C3" w:rsidRDefault="006111C3" w:rsidP="009B1CF2">
                  <w:pPr>
                    <w:jc w:val="center"/>
                    <w:rPr>
                      <w:rFonts w:eastAsia="Calibri"/>
                      <w:noProof/>
                      <w:sz w:val="22"/>
                      <w:szCs w:val="22"/>
                      <w:lang w:eastAsia="es-MX"/>
                    </w:rPr>
                  </w:pPr>
                </w:p>
                <w:p w14:paraId="738116FD" w14:textId="77777777" w:rsidR="006111C3" w:rsidRDefault="006111C3" w:rsidP="009B1CF2">
                  <w:pPr>
                    <w:jc w:val="center"/>
                    <w:rPr>
                      <w:rFonts w:eastAsia="Calibri"/>
                      <w:noProof/>
                      <w:sz w:val="22"/>
                      <w:szCs w:val="22"/>
                      <w:lang w:eastAsia="es-MX"/>
                    </w:rPr>
                  </w:pPr>
                </w:p>
                <w:p w14:paraId="3A5BDC93" w14:textId="77777777" w:rsidR="006111C3" w:rsidRDefault="006111C3" w:rsidP="009B1CF2">
                  <w:pPr>
                    <w:jc w:val="center"/>
                    <w:rPr>
                      <w:rFonts w:eastAsia="Calibri"/>
                      <w:noProof/>
                      <w:sz w:val="22"/>
                      <w:szCs w:val="22"/>
                      <w:lang w:eastAsia="es-MX"/>
                    </w:rPr>
                  </w:pPr>
                </w:p>
                <w:p w14:paraId="7129C632" w14:textId="77777777" w:rsidR="006111C3" w:rsidRDefault="006111C3" w:rsidP="009B1CF2">
                  <w:pPr>
                    <w:jc w:val="center"/>
                    <w:rPr>
                      <w:rFonts w:eastAsia="Calibri"/>
                      <w:noProof/>
                      <w:sz w:val="22"/>
                      <w:szCs w:val="22"/>
                      <w:lang w:eastAsia="es-MX"/>
                    </w:rPr>
                  </w:pPr>
                </w:p>
                <w:p w14:paraId="6AA5615A" w14:textId="77777777" w:rsidR="006111C3" w:rsidRDefault="006111C3" w:rsidP="009B1CF2">
                  <w:pPr>
                    <w:jc w:val="center"/>
                    <w:rPr>
                      <w:rFonts w:eastAsia="Calibri"/>
                      <w:noProof/>
                      <w:sz w:val="22"/>
                      <w:szCs w:val="22"/>
                      <w:lang w:eastAsia="es-MX"/>
                    </w:rPr>
                  </w:pPr>
                </w:p>
                <w:p w14:paraId="659496D4" w14:textId="77777777" w:rsidR="006111C3" w:rsidRDefault="006111C3" w:rsidP="009B1CF2">
                  <w:pPr>
                    <w:jc w:val="center"/>
                    <w:rPr>
                      <w:rFonts w:eastAsia="Calibri"/>
                      <w:noProof/>
                      <w:sz w:val="22"/>
                      <w:szCs w:val="22"/>
                      <w:lang w:eastAsia="es-MX"/>
                    </w:rPr>
                  </w:pPr>
                </w:p>
                <w:p w14:paraId="5F611A4D" w14:textId="77777777" w:rsidR="006111C3" w:rsidRPr="009B1CF2" w:rsidRDefault="006111C3" w:rsidP="009B1CF2">
                  <w:pPr>
                    <w:jc w:val="center"/>
                    <w:rPr>
                      <w:rFonts w:eastAsia="Calibri"/>
                      <w:noProof/>
                      <w:sz w:val="22"/>
                      <w:szCs w:val="22"/>
                      <w:lang w:eastAsia="es-MX"/>
                    </w:rPr>
                  </w:pPr>
                </w:p>
              </w:tc>
            </w:tr>
            <w:tr w:rsidR="009B1CF2" w:rsidRPr="009B1CF2" w14:paraId="0E1DDEB4" w14:textId="77777777" w:rsidTr="008B3DA6">
              <w:trPr>
                <w:jc w:val="center"/>
              </w:trPr>
              <w:tc>
                <w:tcPr>
                  <w:tcW w:w="6291" w:type="dxa"/>
                </w:tcPr>
                <w:p w14:paraId="24C7553E" w14:textId="77777777" w:rsidR="009B1CF2" w:rsidRPr="009B1CF2" w:rsidRDefault="009B1CF2" w:rsidP="009B1CF2">
                  <w:pPr>
                    <w:jc w:val="center"/>
                    <w:rPr>
                      <w:rFonts w:eastAsia="Calibri"/>
                      <w:sz w:val="22"/>
                      <w:szCs w:val="22"/>
                      <w:lang w:eastAsia="en-US"/>
                    </w:rPr>
                  </w:pPr>
                  <w:r w:rsidRPr="009B1CF2">
                    <w:rPr>
                      <w:rFonts w:ascii="Calibri" w:eastAsia="Calibri" w:hAnsi="Calibri"/>
                      <w:noProof/>
                      <w:sz w:val="22"/>
                      <w:szCs w:val="22"/>
                      <w:lang w:eastAsia="es-MX"/>
                    </w:rPr>
                    <w:lastRenderedPageBreak/>
                    <w:drawing>
                      <wp:inline distT="0" distB="0" distL="0" distR="0" wp14:anchorId="1C8F7698" wp14:editId="46C55C37">
                        <wp:extent cx="2961637" cy="3564000"/>
                        <wp:effectExtent l="0" t="0" r="0" b="0"/>
                        <wp:docPr id="1830" name="Imagen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61637" cy="3564000"/>
                                </a:xfrm>
                                <a:prstGeom prst="rect">
                                  <a:avLst/>
                                </a:prstGeom>
                              </pic:spPr>
                            </pic:pic>
                          </a:graphicData>
                        </a:graphic>
                      </wp:inline>
                    </w:drawing>
                  </w:r>
                </w:p>
              </w:tc>
            </w:tr>
            <w:tr w:rsidR="009B1CF2" w:rsidRPr="009B1CF2" w14:paraId="70ED0038" w14:textId="77777777" w:rsidTr="008B3DA6">
              <w:trPr>
                <w:jc w:val="center"/>
              </w:trPr>
              <w:tc>
                <w:tcPr>
                  <w:tcW w:w="6291" w:type="dxa"/>
                </w:tcPr>
                <w:p w14:paraId="2AF55531" w14:textId="77777777" w:rsidR="009B1CF2" w:rsidRPr="009B1CF2" w:rsidRDefault="009B1CF2" w:rsidP="009B1CF2">
                  <w:pPr>
                    <w:ind w:left="510" w:hanging="510"/>
                    <w:jc w:val="both"/>
                    <w:rPr>
                      <w:rFonts w:eastAsia="Calibri"/>
                      <w:sz w:val="20"/>
                      <w:szCs w:val="20"/>
                      <w:lang w:eastAsia="en-US"/>
                    </w:rPr>
                  </w:pPr>
                  <w:r w:rsidRPr="009B1CF2">
                    <w:rPr>
                      <w:rFonts w:eastAsia="Calibri"/>
                      <w:sz w:val="20"/>
                      <w:szCs w:val="20"/>
                      <w:lang w:eastAsia="en-US"/>
                    </w:rPr>
                    <w:t>* Estados Unidos de Norteamérica.</w:t>
                  </w:r>
                </w:p>
                <w:p w14:paraId="20D1FC50" w14:textId="77777777" w:rsidR="009B1CF2" w:rsidRPr="009B1CF2" w:rsidRDefault="009B1CF2" w:rsidP="009B1CF2">
                  <w:pPr>
                    <w:ind w:left="510" w:hanging="510"/>
                    <w:jc w:val="both"/>
                    <w:rPr>
                      <w:rFonts w:eastAsia="Calibri"/>
                      <w:sz w:val="20"/>
                      <w:szCs w:val="20"/>
                      <w:lang w:eastAsia="en-US"/>
                    </w:rPr>
                  </w:pPr>
                  <w:r w:rsidRPr="009B1CF2">
                    <w:rPr>
                      <w:rFonts w:eastAsia="Calibri"/>
                      <w:sz w:val="20"/>
                      <w:szCs w:val="20"/>
                      <w:lang w:eastAsia="en-US"/>
                    </w:rPr>
                    <w:t>Nota: Las líneas sólidas denotan la respuesta del comercio internacional en el caso de base; las líneas puntuadas denotan una respuesta paulatina del comercio internacional. IPC = índice de precios al consumidor.</w:t>
                  </w:r>
                </w:p>
                <w:p w14:paraId="32C955CA" w14:textId="77777777" w:rsidR="009B1CF2" w:rsidRPr="009B1CF2" w:rsidRDefault="009B1CF2" w:rsidP="009B1CF2">
                  <w:pPr>
                    <w:ind w:left="907" w:hanging="907"/>
                    <w:jc w:val="both"/>
                    <w:rPr>
                      <w:rFonts w:eastAsia="Calibri"/>
                      <w:sz w:val="20"/>
                      <w:szCs w:val="20"/>
                      <w:lang w:eastAsia="en-US"/>
                    </w:rPr>
                  </w:pPr>
                  <w:r w:rsidRPr="009B1CF2">
                    <w:rPr>
                      <w:rFonts w:eastAsia="Calibri"/>
                      <w:sz w:val="20"/>
                      <w:szCs w:val="20"/>
                      <w:lang w:eastAsia="en-US"/>
                    </w:rPr>
                    <w:t>FUENTE</w:t>
                  </w:r>
                  <w:r w:rsidRPr="009B1CF2">
                    <w:rPr>
                      <w:rFonts w:eastAsia="Calibri"/>
                      <w:i/>
                      <w:sz w:val="20"/>
                      <w:szCs w:val="20"/>
                      <w:lang w:eastAsia="en-US"/>
                    </w:rPr>
                    <w:t xml:space="preserve">: </w:t>
                  </w:r>
                  <w:r w:rsidRPr="009B1CF2">
                    <w:rPr>
                      <w:rFonts w:eastAsia="Calibri"/>
                      <w:sz w:val="20"/>
                      <w:szCs w:val="20"/>
                      <w:lang w:eastAsia="en-US"/>
                    </w:rPr>
                    <w:t>FMI, simulaciones del modelo G-20.</w:t>
                  </w:r>
                </w:p>
              </w:tc>
            </w:tr>
          </w:tbl>
          <w:p w14:paraId="409ACEC7" w14:textId="77777777" w:rsidR="009B1CF2" w:rsidRPr="009B1CF2" w:rsidRDefault="009B1CF2" w:rsidP="009B1CF2">
            <w:pPr>
              <w:spacing w:after="360" w:line="360" w:lineRule="auto"/>
              <w:jc w:val="both"/>
              <w:rPr>
                <w:rFonts w:eastAsia="Calibri"/>
                <w:sz w:val="26"/>
                <w:szCs w:val="26"/>
                <w:lang w:eastAsia="en-US"/>
              </w:rPr>
            </w:pPr>
          </w:p>
        </w:tc>
      </w:tr>
    </w:tbl>
    <w:p w14:paraId="05154005" w14:textId="77777777" w:rsidR="009B1CF2" w:rsidRPr="009B1CF2" w:rsidRDefault="009B1CF2" w:rsidP="009B1CF2">
      <w:pPr>
        <w:spacing w:after="360" w:line="360" w:lineRule="auto"/>
        <w:ind w:right="-159"/>
        <w:jc w:val="both"/>
        <w:rPr>
          <w:rFonts w:eastAsia="Calibri"/>
          <w:sz w:val="26"/>
          <w:szCs w:val="26"/>
          <w:lang w:eastAsia="en-US"/>
        </w:rPr>
      </w:pPr>
    </w:p>
    <w:p w14:paraId="1B45A62F" w14:textId="77777777" w:rsidR="009B1CF2" w:rsidRPr="009B1CF2" w:rsidRDefault="009B1CF2" w:rsidP="009B1CF2">
      <w:pPr>
        <w:spacing w:after="360"/>
        <w:ind w:right="-159"/>
        <w:jc w:val="both"/>
        <w:rPr>
          <w:rFonts w:eastAsia="Calibri"/>
          <w:b/>
          <w:sz w:val="26"/>
          <w:szCs w:val="26"/>
          <w:lang w:eastAsia="en-US"/>
        </w:rPr>
      </w:pPr>
      <w:r w:rsidRPr="009B1CF2">
        <w:rPr>
          <w:rFonts w:eastAsia="Calibri"/>
          <w:b/>
          <w:sz w:val="26"/>
          <w:szCs w:val="26"/>
          <w:lang w:eastAsia="en-US"/>
        </w:rPr>
        <w:t xml:space="preserve">Tasas de interés a largo plazo más bajas, condiciones financieras más acomodaticias </w:t>
      </w:r>
    </w:p>
    <w:p w14:paraId="5A050C8C"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rendimientos de los bonos públicos a largo plazo han seguido bajando en las grandes economías avanzadas (gráfica </w:t>
      </w:r>
      <w:r w:rsidRPr="009B1CF2">
        <w:rPr>
          <w:rFonts w:eastAsia="Calibri"/>
          <w:i/>
          <w:sz w:val="26"/>
          <w:szCs w:val="26"/>
          <w:lang w:eastAsia="en-US"/>
        </w:rPr>
        <w:t>Condiciones de los mercados financieros de las economías avanzadas</w:t>
      </w:r>
      <w:r w:rsidRPr="009B1CF2">
        <w:rPr>
          <w:rFonts w:eastAsia="Calibri"/>
          <w:sz w:val="26"/>
          <w:szCs w:val="26"/>
          <w:lang w:eastAsia="en-US"/>
        </w:rPr>
        <w:t xml:space="preserve">). Este retroceso refleja en parte las menores expectativas inflacionarias, que son consecuencia de la continua debilidad de los datos de inflación, el marcado descenso de los precios del petróleo y —en la zona del euro y especialmente en Japón— la debilidad de la demanda interna. Pero la disminución de las tasas de interés nominales a largo plazo parece reflejar más que nada una reducción de las tasas de interés reales, incluidas la compresión de las primas por plazo y las reducciones de la tasa neutral prevista a corto plazo (véase la edición de abril de 2015 del informe </w:t>
      </w:r>
      <w:r w:rsidRPr="009B1CF2">
        <w:rPr>
          <w:rFonts w:eastAsia="Calibri"/>
          <w:sz w:val="26"/>
          <w:szCs w:val="26"/>
          <w:lang w:eastAsia="en-US"/>
        </w:rPr>
        <w:lastRenderedPageBreak/>
        <w:t xml:space="preserve">GFSR). La orientación sumamente acomodaticia de las condiciones monetarias claramente ha incidido en la reducción de las primas por plazo; en octubre de 2014, el Banco de Japón amplió el marco de expansión monetaria cuantitativa y cualitativa, y en enero de este año el BCE anunció un programa de compras de activos más amplio de lo esperado, que incluye bonos públicos. Por otro lado, aunque en Estados Unidos de Norteamérica la Reserva Federal puso fin a su programa de compras de activos a fines de 2014 y la recuperación económica del país ha sido más fuerte de lo previsto, la intensificación de la demanda de activos estadounidenses, reflejada en la fuerte apreciación del dólar y en la moderada presión inflacionaria, ha ejercido una presión a la baja sobre los rendimientos a largo plazo de los títulos del Tesoro (el rendimiento de los títulos a 10 años retrocedió 80 puntos básicos entre octubre y enero). </w:t>
      </w:r>
    </w:p>
    <w:p w14:paraId="0EBF4EE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Dados el nivel decreciente de los rendimientos de los bonos y la mejora de las condiciones financieras en las economías avanzadas, las condiciones de la política monetaria también han mejorado en varios mercados emergentes importadores de petróleo, que recortaron las tasas de política monetaria a medida que el abaratamiento del petróleo y la suavización de las presiones de la demanda empujaron a la baja las tasas de inflación (gráfica </w:t>
      </w:r>
      <w:r w:rsidRPr="009B1CF2">
        <w:rPr>
          <w:rFonts w:eastAsia="Calibri"/>
          <w:i/>
          <w:sz w:val="26"/>
          <w:szCs w:val="26"/>
          <w:lang w:eastAsia="en-US"/>
        </w:rPr>
        <w:t>Condiciones de los mercados financieros y flujos de capitales en las economías de mercados emergentes</w:t>
      </w:r>
      <w:r w:rsidRPr="009B1CF2">
        <w:rPr>
          <w:rFonts w:eastAsia="Calibri"/>
          <w:sz w:val="26"/>
          <w:szCs w:val="26"/>
          <w:lang w:eastAsia="en-US"/>
        </w:rPr>
        <w:t xml:space="preserve">). Por el contrario, las tasas de política monetaria han subido con fuerza en Rusia, que siente la presión sobre el rublo, mientras que Brasil también ha adoptado una política monetaria más restrictiva. A nivel más general, los diferenciales de riesgo han aumentado y las monedas se han depreciado en una serie de exportadores de materias primas; a su vez, los diferenciales de riesgo de los bonos de alta rentabilidad y otros productos expuestos a los precios de la energía también se han incrementado. </w:t>
      </w:r>
    </w:p>
    <w:p w14:paraId="5C428094" w14:textId="77777777" w:rsidR="009B1CF2" w:rsidRDefault="009B1CF2" w:rsidP="009B1CF2">
      <w:pPr>
        <w:spacing w:after="360" w:line="360" w:lineRule="auto"/>
        <w:ind w:right="-159"/>
        <w:jc w:val="both"/>
        <w:rPr>
          <w:rFonts w:eastAsia="Calibri"/>
          <w:sz w:val="26"/>
          <w:szCs w:val="26"/>
          <w:lang w:eastAsia="en-US"/>
        </w:rPr>
      </w:pPr>
    </w:p>
    <w:p w14:paraId="09660067" w14:textId="77777777" w:rsidR="0098560F" w:rsidRPr="009B1CF2" w:rsidRDefault="0098560F" w:rsidP="009B1CF2">
      <w:pPr>
        <w:spacing w:after="360" w:line="360" w:lineRule="auto"/>
        <w:ind w:right="-159"/>
        <w:jc w:val="both"/>
        <w:rPr>
          <w:rFonts w:eastAsia="Calibri"/>
          <w:sz w:val="26"/>
          <w:szCs w:val="26"/>
          <w:lang w:eastAsia="en-US"/>
        </w:rPr>
      </w:pPr>
    </w:p>
    <w:p w14:paraId="7E4BA25A" w14:textId="77777777" w:rsidR="009B1CF2" w:rsidRPr="009B1CF2" w:rsidRDefault="009B1CF2" w:rsidP="009B1CF2">
      <w:pPr>
        <w:spacing w:after="160" w:line="259" w:lineRule="auto"/>
        <w:rPr>
          <w:rFonts w:ascii="Calibri" w:eastAsia="Calibri" w:hAnsi="Calibri"/>
          <w:sz w:val="22"/>
          <w:szCs w:val="22"/>
          <w:lang w:eastAsia="en-US"/>
        </w:rPr>
      </w:pPr>
    </w:p>
    <w:tbl>
      <w:tblPr>
        <w:tblStyle w:val="Tablaconcuadrcula4"/>
        <w:tblW w:w="0" w:type="auto"/>
        <w:jc w:val="center"/>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Pr>
      <w:tblGrid>
        <w:gridCol w:w="6486"/>
      </w:tblGrid>
      <w:tr w:rsidR="006111C3" w:rsidRPr="00F24E18" w14:paraId="310498B2" w14:textId="77777777" w:rsidTr="00FC7423">
        <w:trPr>
          <w:jc w:val="center"/>
        </w:trPr>
        <w:tc>
          <w:tcPr>
            <w:tcW w:w="6291" w:type="dxa"/>
          </w:tcPr>
          <w:p w14:paraId="5348D7C9" w14:textId="77777777" w:rsidR="006111C3" w:rsidRPr="00F24E18" w:rsidRDefault="006111C3" w:rsidP="00FC7423">
            <w:pPr>
              <w:jc w:val="center"/>
              <w:rPr>
                <w:rFonts w:ascii="Times New Roman" w:hAnsi="Times New Roman"/>
                <w:b/>
              </w:rPr>
            </w:pPr>
            <w:r w:rsidRPr="00F24E18">
              <w:rPr>
                <w:rFonts w:ascii="Times New Roman" w:hAnsi="Times New Roman"/>
                <w:b/>
              </w:rPr>
              <w:t>CONDICIONES DE LOS MERCADOS FINANCIEROS DE LAS ECONOMÍAS AVANZADAS</w:t>
            </w:r>
          </w:p>
          <w:p w14:paraId="2C8B259E" w14:textId="77777777" w:rsidR="006111C3" w:rsidRPr="00F24E18" w:rsidRDefault="006111C3" w:rsidP="00FC7423">
            <w:pPr>
              <w:jc w:val="center"/>
              <w:rPr>
                <w:rFonts w:ascii="Times New Roman" w:hAnsi="Times New Roman"/>
                <w:b/>
              </w:rPr>
            </w:pPr>
            <w:r w:rsidRPr="00F24E18">
              <w:rPr>
                <w:rFonts w:ascii="Times New Roman" w:hAnsi="Times New Roman"/>
                <w:b/>
              </w:rPr>
              <w:t>-Porcentaje, salvo indicación en contrario-</w:t>
            </w:r>
          </w:p>
          <w:p w14:paraId="712EF1F1" w14:textId="77777777" w:rsidR="006111C3" w:rsidRPr="00F24E18" w:rsidRDefault="006111C3" w:rsidP="00FC7423">
            <w:pPr>
              <w:jc w:val="center"/>
              <w:rPr>
                <w:rFonts w:ascii="Times New Roman" w:hAnsi="Times New Roman"/>
                <w:b/>
              </w:rPr>
            </w:pPr>
            <w:r w:rsidRPr="00F24E18">
              <w:rPr>
                <w:rFonts w:ascii="Times New Roman" w:hAnsi="Times New Roman"/>
                <w:b/>
              </w:rPr>
              <w:t>Los rendimientos de los bonos públicos a largo plazo han disminuido nuevamente en las grandes economías avanzadas, como consecuencia del movimiento a la baja de las expectativas inﬂacionarias, la caída de los precios del petróleo, la debilidad de la demanda interna en algunos casos y el retroceso previsto de las tasas neutrales a corto plazo. Las condiciones monetarias muy acomodaticias también han contribuido a la reducción de las primas por plazo</w:t>
            </w:r>
          </w:p>
        </w:tc>
      </w:tr>
      <w:tr w:rsidR="006111C3" w:rsidRPr="00F24E18" w14:paraId="1F4A2B81" w14:textId="77777777" w:rsidTr="00FC7423">
        <w:trPr>
          <w:jc w:val="center"/>
        </w:trPr>
        <w:tc>
          <w:tcPr>
            <w:tcW w:w="6291" w:type="dxa"/>
          </w:tcPr>
          <w:p w14:paraId="1862BF1B" w14:textId="77777777" w:rsidR="006111C3" w:rsidRPr="00F24E18" w:rsidRDefault="006111C3" w:rsidP="00FC7423">
            <w:pPr>
              <w:jc w:val="center"/>
              <w:rPr>
                <w:rFonts w:ascii="Times New Roman" w:hAnsi="Times New Roman"/>
              </w:rPr>
            </w:pPr>
            <w:r w:rsidRPr="00113BF0">
              <w:rPr>
                <w:noProof/>
                <w:lang w:eastAsia="es-MX"/>
              </w:rPr>
              <w:drawing>
                <wp:inline distT="0" distB="0" distL="0" distR="0" wp14:anchorId="3735B7D5" wp14:editId="22DA3F05">
                  <wp:extent cx="3836670" cy="432498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36670" cy="4324985"/>
                          </a:xfrm>
                          <a:prstGeom prst="rect">
                            <a:avLst/>
                          </a:prstGeom>
                          <a:noFill/>
                          <a:ln>
                            <a:noFill/>
                          </a:ln>
                        </pic:spPr>
                      </pic:pic>
                    </a:graphicData>
                  </a:graphic>
                </wp:inline>
              </w:drawing>
            </w:r>
          </w:p>
        </w:tc>
      </w:tr>
      <w:tr w:rsidR="006111C3" w:rsidRPr="00F24E18" w14:paraId="1FA53DBE" w14:textId="77777777" w:rsidTr="00FC7423">
        <w:trPr>
          <w:jc w:val="center"/>
        </w:trPr>
        <w:tc>
          <w:tcPr>
            <w:tcW w:w="6291" w:type="dxa"/>
          </w:tcPr>
          <w:p w14:paraId="7B73AC48" w14:textId="77777777" w:rsidR="006111C3" w:rsidRPr="00F24E18" w:rsidRDefault="006111C3" w:rsidP="00FC7423">
            <w:pPr>
              <w:jc w:val="center"/>
              <w:rPr>
                <w:rFonts w:ascii="Times New Roman" w:hAnsi="Times New Roman"/>
              </w:rPr>
            </w:pPr>
            <w:r w:rsidRPr="00113BF0">
              <w:rPr>
                <w:noProof/>
                <w:lang w:eastAsia="es-MX"/>
              </w:rPr>
              <w:lastRenderedPageBreak/>
              <w:drawing>
                <wp:inline distT="0" distB="0" distL="0" distR="0" wp14:anchorId="29B07816" wp14:editId="71FBB297">
                  <wp:extent cx="3978910" cy="2224405"/>
                  <wp:effectExtent l="0" t="0" r="254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78910" cy="2224405"/>
                          </a:xfrm>
                          <a:prstGeom prst="rect">
                            <a:avLst/>
                          </a:prstGeom>
                          <a:noFill/>
                          <a:ln>
                            <a:noFill/>
                          </a:ln>
                        </pic:spPr>
                      </pic:pic>
                    </a:graphicData>
                  </a:graphic>
                </wp:inline>
              </w:drawing>
            </w:r>
          </w:p>
        </w:tc>
      </w:tr>
      <w:tr w:rsidR="006111C3" w:rsidRPr="00F24E18" w14:paraId="773B40E6" w14:textId="77777777" w:rsidTr="00FC7423">
        <w:trPr>
          <w:jc w:val="center"/>
        </w:trPr>
        <w:tc>
          <w:tcPr>
            <w:tcW w:w="6291" w:type="dxa"/>
          </w:tcPr>
          <w:p w14:paraId="213E77F8" w14:textId="77777777" w:rsidR="006111C3" w:rsidRPr="00F24E18" w:rsidRDefault="006111C3" w:rsidP="00FC7423">
            <w:pPr>
              <w:ind w:left="510" w:hanging="510"/>
              <w:jc w:val="both"/>
              <w:rPr>
                <w:rFonts w:ascii="Times New Roman" w:hAnsi="Times New Roman"/>
                <w:sz w:val="20"/>
                <w:szCs w:val="20"/>
              </w:rPr>
            </w:pPr>
            <w:r w:rsidRPr="00F24E18">
              <w:rPr>
                <w:rFonts w:ascii="Times New Roman" w:hAnsi="Times New Roman"/>
                <w:sz w:val="20"/>
                <w:szCs w:val="20"/>
              </w:rPr>
              <w:t>* Estados Unidos de Norteamérica.</w:t>
            </w:r>
          </w:p>
          <w:p w14:paraId="748D25AE" w14:textId="77777777" w:rsidR="006111C3" w:rsidRPr="00F24E18" w:rsidRDefault="006111C3" w:rsidP="00FC7423">
            <w:pPr>
              <w:ind w:left="510" w:hanging="510"/>
              <w:jc w:val="both"/>
              <w:rPr>
                <w:rFonts w:ascii="Times New Roman" w:hAnsi="Times New Roman"/>
                <w:sz w:val="20"/>
                <w:szCs w:val="20"/>
              </w:rPr>
            </w:pPr>
            <w:r w:rsidRPr="00F24E18">
              <w:rPr>
                <w:rFonts w:ascii="Times New Roman" w:hAnsi="Times New Roman"/>
                <w:sz w:val="20"/>
                <w:szCs w:val="20"/>
              </w:rPr>
              <w:t xml:space="preserve">Nota: DJ = Dow Jones; BCE= Banco Central Europeo; MSCI = </w:t>
            </w:r>
            <w:r w:rsidRPr="00F24E18">
              <w:rPr>
                <w:rFonts w:ascii="Times New Roman" w:hAnsi="Times New Roman"/>
                <w:i/>
                <w:sz w:val="20"/>
                <w:szCs w:val="20"/>
              </w:rPr>
              <w:t>Morgan Stanley Capital International; S&amp;P= Standard &amp; Poor’s;</w:t>
            </w:r>
            <w:r w:rsidRPr="00F24E18">
              <w:rPr>
                <w:rFonts w:ascii="Times New Roman" w:hAnsi="Times New Roman"/>
                <w:sz w:val="20"/>
                <w:szCs w:val="20"/>
              </w:rPr>
              <w:t xml:space="preserve"> TOPIX= índice de precios de la bolsa de Tokio.</w:t>
            </w:r>
          </w:p>
          <w:p w14:paraId="65EB7414" w14:textId="77777777" w:rsidR="006111C3" w:rsidRPr="00F24E18" w:rsidRDefault="006111C3" w:rsidP="00FC7423">
            <w:pPr>
              <w:ind w:left="227" w:hanging="227"/>
              <w:jc w:val="both"/>
              <w:rPr>
                <w:rFonts w:ascii="Times New Roman" w:hAnsi="Times New Roman"/>
                <w:sz w:val="20"/>
                <w:szCs w:val="20"/>
              </w:rPr>
            </w:pPr>
            <w:r w:rsidRPr="00F24E18">
              <w:rPr>
                <w:rFonts w:ascii="Times New Roman" w:hAnsi="Times New Roman"/>
                <w:sz w:val="20"/>
                <w:szCs w:val="20"/>
                <w:u w:val="single"/>
              </w:rPr>
              <w:t>1</w:t>
            </w:r>
            <w:r w:rsidRPr="00F24E18">
              <w:rPr>
                <w:rFonts w:ascii="Times New Roman" w:hAnsi="Times New Roman"/>
                <w:sz w:val="20"/>
                <w:szCs w:val="20"/>
              </w:rPr>
              <w:t xml:space="preserve">/ Las expectativas se basan en los futuros sobre la tasa de los fondos federales de Estados Unidos de Norteamérica. </w:t>
            </w:r>
          </w:p>
          <w:p w14:paraId="14D10473" w14:textId="77777777" w:rsidR="006111C3" w:rsidRPr="00F24E18" w:rsidRDefault="006111C3" w:rsidP="00FC7423">
            <w:pPr>
              <w:ind w:left="227" w:hanging="227"/>
              <w:jc w:val="both"/>
              <w:rPr>
                <w:rFonts w:ascii="Times New Roman" w:hAnsi="Times New Roman"/>
                <w:sz w:val="20"/>
                <w:szCs w:val="20"/>
              </w:rPr>
            </w:pPr>
            <w:r w:rsidRPr="00F24E18">
              <w:rPr>
                <w:rFonts w:ascii="Times New Roman" w:hAnsi="Times New Roman"/>
                <w:sz w:val="20"/>
                <w:szCs w:val="20"/>
                <w:u w:val="single"/>
              </w:rPr>
              <w:t>2</w:t>
            </w:r>
            <w:r w:rsidRPr="00F24E18">
              <w:rPr>
                <w:rFonts w:ascii="Times New Roman" w:hAnsi="Times New Roman"/>
                <w:sz w:val="20"/>
                <w:szCs w:val="20"/>
              </w:rPr>
              <w:t>/ Las tasas de interés son rendimientos de los bonos públicos a 10 años, salvo indicación en contrario. Los datos abarcan hasta el 20 de marzo de 2015.</w:t>
            </w:r>
          </w:p>
          <w:p w14:paraId="31A479CF" w14:textId="77777777" w:rsidR="006111C3" w:rsidRPr="00F24E18" w:rsidRDefault="006111C3" w:rsidP="00FC7423">
            <w:pPr>
              <w:ind w:left="227" w:hanging="227"/>
              <w:jc w:val="both"/>
              <w:rPr>
                <w:rFonts w:ascii="Times New Roman" w:hAnsi="Times New Roman"/>
                <w:sz w:val="20"/>
                <w:szCs w:val="20"/>
              </w:rPr>
            </w:pPr>
            <w:r w:rsidRPr="00F24E18">
              <w:rPr>
                <w:rFonts w:ascii="Times New Roman" w:hAnsi="Times New Roman"/>
                <w:sz w:val="20"/>
                <w:szCs w:val="20"/>
                <w:u w:val="single"/>
              </w:rPr>
              <w:t>3</w:t>
            </w:r>
            <w:r w:rsidRPr="00F24E18">
              <w:rPr>
                <w:rFonts w:ascii="Times New Roman" w:hAnsi="Times New Roman"/>
                <w:sz w:val="20"/>
                <w:szCs w:val="20"/>
              </w:rPr>
              <w:t>/ Las variaciones se calculan desde comienzos de 2014 hasta comienzos de 2015. Las tasas de interés se miden en función de los rendimientos de los bonos públicos a 10 años. La inﬂación prevista a mediano plazo se mide en función de la tasa Implícita de los swaps de inﬂación quinquenal a cinco años.</w:t>
            </w:r>
          </w:p>
          <w:p w14:paraId="0DE1BF5D" w14:textId="77777777" w:rsidR="006111C3" w:rsidRPr="00F24E18" w:rsidRDefault="006111C3" w:rsidP="00FC7423">
            <w:pPr>
              <w:ind w:left="510" w:hanging="510"/>
              <w:jc w:val="both"/>
              <w:rPr>
                <w:rFonts w:ascii="Times New Roman" w:hAnsi="Times New Roman"/>
                <w:sz w:val="20"/>
                <w:szCs w:val="20"/>
              </w:rPr>
            </w:pPr>
            <w:r w:rsidRPr="00F24E18">
              <w:rPr>
                <w:rFonts w:ascii="Times New Roman" w:hAnsi="Times New Roman"/>
                <w:sz w:val="20"/>
                <w:szCs w:val="20"/>
                <w:u w:val="single"/>
              </w:rPr>
              <w:t>4</w:t>
            </w:r>
            <w:r w:rsidRPr="00F24E18">
              <w:rPr>
                <w:rFonts w:ascii="Times New Roman" w:hAnsi="Times New Roman"/>
                <w:sz w:val="20"/>
                <w:szCs w:val="20"/>
              </w:rPr>
              <w:t>/ Los datos abarcan hasta el 26 de marzo de 2015.</w:t>
            </w:r>
          </w:p>
          <w:p w14:paraId="2876F900" w14:textId="77777777" w:rsidR="006111C3" w:rsidRPr="00F24E18" w:rsidRDefault="006111C3" w:rsidP="00FC7423">
            <w:pPr>
              <w:ind w:left="907" w:hanging="907"/>
              <w:jc w:val="both"/>
              <w:rPr>
                <w:rFonts w:ascii="Times New Roman" w:hAnsi="Times New Roman"/>
                <w:sz w:val="20"/>
                <w:szCs w:val="20"/>
              </w:rPr>
            </w:pPr>
            <w:r w:rsidRPr="00F24E18">
              <w:rPr>
                <w:rFonts w:ascii="Times New Roman" w:hAnsi="Times New Roman"/>
                <w:sz w:val="20"/>
                <w:szCs w:val="20"/>
              </w:rPr>
              <w:t>FUENTE</w:t>
            </w:r>
            <w:r w:rsidRPr="00F24E18">
              <w:rPr>
                <w:rFonts w:ascii="Times New Roman" w:hAnsi="Times New Roman"/>
                <w:i/>
                <w:sz w:val="20"/>
                <w:szCs w:val="20"/>
              </w:rPr>
              <w:t xml:space="preserve">: </w:t>
            </w:r>
            <w:r w:rsidRPr="00F24E18">
              <w:rPr>
                <w:rFonts w:ascii="Times New Roman" w:hAnsi="Times New Roman"/>
                <w:sz w:val="20"/>
                <w:szCs w:val="20"/>
              </w:rPr>
              <w:t xml:space="preserve">Banco de España; </w:t>
            </w:r>
            <w:r w:rsidRPr="00F24E18">
              <w:rPr>
                <w:rFonts w:ascii="Times New Roman" w:hAnsi="Times New Roman"/>
                <w:i/>
                <w:sz w:val="20"/>
                <w:szCs w:val="20"/>
              </w:rPr>
              <w:t>Bloomberg, L.P.; Haver Analytics; Thomson Reuters Datastream,</w:t>
            </w:r>
            <w:r w:rsidRPr="00F24E18">
              <w:rPr>
                <w:rFonts w:ascii="Times New Roman" w:hAnsi="Times New Roman"/>
                <w:sz w:val="20"/>
                <w:szCs w:val="20"/>
              </w:rPr>
              <w:t xml:space="preserve"> y cálculos del personal técnico del FMI.</w:t>
            </w:r>
          </w:p>
        </w:tc>
      </w:tr>
    </w:tbl>
    <w:p w14:paraId="0DEAEA27" w14:textId="77777777" w:rsidR="009B1CF2" w:rsidRPr="009B1CF2" w:rsidRDefault="009B1CF2" w:rsidP="009B1CF2">
      <w:pPr>
        <w:spacing w:after="160" w:line="259" w:lineRule="auto"/>
        <w:rPr>
          <w:rFonts w:ascii="Calibri" w:eastAsia="Calibri" w:hAnsi="Calibri"/>
          <w:sz w:val="22"/>
          <w:szCs w:val="22"/>
          <w:lang w:eastAsia="en-US"/>
        </w:rPr>
      </w:pPr>
    </w:p>
    <w:p w14:paraId="08258508" w14:textId="77777777" w:rsidR="009B1CF2" w:rsidRPr="009B1CF2" w:rsidRDefault="009B1CF2" w:rsidP="009B1CF2">
      <w:pPr>
        <w:spacing w:after="360" w:line="360" w:lineRule="auto"/>
        <w:ind w:right="-159"/>
        <w:jc w:val="center"/>
        <w:rPr>
          <w:rFonts w:eastAsia="Calibri"/>
          <w:sz w:val="26"/>
          <w:szCs w:val="26"/>
          <w:lang w:eastAsia="en-US"/>
        </w:rPr>
      </w:pPr>
    </w:p>
    <w:p w14:paraId="226D337D" w14:textId="77777777" w:rsidR="009B1CF2" w:rsidRPr="009B1CF2" w:rsidRDefault="009B1CF2" w:rsidP="009B1CF2">
      <w:pPr>
        <w:spacing w:after="360" w:line="360" w:lineRule="auto"/>
        <w:ind w:right="-159"/>
        <w:jc w:val="center"/>
        <w:rPr>
          <w:rFonts w:eastAsia="Calibri"/>
          <w:sz w:val="26"/>
          <w:szCs w:val="26"/>
          <w:lang w:eastAsia="en-US"/>
        </w:rPr>
      </w:pPr>
    </w:p>
    <w:p w14:paraId="525D02FF" w14:textId="77777777" w:rsidR="009B1CF2" w:rsidRDefault="009B1CF2" w:rsidP="009B1CF2">
      <w:pPr>
        <w:spacing w:after="360" w:line="360" w:lineRule="auto"/>
        <w:ind w:right="-159"/>
        <w:jc w:val="center"/>
        <w:rPr>
          <w:rFonts w:eastAsia="Calibri"/>
          <w:sz w:val="26"/>
          <w:szCs w:val="26"/>
          <w:lang w:eastAsia="en-US"/>
        </w:rPr>
      </w:pPr>
    </w:p>
    <w:p w14:paraId="5FFF3973" w14:textId="77777777" w:rsidR="006111C3" w:rsidRPr="009B1CF2" w:rsidRDefault="006111C3" w:rsidP="009B1CF2">
      <w:pPr>
        <w:spacing w:after="360" w:line="360" w:lineRule="auto"/>
        <w:ind w:right="-159"/>
        <w:jc w:val="center"/>
        <w:rPr>
          <w:rFonts w:eastAsia="Calibri"/>
          <w:sz w:val="26"/>
          <w:szCs w:val="26"/>
          <w:lang w:eastAsia="en-US"/>
        </w:rPr>
      </w:pPr>
    </w:p>
    <w:p w14:paraId="5548E081" w14:textId="77777777" w:rsidR="009B1CF2" w:rsidRPr="009B1CF2" w:rsidRDefault="009B1CF2" w:rsidP="009B1CF2">
      <w:pPr>
        <w:spacing w:after="360" w:line="360" w:lineRule="auto"/>
        <w:ind w:right="-159"/>
        <w:jc w:val="center"/>
        <w:rPr>
          <w:rFonts w:eastAsia="Calibri"/>
          <w:sz w:val="26"/>
          <w:szCs w:val="26"/>
          <w:lang w:eastAsia="en-US"/>
        </w:rPr>
      </w:pPr>
    </w:p>
    <w:p w14:paraId="67D995F8" w14:textId="77777777" w:rsidR="009B1CF2" w:rsidRPr="009B1CF2" w:rsidRDefault="009B1CF2" w:rsidP="009B1CF2">
      <w:pPr>
        <w:spacing w:after="360" w:line="360" w:lineRule="auto"/>
        <w:ind w:right="-159"/>
        <w:jc w:val="center"/>
        <w:rPr>
          <w:rFonts w:eastAsia="Calibri"/>
          <w:sz w:val="26"/>
          <w:szCs w:val="26"/>
          <w:lang w:eastAsia="en-US"/>
        </w:rPr>
      </w:pPr>
    </w:p>
    <w:p w14:paraId="215B3485" w14:textId="77777777" w:rsidR="009B1CF2" w:rsidRPr="009B1CF2" w:rsidRDefault="009B1CF2" w:rsidP="009B1CF2">
      <w:pPr>
        <w:spacing w:after="160" w:line="259" w:lineRule="auto"/>
        <w:rPr>
          <w:rFonts w:ascii="Calibri" w:eastAsia="Calibri" w:hAnsi="Calibri"/>
          <w:sz w:val="22"/>
          <w:szCs w:val="22"/>
          <w:lang w:eastAsia="en-US"/>
        </w:rPr>
      </w:pPr>
    </w:p>
    <w:tbl>
      <w:tblPr>
        <w:tblW w:w="0" w:type="auto"/>
        <w:jc w:val="center"/>
        <w:tblBorders>
          <w:insideV w:val="single" w:sz="4" w:space="0" w:color="auto"/>
        </w:tblBorders>
        <w:tblLook w:val="04A0" w:firstRow="1" w:lastRow="0" w:firstColumn="1" w:lastColumn="0" w:noHBand="0" w:noVBand="1"/>
      </w:tblPr>
      <w:tblGrid>
        <w:gridCol w:w="6291"/>
      </w:tblGrid>
      <w:tr w:rsidR="00766BD6" w:rsidRPr="00766BD6" w14:paraId="327F3D0E" w14:textId="77777777" w:rsidTr="00FC7423">
        <w:trPr>
          <w:jc w:val="center"/>
        </w:trPr>
        <w:tc>
          <w:tcPr>
            <w:tcW w:w="6291" w:type="dxa"/>
          </w:tcPr>
          <w:p w14:paraId="08D29C5C" w14:textId="77777777" w:rsidR="00766BD6" w:rsidRPr="00766BD6" w:rsidRDefault="00766BD6" w:rsidP="00766BD6">
            <w:pPr>
              <w:jc w:val="center"/>
              <w:rPr>
                <w:rFonts w:eastAsia="Calibri"/>
                <w:b/>
                <w:sz w:val="22"/>
                <w:szCs w:val="22"/>
                <w:lang w:eastAsia="en-US"/>
              </w:rPr>
            </w:pPr>
            <w:r w:rsidRPr="00766BD6">
              <w:rPr>
                <w:rFonts w:eastAsia="Calibri"/>
                <w:b/>
                <w:sz w:val="22"/>
                <w:szCs w:val="22"/>
                <w:lang w:eastAsia="en-US"/>
              </w:rPr>
              <w:lastRenderedPageBreak/>
              <w:t>CONDICIONES DE LOS MERCADOS FINANCIEROS Y FLUJOS DE CAPITALES EN LAS ECONOMÍAS DE MERCADOS EMERGENTES</w:t>
            </w:r>
          </w:p>
          <w:p w14:paraId="12C53497" w14:textId="77777777" w:rsidR="00766BD6" w:rsidRPr="00766BD6" w:rsidRDefault="00766BD6" w:rsidP="00766BD6">
            <w:pPr>
              <w:jc w:val="center"/>
              <w:rPr>
                <w:rFonts w:eastAsia="Calibri"/>
                <w:b/>
                <w:sz w:val="22"/>
                <w:szCs w:val="22"/>
                <w:lang w:eastAsia="en-US"/>
              </w:rPr>
            </w:pPr>
            <w:r w:rsidRPr="00766BD6">
              <w:rPr>
                <w:rFonts w:eastAsia="Calibri"/>
                <w:b/>
                <w:sz w:val="22"/>
                <w:szCs w:val="22"/>
                <w:lang w:eastAsia="en-US"/>
              </w:rPr>
              <w:t>A medida que mejoraron las condiciones ﬁnancieras de las economías avanzadas, lo mismo ocurrió en varios mercados emergentes importadores de petróleo, que recortaron las tasas de política monetaria aprovechando la disminución de la inﬂación gracias al abaratamiento del petróleo y la menor presión de la demanda. Brasil y Rusia son las excepciones destacadas, ya que sus tasas de política monetaria han subido. A nivel más general, los diferenciales de riesgo han aumentado y las monedas se han depreciado en una serie de exportadores de materias primas, y los diferenciales de riesgo de los bonos de alta rentabilidad y otros productos expuestos a los precios de la energía también han aumentado</w:t>
            </w:r>
          </w:p>
        </w:tc>
      </w:tr>
      <w:tr w:rsidR="00766BD6" w:rsidRPr="00766BD6" w14:paraId="3C0D97B9" w14:textId="77777777" w:rsidTr="00FC7423">
        <w:trPr>
          <w:jc w:val="center"/>
        </w:trPr>
        <w:tc>
          <w:tcPr>
            <w:tcW w:w="6291" w:type="dxa"/>
          </w:tcPr>
          <w:p w14:paraId="5655FE67" w14:textId="77777777" w:rsidR="00766BD6" w:rsidRPr="00766BD6" w:rsidRDefault="00766BD6" w:rsidP="00766BD6">
            <w:pPr>
              <w:jc w:val="center"/>
              <w:rPr>
                <w:rFonts w:eastAsia="Calibri"/>
                <w:sz w:val="22"/>
                <w:szCs w:val="22"/>
                <w:lang w:eastAsia="en-US"/>
              </w:rPr>
            </w:pPr>
            <w:r w:rsidRPr="00766BD6">
              <w:rPr>
                <w:rFonts w:eastAsia="Calibri"/>
                <w:noProof/>
                <w:sz w:val="22"/>
                <w:szCs w:val="22"/>
                <w:lang w:eastAsia="es-MX"/>
              </w:rPr>
              <w:drawing>
                <wp:inline distT="0" distB="0" distL="0" distR="0" wp14:anchorId="235419CE" wp14:editId="6C6EC056">
                  <wp:extent cx="3608070" cy="4207510"/>
                  <wp:effectExtent l="0" t="0" r="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08070" cy="4207510"/>
                          </a:xfrm>
                          <a:prstGeom prst="rect">
                            <a:avLst/>
                          </a:prstGeom>
                          <a:noFill/>
                          <a:ln>
                            <a:noFill/>
                          </a:ln>
                        </pic:spPr>
                      </pic:pic>
                    </a:graphicData>
                  </a:graphic>
                </wp:inline>
              </w:drawing>
            </w:r>
          </w:p>
        </w:tc>
      </w:tr>
      <w:tr w:rsidR="00766BD6" w:rsidRPr="00766BD6" w14:paraId="58907F57" w14:textId="77777777" w:rsidTr="00FC7423">
        <w:trPr>
          <w:jc w:val="center"/>
        </w:trPr>
        <w:tc>
          <w:tcPr>
            <w:tcW w:w="6291" w:type="dxa"/>
          </w:tcPr>
          <w:p w14:paraId="70827A08" w14:textId="77777777" w:rsidR="00766BD6" w:rsidRPr="00766BD6" w:rsidRDefault="00766BD6" w:rsidP="00766BD6">
            <w:pPr>
              <w:jc w:val="center"/>
              <w:rPr>
                <w:rFonts w:eastAsia="Calibri"/>
                <w:sz w:val="22"/>
                <w:szCs w:val="22"/>
                <w:lang w:eastAsia="en-US"/>
              </w:rPr>
            </w:pPr>
            <w:r w:rsidRPr="00766BD6">
              <w:rPr>
                <w:rFonts w:eastAsia="Calibri"/>
                <w:noProof/>
                <w:sz w:val="22"/>
                <w:szCs w:val="22"/>
                <w:lang w:eastAsia="es-MX"/>
              </w:rPr>
              <w:lastRenderedPageBreak/>
              <w:drawing>
                <wp:inline distT="0" distB="0" distL="0" distR="0" wp14:anchorId="6FD58E89" wp14:editId="6ECA222A">
                  <wp:extent cx="3694430" cy="2168525"/>
                  <wp:effectExtent l="0" t="0" r="1270" b="317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94430" cy="2168525"/>
                          </a:xfrm>
                          <a:prstGeom prst="rect">
                            <a:avLst/>
                          </a:prstGeom>
                          <a:noFill/>
                          <a:ln>
                            <a:noFill/>
                          </a:ln>
                        </pic:spPr>
                      </pic:pic>
                    </a:graphicData>
                  </a:graphic>
                </wp:inline>
              </w:drawing>
            </w:r>
          </w:p>
        </w:tc>
      </w:tr>
      <w:tr w:rsidR="00766BD6" w:rsidRPr="00766BD6" w14:paraId="413181FA" w14:textId="77777777" w:rsidTr="00FC7423">
        <w:trPr>
          <w:jc w:val="center"/>
        </w:trPr>
        <w:tc>
          <w:tcPr>
            <w:tcW w:w="6291" w:type="dxa"/>
          </w:tcPr>
          <w:p w14:paraId="3A71FEF4" w14:textId="77777777" w:rsidR="00766BD6" w:rsidRPr="00766BD6" w:rsidRDefault="00766BD6" w:rsidP="00766BD6">
            <w:pPr>
              <w:ind w:left="510" w:hanging="510"/>
              <w:jc w:val="both"/>
              <w:rPr>
                <w:rFonts w:eastAsia="Calibri"/>
                <w:sz w:val="20"/>
                <w:szCs w:val="20"/>
                <w:lang w:eastAsia="en-US"/>
              </w:rPr>
            </w:pPr>
            <w:r w:rsidRPr="00766BD6">
              <w:rPr>
                <w:rFonts w:eastAsia="Calibri"/>
                <w:sz w:val="20"/>
                <w:szCs w:val="20"/>
                <w:lang w:eastAsia="en-US"/>
              </w:rPr>
              <w:t>* Estados Unidos de Norteamérica.</w:t>
            </w:r>
          </w:p>
          <w:p w14:paraId="424EA205" w14:textId="77777777" w:rsidR="00766BD6" w:rsidRPr="00766BD6" w:rsidRDefault="00766BD6" w:rsidP="00766BD6">
            <w:pPr>
              <w:ind w:left="510" w:hanging="510"/>
              <w:jc w:val="both"/>
              <w:rPr>
                <w:rFonts w:eastAsia="Calibri"/>
                <w:sz w:val="20"/>
                <w:szCs w:val="20"/>
                <w:lang w:eastAsia="en-US"/>
              </w:rPr>
            </w:pPr>
            <w:r w:rsidRPr="00766BD6">
              <w:rPr>
                <w:rFonts w:eastAsia="Calibri"/>
                <w:sz w:val="20"/>
                <w:szCs w:val="20"/>
                <w:lang w:eastAsia="en-US"/>
              </w:rPr>
              <w:t>Nota: Las economías emergentes de Asia excluido China abarcan Filipinas, India, Indonesia, Malasia y Tailandia; las economías emergentes de Europa incluyen Polonia, Rumania (solo entradas de capitales), Rusia y Turquía; América Latina abarca Brasil, Chile, Colombia, México y Perú. BCE = Banco Central Europeo; EMBI = Índice de Bonos de Mercados Emergentes de J.P. Morgan; LTRO = operaciones de reﬁnanciación a más largo plazo; EM-VXY= Índice de Volatilidad de Mercados Emergentes de J.P. Morgan.</w:t>
            </w:r>
          </w:p>
          <w:p w14:paraId="5DAA6950" w14:textId="77777777" w:rsidR="00766BD6" w:rsidRPr="00766BD6" w:rsidRDefault="00766BD6" w:rsidP="00766BD6">
            <w:pPr>
              <w:ind w:left="227" w:hanging="227"/>
              <w:jc w:val="both"/>
              <w:rPr>
                <w:rFonts w:eastAsia="Calibri"/>
                <w:sz w:val="20"/>
                <w:szCs w:val="20"/>
                <w:lang w:eastAsia="en-US"/>
              </w:rPr>
            </w:pPr>
            <w:r w:rsidRPr="00766BD6">
              <w:rPr>
                <w:rFonts w:eastAsia="Calibri"/>
                <w:sz w:val="20"/>
                <w:szCs w:val="20"/>
                <w:u w:val="single"/>
                <w:lang w:eastAsia="en-US"/>
              </w:rPr>
              <w:t>1</w:t>
            </w:r>
            <w:r w:rsidRPr="00766BD6">
              <w:rPr>
                <w:rFonts w:eastAsia="Calibri"/>
                <w:sz w:val="20"/>
                <w:szCs w:val="20"/>
                <w:lang w:eastAsia="en-US"/>
              </w:rPr>
              <w:t>/ Los datos abarcan hasta el 18 de marzo de 2015.</w:t>
            </w:r>
          </w:p>
          <w:p w14:paraId="6D97178C" w14:textId="77777777" w:rsidR="00766BD6" w:rsidRPr="00766BD6" w:rsidRDefault="00766BD6" w:rsidP="00766BD6">
            <w:pPr>
              <w:ind w:left="227" w:hanging="227"/>
              <w:jc w:val="both"/>
              <w:rPr>
                <w:rFonts w:eastAsia="Calibri"/>
                <w:sz w:val="20"/>
                <w:szCs w:val="20"/>
                <w:lang w:eastAsia="en-US"/>
              </w:rPr>
            </w:pPr>
            <w:r w:rsidRPr="00766BD6">
              <w:rPr>
                <w:rFonts w:eastAsia="Calibri"/>
                <w:sz w:val="20"/>
                <w:szCs w:val="20"/>
                <w:u w:val="single"/>
                <w:lang w:eastAsia="en-US"/>
              </w:rPr>
              <w:t>2</w:t>
            </w:r>
            <w:r w:rsidRPr="00766BD6">
              <w:rPr>
                <w:rFonts w:eastAsia="Calibri"/>
                <w:sz w:val="20"/>
                <w:szCs w:val="20"/>
                <w:lang w:eastAsia="en-US"/>
              </w:rPr>
              <w:t>/ Los datos abarcan hasta el 20 de marzo de 2015.</w:t>
            </w:r>
          </w:p>
          <w:p w14:paraId="586F4EDE" w14:textId="77777777" w:rsidR="00766BD6" w:rsidRPr="00766BD6" w:rsidRDefault="00766BD6" w:rsidP="00766BD6">
            <w:pPr>
              <w:ind w:left="964" w:hanging="964"/>
              <w:jc w:val="both"/>
              <w:rPr>
                <w:rFonts w:eastAsia="Calibri"/>
                <w:sz w:val="20"/>
                <w:szCs w:val="20"/>
                <w:lang w:eastAsia="en-US"/>
              </w:rPr>
            </w:pPr>
            <w:r w:rsidRPr="00766BD6">
              <w:rPr>
                <w:rFonts w:eastAsia="Calibri"/>
                <w:sz w:val="20"/>
                <w:szCs w:val="20"/>
                <w:lang w:eastAsia="en-US"/>
              </w:rPr>
              <w:t>FUENTE</w:t>
            </w:r>
            <w:r w:rsidRPr="00766BD6">
              <w:rPr>
                <w:rFonts w:eastAsia="Calibri"/>
                <w:i/>
                <w:sz w:val="20"/>
                <w:szCs w:val="20"/>
                <w:lang w:eastAsia="en-US"/>
              </w:rPr>
              <w:t>: Bloomberg, L.P.; EPFR Global; Haver Analytics; FMI, International Financial Statistics</w:t>
            </w:r>
            <w:r w:rsidRPr="00766BD6">
              <w:rPr>
                <w:rFonts w:eastAsia="Calibri"/>
                <w:sz w:val="20"/>
                <w:szCs w:val="20"/>
                <w:lang w:eastAsia="en-US"/>
              </w:rPr>
              <w:t>, y cálculos del personal técnico del FMI.</w:t>
            </w:r>
          </w:p>
        </w:tc>
      </w:tr>
    </w:tbl>
    <w:p w14:paraId="77EF42F3" w14:textId="77777777" w:rsidR="009B1CF2" w:rsidRPr="009B1CF2" w:rsidRDefault="009B1CF2" w:rsidP="009B1CF2">
      <w:pPr>
        <w:spacing w:after="360" w:line="360" w:lineRule="auto"/>
        <w:ind w:right="-159"/>
        <w:jc w:val="center"/>
        <w:rPr>
          <w:rFonts w:eastAsia="Calibri"/>
          <w:sz w:val="26"/>
          <w:szCs w:val="26"/>
          <w:lang w:eastAsia="en-US"/>
        </w:rPr>
      </w:pPr>
    </w:p>
    <w:p w14:paraId="30E86A0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Globalmente, la disminución de las tasas de interés a largo plazo, la distensión de las condiciones de política monetaria y la compresión de los diferenciales de las economías avanzadas están propiciando la recuperación económica y tienen un impacto favorable en la dinámica de la deuda. Pero a su vez suscitan inquietudes, como se explica en la sección “Riesgos”. Las bajas expectativas inflacionarias, sobre todo en la zona del euro y Japón, ponen de relieve el riesgo de que se desanclen. Las inquietudes en torno a la estabilidad financiera asociadas a un período dilatado de bajas tasas de interés continúan en primer plano, sobre todo en las economías avanzadas con poca capacidad ociosa. En este sentido, las compañías de seguros y los fondos de pensiones enfrentan retos difíciles. Y la compresión de las primas por plazo encierra el riesgo de un fuerte aumento de las tasas a largo plazo, con significativos efectos de contagio a los mercados emergentes. </w:t>
      </w:r>
    </w:p>
    <w:p w14:paraId="5F384ADC"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lastRenderedPageBreak/>
        <w:t xml:space="preserve">El pronóstico </w:t>
      </w:r>
    </w:p>
    <w:p w14:paraId="0D9CBC3B"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Supuestos sobre las políticas </w:t>
      </w:r>
    </w:p>
    <w:p w14:paraId="50EDE2E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Según las previsiones, la consolidación fiscal se moderará en las economías avanzadas a lo largo del horizonte que abarcan (gráfica </w:t>
      </w:r>
      <w:r w:rsidRPr="009B1CF2">
        <w:rPr>
          <w:rFonts w:eastAsia="Calibri"/>
          <w:i/>
          <w:sz w:val="26"/>
          <w:szCs w:val="26"/>
          <w:lang w:eastAsia="en-US"/>
        </w:rPr>
        <w:t>Políticas Fiscales</w:t>
      </w:r>
      <w:r w:rsidRPr="009B1CF2">
        <w:rPr>
          <w:rFonts w:eastAsia="Calibri"/>
          <w:sz w:val="26"/>
          <w:szCs w:val="26"/>
          <w:lang w:eastAsia="en-US"/>
        </w:rPr>
        <w:t xml:space="preserve">). En los mercados emergentes, la orientación de la política fiscal se mantendría sin grandes cambios, pero con marcadas diferencias entre países y regiones, tal como lo explica la edición de abril de 2015 del informe Monitor Fiscal. En cuanto a la política monetaria, se prevé que las tasas de política monetaria de Estados Unidos de Norteamérica aumenten a partir del segundo semestre (véase la gráfica </w:t>
      </w:r>
      <w:r w:rsidRPr="009B1CF2">
        <w:rPr>
          <w:rFonts w:eastAsia="Calibri"/>
          <w:i/>
          <w:sz w:val="26"/>
          <w:szCs w:val="26"/>
          <w:lang w:eastAsia="en-US"/>
        </w:rPr>
        <w:t>Economías avanzadas: Condiciones Monetarias</w:t>
      </w:r>
      <w:r w:rsidRPr="009B1CF2">
        <w:rPr>
          <w:rFonts w:eastAsia="Calibri"/>
          <w:sz w:val="26"/>
          <w:szCs w:val="26"/>
          <w:lang w:eastAsia="en-US"/>
        </w:rPr>
        <w:t xml:space="preserve">). La normalización de la política monetaria del Reino Unido no está prevista antes de mediados de 2016. Se prevé que la zona del euro, que inició compras mensuales de bonos públicos el 9 de marzo de 2015, y Japón mantengan la orientación muy acomodaticia de la política. En términos generales, las tasas de política monetaria mantendrían los niveles actuales en una serie de economías de mercados emergentes hasta que comiencen a subir las tasas de Estados Unidos de Norteamérica (gráficas </w:t>
      </w:r>
      <w:r w:rsidRPr="009B1CF2">
        <w:rPr>
          <w:rFonts w:eastAsia="Calibri"/>
          <w:i/>
          <w:sz w:val="26"/>
          <w:szCs w:val="26"/>
          <w:lang w:eastAsia="en-US"/>
        </w:rPr>
        <w:t>Condiciones de los mercados financieros de las economías avanzadas</w:t>
      </w:r>
      <w:r w:rsidRPr="009B1CF2">
        <w:rPr>
          <w:rFonts w:eastAsia="Calibri"/>
          <w:sz w:val="26"/>
          <w:szCs w:val="26"/>
          <w:lang w:eastAsia="en-US"/>
        </w:rPr>
        <w:t xml:space="preserve"> y </w:t>
      </w:r>
      <w:r w:rsidRPr="009B1CF2">
        <w:rPr>
          <w:rFonts w:eastAsia="Calibri"/>
          <w:i/>
          <w:sz w:val="26"/>
          <w:szCs w:val="26"/>
          <w:lang w:eastAsia="en-US"/>
        </w:rPr>
        <w:t>Políticas Monetarias y crédito en las economías de mercados emergentes</w:t>
      </w:r>
      <w:r w:rsidRPr="009B1CF2">
        <w:rPr>
          <w:rFonts w:eastAsia="Calibri"/>
          <w:sz w:val="26"/>
          <w:szCs w:val="26"/>
          <w:lang w:eastAsia="en-US"/>
        </w:rPr>
        <w:t xml:space="preserve">).  </w:t>
      </w:r>
    </w:p>
    <w:p w14:paraId="512665A0" w14:textId="77777777" w:rsidR="009B1CF2" w:rsidRPr="009B1CF2" w:rsidRDefault="009B1CF2" w:rsidP="009B1CF2">
      <w:pPr>
        <w:spacing w:after="360" w:line="360" w:lineRule="auto"/>
        <w:ind w:right="-159"/>
        <w:jc w:val="both"/>
        <w:rPr>
          <w:rFonts w:eastAsia="Calibri"/>
          <w:sz w:val="26"/>
          <w:szCs w:val="26"/>
          <w:lang w:eastAsia="en-US"/>
        </w:rPr>
      </w:pPr>
    </w:p>
    <w:p w14:paraId="49157D52" w14:textId="77777777" w:rsidR="009B1CF2" w:rsidRPr="009B1CF2" w:rsidRDefault="009B1CF2" w:rsidP="009B1CF2">
      <w:pPr>
        <w:spacing w:after="360" w:line="360" w:lineRule="auto"/>
        <w:ind w:right="-159"/>
        <w:jc w:val="both"/>
        <w:rPr>
          <w:rFonts w:eastAsia="Calibri"/>
          <w:sz w:val="26"/>
          <w:szCs w:val="26"/>
          <w:lang w:eastAsia="en-US"/>
        </w:rPr>
      </w:pPr>
    </w:p>
    <w:p w14:paraId="58759698" w14:textId="77777777" w:rsidR="009B1CF2" w:rsidRPr="009B1CF2" w:rsidRDefault="009B1CF2" w:rsidP="009B1CF2">
      <w:pPr>
        <w:spacing w:after="360" w:line="360" w:lineRule="auto"/>
        <w:ind w:right="-159"/>
        <w:jc w:val="both"/>
        <w:rPr>
          <w:rFonts w:eastAsia="Calibri"/>
          <w:sz w:val="26"/>
          <w:szCs w:val="26"/>
          <w:lang w:eastAsia="en-US"/>
        </w:rPr>
      </w:pPr>
    </w:p>
    <w:p w14:paraId="321F1CF6" w14:textId="77777777" w:rsidR="009B1CF2" w:rsidRPr="009B1CF2" w:rsidRDefault="009B1CF2" w:rsidP="009B1CF2">
      <w:pPr>
        <w:spacing w:after="360" w:line="360" w:lineRule="auto"/>
        <w:ind w:right="-159"/>
        <w:jc w:val="both"/>
        <w:rPr>
          <w:rFonts w:eastAsia="Calibri"/>
          <w:sz w:val="26"/>
          <w:szCs w:val="26"/>
          <w:lang w:eastAsia="en-US"/>
        </w:rPr>
      </w:pPr>
    </w:p>
    <w:p w14:paraId="6EA6D7BD" w14:textId="77777777" w:rsidR="009B1CF2" w:rsidRPr="009B1CF2" w:rsidRDefault="009B1CF2" w:rsidP="009B1CF2">
      <w:pPr>
        <w:spacing w:after="360" w:line="360" w:lineRule="auto"/>
        <w:ind w:right="-159"/>
        <w:jc w:val="both"/>
        <w:rPr>
          <w:rFonts w:eastAsia="Calibri"/>
          <w:sz w:val="26"/>
          <w:szCs w:val="26"/>
          <w:lang w:eastAsia="en-US"/>
        </w:rPr>
      </w:pPr>
    </w:p>
    <w:p w14:paraId="11AF6DB7" w14:textId="77777777" w:rsidR="009B1CF2" w:rsidRPr="009B1CF2" w:rsidRDefault="009B1CF2" w:rsidP="009B1CF2">
      <w:pPr>
        <w:spacing w:after="160" w:line="259" w:lineRule="auto"/>
        <w:rPr>
          <w:rFonts w:ascii="Calibri" w:eastAsia="Calibri" w:hAnsi="Calibri"/>
          <w:sz w:val="22"/>
          <w:szCs w:val="22"/>
          <w:lang w:eastAsia="en-US"/>
        </w:rPr>
      </w:pPr>
    </w:p>
    <w:tbl>
      <w:tblPr>
        <w:tblW w:w="0" w:type="auto"/>
        <w:jc w:val="center"/>
        <w:tblBorders>
          <w:insideV w:val="single" w:sz="4" w:space="0" w:color="auto"/>
        </w:tblBorders>
        <w:tblLook w:val="04A0" w:firstRow="1" w:lastRow="0" w:firstColumn="1" w:lastColumn="0" w:noHBand="0" w:noVBand="1"/>
      </w:tblPr>
      <w:tblGrid>
        <w:gridCol w:w="6291"/>
      </w:tblGrid>
      <w:tr w:rsidR="00766BD6" w:rsidRPr="009B1CF2" w14:paraId="08442A7E" w14:textId="77777777" w:rsidTr="00FC7423">
        <w:trPr>
          <w:jc w:val="center"/>
        </w:trPr>
        <w:tc>
          <w:tcPr>
            <w:tcW w:w="6291" w:type="dxa"/>
          </w:tcPr>
          <w:p w14:paraId="081DB1BC" w14:textId="77777777" w:rsidR="00766BD6" w:rsidRPr="009B1CF2" w:rsidRDefault="00766BD6" w:rsidP="00FC7423">
            <w:pPr>
              <w:jc w:val="center"/>
              <w:rPr>
                <w:rFonts w:eastAsia="Calibri"/>
                <w:b/>
                <w:sz w:val="22"/>
                <w:szCs w:val="22"/>
                <w:lang w:eastAsia="en-US"/>
              </w:rPr>
            </w:pPr>
            <w:r w:rsidRPr="009B1CF2">
              <w:rPr>
                <w:rFonts w:eastAsia="Calibri"/>
                <w:b/>
                <w:sz w:val="22"/>
                <w:szCs w:val="22"/>
                <w:lang w:eastAsia="en-US"/>
              </w:rPr>
              <w:t>POLÍTICAS FISCALES</w:t>
            </w:r>
          </w:p>
          <w:p w14:paraId="763829EC" w14:textId="77777777" w:rsidR="00766BD6" w:rsidRPr="009B1CF2" w:rsidRDefault="00766BD6" w:rsidP="00FC7423">
            <w:pPr>
              <w:jc w:val="center"/>
              <w:rPr>
                <w:rFonts w:eastAsia="Calibri"/>
                <w:b/>
                <w:sz w:val="22"/>
                <w:szCs w:val="22"/>
                <w:lang w:eastAsia="en-US"/>
              </w:rPr>
            </w:pPr>
            <w:r w:rsidRPr="009B1CF2">
              <w:rPr>
                <w:rFonts w:eastAsia="Calibri"/>
                <w:b/>
                <w:sz w:val="22"/>
                <w:szCs w:val="22"/>
                <w:lang w:eastAsia="en-US"/>
              </w:rPr>
              <w:t>-Porcentaje del PIB, salvo indicación en contrario-</w:t>
            </w:r>
          </w:p>
          <w:p w14:paraId="63AD3E84" w14:textId="77777777" w:rsidR="00766BD6" w:rsidRPr="009B1CF2" w:rsidRDefault="00766BD6" w:rsidP="00FC7423">
            <w:pPr>
              <w:jc w:val="center"/>
              <w:rPr>
                <w:rFonts w:eastAsia="Calibri"/>
                <w:b/>
                <w:sz w:val="22"/>
                <w:szCs w:val="22"/>
                <w:lang w:eastAsia="en-US"/>
              </w:rPr>
            </w:pPr>
            <w:r w:rsidRPr="009B1CF2">
              <w:rPr>
                <w:rFonts w:eastAsia="Calibri"/>
                <w:b/>
                <w:sz w:val="22"/>
                <w:szCs w:val="22"/>
                <w:lang w:eastAsia="en-US"/>
              </w:rPr>
              <w:t>La consolidación ﬁscal se moderará, según las proyecciones, en las economías avanzadas dentro del horizonte de previsión. En los mercados emergentes, la orientación de la política ﬁscal se mantendría sin grandes cambios, aunque con marcadas diferencias entre países y regiones</w:t>
            </w:r>
          </w:p>
        </w:tc>
      </w:tr>
      <w:tr w:rsidR="00766BD6" w:rsidRPr="009B1CF2" w14:paraId="0683674B" w14:textId="77777777" w:rsidTr="00FC7423">
        <w:trPr>
          <w:jc w:val="center"/>
        </w:trPr>
        <w:tc>
          <w:tcPr>
            <w:tcW w:w="6291" w:type="dxa"/>
          </w:tcPr>
          <w:p w14:paraId="3A1EE3C3" w14:textId="77777777" w:rsidR="00766BD6" w:rsidRPr="009B1CF2" w:rsidRDefault="00766BD6" w:rsidP="00FC7423">
            <w:pPr>
              <w:jc w:val="center"/>
              <w:rPr>
                <w:rFonts w:eastAsia="Calibri"/>
                <w:sz w:val="22"/>
                <w:szCs w:val="22"/>
                <w:lang w:eastAsia="en-US"/>
              </w:rPr>
            </w:pPr>
            <w:r w:rsidRPr="009B1CF2">
              <w:rPr>
                <w:rFonts w:eastAsia="Calibri"/>
                <w:noProof/>
                <w:sz w:val="22"/>
                <w:szCs w:val="22"/>
                <w:lang w:eastAsia="es-MX"/>
              </w:rPr>
              <w:drawing>
                <wp:inline distT="0" distB="0" distL="0" distR="0" wp14:anchorId="7C461B75" wp14:editId="28984128">
                  <wp:extent cx="3667851" cy="4320000"/>
                  <wp:effectExtent l="0" t="0" r="8890" b="4445"/>
                  <wp:docPr id="1835" name="Imagen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67851" cy="4320000"/>
                          </a:xfrm>
                          <a:prstGeom prst="rect">
                            <a:avLst/>
                          </a:prstGeom>
                          <a:noFill/>
                          <a:ln>
                            <a:noFill/>
                          </a:ln>
                        </pic:spPr>
                      </pic:pic>
                    </a:graphicData>
                  </a:graphic>
                </wp:inline>
              </w:drawing>
            </w:r>
          </w:p>
          <w:p w14:paraId="4E148E53" w14:textId="77777777" w:rsidR="00766BD6" w:rsidRPr="009B1CF2" w:rsidRDefault="00766BD6" w:rsidP="00FC7423">
            <w:pPr>
              <w:jc w:val="center"/>
              <w:rPr>
                <w:rFonts w:eastAsia="Calibri"/>
                <w:sz w:val="22"/>
                <w:szCs w:val="22"/>
                <w:lang w:eastAsia="en-US"/>
              </w:rPr>
            </w:pPr>
          </w:p>
          <w:p w14:paraId="05A4E1DE" w14:textId="77777777" w:rsidR="00766BD6" w:rsidRPr="009B1CF2" w:rsidRDefault="00766BD6" w:rsidP="00FC7423">
            <w:pPr>
              <w:jc w:val="center"/>
              <w:rPr>
                <w:rFonts w:eastAsia="Calibri"/>
                <w:sz w:val="22"/>
                <w:szCs w:val="22"/>
                <w:lang w:eastAsia="en-US"/>
              </w:rPr>
            </w:pPr>
          </w:p>
          <w:p w14:paraId="2179C1B7" w14:textId="77777777" w:rsidR="00766BD6" w:rsidRPr="009B1CF2" w:rsidRDefault="00766BD6" w:rsidP="00FC7423">
            <w:pPr>
              <w:jc w:val="center"/>
              <w:rPr>
                <w:rFonts w:eastAsia="Calibri"/>
                <w:sz w:val="22"/>
                <w:szCs w:val="22"/>
                <w:lang w:eastAsia="en-US"/>
              </w:rPr>
            </w:pPr>
          </w:p>
          <w:p w14:paraId="57094892" w14:textId="77777777" w:rsidR="00766BD6" w:rsidRPr="009B1CF2" w:rsidRDefault="00766BD6" w:rsidP="00FC7423">
            <w:pPr>
              <w:jc w:val="center"/>
              <w:rPr>
                <w:rFonts w:eastAsia="Calibri"/>
                <w:sz w:val="22"/>
                <w:szCs w:val="22"/>
                <w:lang w:eastAsia="en-US"/>
              </w:rPr>
            </w:pPr>
          </w:p>
          <w:p w14:paraId="1A31E0A2" w14:textId="77777777" w:rsidR="00766BD6" w:rsidRPr="009B1CF2" w:rsidRDefault="00766BD6" w:rsidP="00FC7423">
            <w:pPr>
              <w:jc w:val="center"/>
              <w:rPr>
                <w:rFonts w:eastAsia="Calibri"/>
                <w:sz w:val="22"/>
                <w:szCs w:val="22"/>
                <w:lang w:eastAsia="en-US"/>
              </w:rPr>
            </w:pPr>
          </w:p>
        </w:tc>
      </w:tr>
      <w:tr w:rsidR="00766BD6" w:rsidRPr="009B1CF2" w14:paraId="7AE80BE9" w14:textId="77777777" w:rsidTr="00FC7423">
        <w:trPr>
          <w:jc w:val="center"/>
        </w:trPr>
        <w:tc>
          <w:tcPr>
            <w:tcW w:w="6291" w:type="dxa"/>
          </w:tcPr>
          <w:p w14:paraId="7A1E63D0" w14:textId="77777777" w:rsidR="00766BD6" w:rsidRPr="009B1CF2" w:rsidRDefault="00766BD6" w:rsidP="00FC7423">
            <w:pPr>
              <w:jc w:val="center"/>
              <w:rPr>
                <w:rFonts w:eastAsia="Calibri"/>
                <w:sz w:val="22"/>
                <w:szCs w:val="22"/>
                <w:lang w:eastAsia="en-US"/>
              </w:rPr>
            </w:pPr>
            <w:r w:rsidRPr="009B1CF2">
              <w:rPr>
                <w:rFonts w:eastAsia="Calibri"/>
                <w:noProof/>
                <w:sz w:val="22"/>
                <w:szCs w:val="22"/>
                <w:lang w:eastAsia="es-MX"/>
              </w:rPr>
              <w:lastRenderedPageBreak/>
              <w:drawing>
                <wp:inline distT="0" distB="0" distL="0" distR="0" wp14:anchorId="74085380" wp14:editId="7E7849A3">
                  <wp:extent cx="3620349" cy="1944000"/>
                  <wp:effectExtent l="0" t="0" r="0" b="0"/>
                  <wp:docPr id="1836" name="Imagen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20349" cy="1944000"/>
                          </a:xfrm>
                          <a:prstGeom prst="rect">
                            <a:avLst/>
                          </a:prstGeom>
                          <a:noFill/>
                          <a:ln>
                            <a:noFill/>
                          </a:ln>
                        </pic:spPr>
                      </pic:pic>
                    </a:graphicData>
                  </a:graphic>
                </wp:inline>
              </w:drawing>
            </w:r>
          </w:p>
        </w:tc>
      </w:tr>
      <w:tr w:rsidR="00766BD6" w:rsidRPr="009B1CF2" w14:paraId="53BC5CEF" w14:textId="77777777" w:rsidTr="00FC7423">
        <w:trPr>
          <w:jc w:val="center"/>
        </w:trPr>
        <w:tc>
          <w:tcPr>
            <w:tcW w:w="6291" w:type="dxa"/>
          </w:tcPr>
          <w:p w14:paraId="331DD278" w14:textId="77777777" w:rsidR="00766BD6" w:rsidRPr="009B1CF2" w:rsidRDefault="00766BD6" w:rsidP="00FC7423">
            <w:pPr>
              <w:ind w:left="242" w:hanging="242"/>
              <w:jc w:val="both"/>
              <w:rPr>
                <w:rFonts w:eastAsia="Calibri"/>
                <w:sz w:val="20"/>
                <w:szCs w:val="20"/>
                <w:lang w:eastAsia="en-US"/>
              </w:rPr>
            </w:pPr>
            <w:r w:rsidRPr="009B1CF2">
              <w:rPr>
                <w:rFonts w:eastAsia="Calibri"/>
                <w:sz w:val="20"/>
                <w:szCs w:val="20"/>
                <w:u w:val="single"/>
                <w:lang w:eastAsia="en-US"/>
              </w:rPr>
              <w:t>1</w:t>
            </w:r>
            <w:r w:rsidRPr="009B1CF2">
              <w:rPr>
                <w:rFonts w:eastAsia="Calibri"/>
                <w:sz w:val="20"/>
                <w:szCs w:val="20"/>
                <w:lang w:eastAsia="en-US"/>
              </w:rPr>
              <w:t>/</w:t>
            </w:r>
            <w:r>
              <w:rPr>
                <w:rFonts w:eastAsia="Calibri"/>
                <w:sz w:val="20"/>
                <w:szCs w:val="20"/>
                <w:lang w:eastAsia="en-US"/>
              </w:rPr>
              <w:tab/>
            </w:r>
            <w:r w:rsidRPr="009B1CF2">
              <w:rPr>
                <w:rFonts w:eastAsia="Calibri"/>
                <w:sz w:val="20"/>
                <w:szCs w:val="20"/>
                <w:lang w:eastAsia="en-US"/>
              </w:rPr>
              <w:t>Países de la zona del euro (España, Grecia, Irlanda, Italia, Portugal) con elevados diferenciales de endeudamiento durante la crisis de la deuda soberana de 2010–11.</w:t>
            </w:r>
          </w:p>
          <w:p w14:paraId="1A2023EE" w14:textId="77777777" w:rsidR="00766BD6" w:rsidRPr="009B1CF2" w:rsidRDefault="00766BD6" w:rsidP="00FC7423">
            <w:pPr>
              <w:ind w:left="242" w:hanging="242"/>
              <w:jc w:val="both"/>
              <w:rPr>
                <w:rFonts w:eastAsia="Calibri"/>
                <w:sz w:val="20"/>
                <w:szCs w:val="20"/>
                <w:lang w:eastAsia="en-US"/>
              </w:rPr>
            </w:pPr>
            <w:r w:rsidRPr="009B1CF2">
              <w:rPr>
                <w:rFonts w:eastAsia="Calibri"/>
                <w:sz w:val="20"/>
                <w:szCs w:val="20"/>
                <w:u w:val="single"/>
                <w:lang w:eastAsia="en-US"/>
              </w:rPr>
              <w:t>2</w:t>
            </w:r>
            <w:r w:rsidRPr="009B1CF2">
              <w:rPr>
                <w:rFonts w:eastAsia="Calibri"/>
                <w:sz w:val="20"/>
                <w:szCs w:val="20"/>
                <w:lang w:eastAsia="en-US"/>
              </w:rPr>
              <w:t>/</w:t>
            </w:r>
            <w:r>
              <w:rPr>
                <w:rFonts w:eastAsia="Calibri"/>
                <w:sz w:val="20"/>
                <w:szCs w:val="20"/>
                <w:lang w:eastAsia="en-US"/>
              </w:rPr>
              <w:tab/>
            </w:r>
            <w:r w:rsidRPr="009B1CF2">
              <w:rPr>
                <w:rFonts w:eastAsia="Calibri"/>
                <w:sz w:val="20"/>
                <w:szCs w:val="20"/>
                <w:lang w:eastAsia="en-US"/>
              </w:rPr>
              <w:t>Los datos hasta 2000 excluyen Estados Unidos de Norteamérica.</w:t>
            </w:r>
          </w:p>
          <w:p w14:paraId="5E0F2F3C" w14:textId="77777777" w:rsidR="00766BD6" w:rsidRPr="009B1CF2" w:rsidRDefault="00766BD6" w:rsidP="00FC7423">
            <w:pPr>
              <w:ind w:left="242" w:hanging="242"/>
              <w:jc w:val="both"/>
              <w:rPr>
                <w:rFonts w:eastAsia="Calibri"/>
                <w:sz w:val="20"/>
                <w:szCs w:val="20"/>
                <w:lang w:eastAsia="en-US"/>
              </w:rPr>
            </w:pPr>
            <w:r w:rsidRPr="009B1CF2">
              <w:rPr>
                <w:rFonts w:eastAsia="Calibri"/>
                <w:sz w:val="20"/>
                <w:szCs w:val="20"/>
                <w:u w:val="single"/>
                <w:lang w:eastAsia="en-US"/>
              </w:rPr>
              <w:t>3</w:t>
            </w:r>
            <w:r w:rsidRPr="009B1CF2">
              <w:rPr>
                <w:rFonts w:eastAsia="Calibri"/>
                <w:sz w:val="20"/>
                <w:szCs w:val="20"/>
                <w:lang w:eastAsia="en-US"/>
              </w:rPr>
              <w:t>/</w:t>
            </w:r>
            <w:r>
              <w:rPr>
                <w:rFonts w:eastAsia="Calibri"/>
                <w:sz w:val="20"/>
                <w:szCs w:val="20"/>
                <w:lang w:eastAsia="en-US"/>
              </w:rPr>
              <w:tab/>
            </w:r>
            <w:r w:rsidRPr="009B1CF2">
              <w:rPr>
                <w:rFonts w:eastAsia="Calibri"/>
                <w:sz w:val="20"/>
                <w:szCs w:val="20"/>
                <w:lang w:eastAsia="en-US"/>
              </w:rPr>
              <w:t>Alemania, Canadá, Estados Unidos de Norteamérica, Francia, Italia, Japón, Reino Unido.</w:t>
            </w:r>
          </w:p>
          <w:p w14:paraId="0793FF78" w14:textId="77777777" w:rsidR="00766BD6" w:rsidRPr="009B1CF2" w:rsidRDefault="00766BD6" w:rsidP="00FC7423">
            <w:pPr>
              <w:ind w:left="964" w:hanging="964"/>
              <w:jc w:val="both"/>
              <w:rPr>
                <w:rFonts w:eastAsia="Calibri"/>
                <w:sz w:val="20"/>
                <w:szCs w:val="20"/>
                <w:lang w:eastAsia="en-US"/>
              </w:rPr>
            </w:pPr>
            <w:r w:rsidRPr="009B1CF2">
              <w:rPr>
                <w:rFonts w:eastAsia="Calibri"/>
                <w:sz w:val="20"/>
                <w:szCs w:val="20"/>
                <w:lang w:eastAsia="en-US"/>
              </w:rPr>
              <w:t>FUENTE</w:t>
            </w:r>
            <w:r w:rsidRPr="009B1CF2">
              <w:rPr>
                <w:rFonts w:eastAsia="Calibri"/>
                <w:i/>
                <w:sz w:val="20"/>
                <w:szCs w:val="20"/>
                <w:lang w:eastAsia="en-US"/>
              </w:rPr>
              <w:t xml:space="preserve">: </w:t>
            </w:r>
            <w:r w:rsidRPr="009B1CF2">
              <w:rPr>
                <w:rFonts w:eastAsia="Calibri"/>
                <w:sz w:val="20"/>
                <w:szCs w:val="20"/>
                <w:lang w:eastAsia="en-US"/>
              </w:rPr>
              <w:t>Estimaciones del personal técnico del FMI.</w:t>
            </w:r>
          </w:p>
        </w:tc>
      </w:tr>
    </w:tbl>
    <w:p w14:paraId="67A56899" w14:textId="77777777" w:rsidR="009B1CF2" w:rsidRPr="009B1CF2" w:rsidRDefault="009B1CF2" w:rsidP="009B1CF2">
      <w:pPr>
        <w:spacing w:after="160" w:line="259" w:lineRule="auto"/>
        <w:rPr>
          <w:rFonts w:ascii="Calibri" w:eastAsia="Calibri" w:hAnsi="Calibri"/>
          <w:sz w:val="22"/>
          <w:szCs w:val="22"/>
          <w:lang w:eastAsia="en-US"/>
        </w:rPr>
      </w:pPr>
    </w:p>
    <w:p w14:paraId="4FAA9CFC" w14:textId="77777777" w:rsidR="009B1CF2" w:rsidRPr="009B1CF2" w:rsidRDefault="009B1CF2" w:rsidP="009B1CF2">
      <w:pPr>
        <w:spacing w:after="160" w:line="259" w:lineRule="auto"/>
        <w:rPr>
          <w:rFonts w:ascii="Calibri" w:eastAsia="Calibri" w:hAnsi="Calibri"/>
          <w:sz w:val="22"/>
          <w:szCs w:val="22"/>
          <w:lang w:eastAsia="en-US"/>
        </w:rPr>
      </w:pPr>
    </w:p>
    <w:p w14:paraId="5F553C7F" w14:textId="77777777" w:rsidR="009B1CF2" w:rsidRPr="009B1CF2" w:rsidRDefault="009B1CF2" w:rsidP="009B1CF2">
      <w:pPr>
        <w:spacing w:after="160" w:line="259" w:lineRule="auto"/>
        <w:rPr>
          <w:rFonts w:ascii="Calibri" w:eastAsia="Calibri" w:hAnsi="Calibri"/>
          <w:sz w:val="22"/>
          <w:szCs w:val="22"/>
          <w:lang w:eastAsia="en-US"/>
        </w:rPr>
      </w:pPr>
    </w:p>
    <w:p w14:paraId="63FEC2E1" w14:textId="77777777" w:rsidR="009B1CF2" w:rsidRPr="009B1CF2" w:rsidRDefault="009B1CF2" w:rsidP="009B1CF2">
      <w:pPr>
        <w:spacing w:after="160" w:line="259" w:lineRule="auto"/>
        <w:rPr>
          <w:rFonts w:ascii="Calibri" w:eastAsia="Calibri" w:hAnsi="Calibri"/>
          <w:sz w:val="22"/>
          <w:szCs w:val="22"/>
          <w:lang w:eastAsia="en-US"/>
        </w:rPr>
      </w:pPr>
    </w:p>
    <w:p w14:paraId="3F871D69" w14:textId="77777777" w:rsidR="009B1CF2" w:rsidRPr="009B1CF2" w:rsidRDefault="009B1CF2" w:rsidP="009B1CF2">
      <w:pPr>
        <w:spacing w:after="160" w:line="259" w:lineRule="auto"/>
        <w:rPr>
          <w:rFonts w:ascii="Calibri" w:eastAsia="Calibri" w:hAnsi="Calibri"/>
          <w:sz w:val="22"/>
          <w:szCs w:val="22"/>
          <w:lang w:eastAsia="en-US"/>
        </w:rPr>
      </w:pPr>
    </w:p>
    <w:p w14:paraId="3D801FA9" w14:textId="77777777" w:rsidR="009B1CF2" w:rsidRPr="009B1CF2" w:rsidRDefault="009B1CF2" w:rsidP="009B1CF2">
      <w:pPr>
        <w:spacing w:after="160" w:line="259" w:lineRule="auto"/>
        <w:rPr>
          <w:rFonts w:ascii="Calibri" w:eastAsia="Calibri" w:hAnsi="Calibri"/>
          <w:sz w:val="22"/>
          <w:szCs w:val="22"/>
          <w:lang w:eastAsia="en-US"/>
        </w:rPr>
      </w:pPr>
    </w:p>
    <w:p w14:paraId="774B5A0D" w14:textId="77777777" w:rsidR="009B1CF2" w:rsidRPr="009B1CF2" w:rsidRDefault="009B1CF2" w:rsidP="009B1CF2">
      <w:pPr>
        <w:spacing w:after="160" w:line="259" w:lineRule="auto"/>
        <w:rPr>
          <w:rFonts w:ascii="Calibri" w:eastAsia="Calibri" w:hAnsi="Calibri"/>
          <w:sz w:val="22"/>
          <w:szCs w:val="22"/>
          <w:lang w:eastAsia="en-US"/>
        </w:rPr>
      </w:pPr>
    </w:p>
    <w:p w14:paraId="20CAA5C0" w14:textId="77777777" w:rsidR="009B1CF2" w:rsidRPr="009B1CF2" w:rsidRDefault="009B1CF2" w:rsidP="009B1CF2">
      <w:pPr>
        <w:spacing w:after="160" w:line="259" w:lineRule="auto"/>
        <w:rPr>
          <w:rFonts w:ascii="Calibri" w:eastAsia="Calibri" w:hAnsi="Calibri"/>
          <w:sz w:val="22"/>
          <w:szCs w:val="22"/>
          <w:lang w:eastAsia="en-US"/>
        </w:rPr>
      </w:pPr>
    </w:p>
    <w:p w14:paraId="19458880" w14:textId="77777777" w:rsidR="009B1CF2" w:rsidRPr="009B1CF2" w:rsidRDefault="009B1CF2" w:rsidP="009B1CF2">
      <w:pPr>
        <w:spacing w:after="160" w:line="259" w:lineRule="auto"/>
        <w:rPr>
          <w:rFonts w:ascii="Calibri" w:eastAsia="Calibri" w:hAnsi="Calibri"/>
          <w:sz w:val="22"/>
          <w:szCs w:val="22"/>
          <w:lang w:eastAsia="en-US"/>
        </w:rPr>
      </w:pPr>
    </w:p>
    <w:p w14:paraId="1B92507F" w14:textId="77777777" w:rsidR="009B1CF2" w:rsidRPr="009B1CF2" w:rsidRDefault="009B1CF2" w:rsidP="009B1CF2">
      <w:pPr>
        <w:spacing w:after="160" w:line="259" w:lineRule="auto"/>
        <w:rPr>
          <w:rFonts w:ascii="Calibri" w:eastAsia="Calibri" w:hAnsi="Calibri"/>
          <w:sz w:val="22"/>
          <w:szCs w:val="22"/>
          <w:lang w:eastAsia="en-US"/>
        </w:rPr>
      </w:pPr>
    </w:p>
    <w:p w14:paraId="5726E23D" w14:textId="77777777" w:rsidR="009B1CF2" w:rsidRPr="009B1CF2" w:rsidRDefault="009B1CF2" w:rsidP="009B1CF2">
      <w:pPr>
        <w:spacing w:after="160" w:line="259" w:lineRule="auto"/>
        <w:rPr>
          <w:rFonts w:ascii="Calibri" w:eastAsia="Calibri" w:hAnsi="Calibri"/>
          <w:sz w:val="22"/>
          <w:szCs w:val="22"/>
          <w:lang w:eastAsia="en-US"/>
        </w:rPr>
      </w:pPr>
    </w:p>
    <w:p w14:paraId="09C230A7" w14:textId="77777777" w:rsidR="009B1CF2" w:rsidRPr="009B1CF2" w:rsidRDefault="009B1CF2" w:rsidP="009B1CF2">
      <w:pPr>
        <w:spacing w:after="160" w:line="259" w:lineRule="auto"/>
        <w:rPr>
          <w:rFonts w:ascii="Calibri" w:eastAsia="Calibri" w:hAnsi="Calibri"/>
          <w:sz w:val="22"/>
          <w:szCs w:val="22"/>
          <w:lang w:eastAsia="en-US"/>
        </w:rPr>
      </w:pPr>
    </w:p>
    <w:p w14:paraId="79D13F1F" w14:textId="77777777" w:rsidR="009B1CF2" w:rsidRPr="009B1CF2" w:rsidRDefault="009B1CF2" w:rsidP="009B1CF2">
      <w:pPr>
        <w:spacing w:after="160" w:line="259" w:lineRule="auto"/>
        <w:rPr>
          <w:rFonts w:ascii="Calibri" w:eastAsia="Calibri" w:hAnsi="Calibri"/>
          <w:sz w:val="22"/>
          <w:szCs w:val="22"/>
          <w:lang w:eastAsia="en-US"/>
        </w:rPr>
      </w:pPr>
    </w:p>
    <w:p w14:paraId="6B6F7AE6" w14:textId="77777777" w:rsidR="009B1CF2" w:rsidRPr="009B1CF2" w:rsidRDefault="009B1CF2" w:rsidP="009B1CF2">
      <w:pPr>
        <w:spacing w:after="160" w:line="259" w:lineRule="auto"/>
        <w:rPr>
          <w:rFonts w:ascii="Calibri" w:eastAsia="Calibri" w:hAnsi="Calibri"/>
          <w:sz w:val="22"/>
          <w:szCs w:val="22"/>
          <w:lang w:eastAsia="en-US"/>
        </w:rPr>
      </w:pPr>
    </w:p>
    <w:p w14:paraId="2ECAC676" w14:textId="77777777" w:rsidR="009B1CF2" w:rsidRPr="009B1CF2" w:rsidRDefault="009B1CF2" w:rsidP="009B1CF2">
      <w:pPr>
        <w:spacing w:after="160" w:line="259" w:lineRule="auto"/>
        <w:rPr>
          <w:rFonts w:ascii="Calibri" w:eastAsia="Calibri" w:hAnsi="Calibri"/>
          <w:sz w:val="22"/>
          <w:szCs w:val="22"/>
          <w:lang w:eastAsia="en-US"/>
        </w:rPr>
      </w:pPr>
    </w:p>
    <w:p w14:paraId="342C6EEA" w14:textId="77777777" w:rsidR="009B1CF2" w:rsidRPr="009B1CF2" w:rsidRDefault="009B1CF2" w:rsidP="009B1CF2">
      <w:pPr>
        <w:spacing w:after="160" w:line="259" w:lineRule="auto"/>
        <w:rPr>
          <w:rFonts w:ascii="Calibri" w:eastAsia="Calibri" w:hAnsi="Calibri"/>
          <w:sz w:val="22"/>
          <w:szCs w:val="22"/>
          <w:lang w:eastAsia="en-US"/>
        </w:rPr>
      </w:pPr>
    </w:p>
    <w:p w14:paraId="27A7DCE1" w14:textId="77777777" w:rsidR="009B1CF2" w:rsidRPr="009B1CF2" w:rsidRDefault="009B1CF2" w:rsidP="009B1CF2">
      <w:pPr>
        <w:spacing w:after="160" w:line="259" w:lineRule="auto"/>
        <w:rPr>
          <w:rFonts w:ascii="Calibri" w:eastAsia="Calibri" w:hAnsi="Calibri"/>
          <w:sz w:val="22"/>
          <w:szCs w:val="22"/>
          <w:lang w:eastAsia="en-US"/>
        </w:rPr>
      </w:pPr>
    </w:p>
    <w:p w14:paraId="6DD15D5B" w14:textId="77777777" w:rsidR="009B1CF2" w:rsidRPr="009B1CF2" w:rsidRDefault="009B1CF2" w:rsidP="009B1CF2">
      <w:pPr>
        <w:spacing w:after="160" w:line="259" w:lineRule="auto"/>
        <w:rPr>
          <w:rFonts w:ascii="Calibri" w:eastAsia="Calibri" w:hAnsi="Calibri"/>
          <w:sz w:val="22"/>
          <w:szCs w:val="22"/>
          <w:lang w:eastAsia="en-US"/>
        </w:rPr>
      </w:pPr>
    </w:p>
    <w:tbl>
      <w:tblPr>
        <w:tblStyle w:val="Tablaconcuadrcula6"/>
        <w:tblW w:w="0" w:type="auto"/>
        <w:jc w:val="center"/>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Pr>
      <w:tblGrid>
        <w:gridCol w:w="6816"/>
      </w:tblGrid>
      <w:tr w:rsidR="005C0560" w:rsidRPr="00F24E18" w14:paraId="1E11B0AD" w14:textId="77777777" w:rsidTr="00FC7423">
        <w:trPr>
          <w:jc w:val="center"/>
        </w:trPr>
        <w:tc>
          <w:tcPr>
            <w:tcW w:w="6291" w:type="dxa"/>
          </w:tcPr>
          <w:p w14:paraId="6F397D21" w14:textId="77777777" w:rsidR="005C0560" w:rsidRPr="00F24E18" w:rsidRDefault="005C0560" w:rsidP="00FC7423">
            <w:pPr>
              <w:jc w:val="center"/>
              <w:rPr>
                <w:b/>
              </w:rPr>
            </w:pPr>
            <w:r w:rsidRPr="00F24E18">
              <w:rPr>
                <w:b/>
              </w:rPr>
              <w:lastRenderedPageBreak/>
              <w:t>POLÍTICAS MONETARIAS Y CRÉDITO EN LAS ECONOMÍAS DE MERCADOS EMERGENTES</w:t>
            </w:r>
          </w:p>
          <w:p w14:paraId="0B823AAD" w14:textId="77777777" w:rsidR="005C0560" w:rsidRPr="00F24E18" w:rsidRDefault="005C0560" w:rsidP="00FC7423">
            <w:pPr>
              <w:jc w:val="center"/>
              <w:rPr>
                <w:b/>
              </w:rPr>
            </w:pPr>
            <w:r w:rsidRPr="00F24E18">
              <w:rPr>
                <w:b/>
              </w:rPr>
              <w:t>En promedio, las tasas reales de política monetaria se han mantenido cerca de los niveles de enero de 2014, y por debajo de los niveles previos a la crisis en muchas economías de mercados emergentes. La expansión del crédito bancario continúa enfriándose, aunque sigue siendo rápida en algunas economías. Por ende, el apalancamiento a nivel de toda la economía, medido en función de la relación crédito bancario/PIB, ha seguido aumentando</w:t>
            </w:r>
          </w:p>
        </w:tc>
      </w:tr>
      <w:tr w:rsidR="005C0560" w:rsidRPr="00F24E18" w14:paraId="3340BD73" w14:textId="77777777" w:rsidTr="00FC7423">
        <w:trPr>
          <w:jc w:val="center"/>
        </w:trPr>
        <w:tc>
          <w:tcPr>
            <w:tcW w:w="6291" w:type="dxa"/>
          </w:tcPr>
          <w:p w14:paraId="27B3AEAC" w14:textId="77777777" w:rsidR="005C0560" w:rsidRPr="00F24E18" w:rsidRDefault="005C0560" w:rsidP="00FC7423">
            <w:pPr>
              <w:jc w:val="center"/>
            </w:pPr>
            <w:r w:rsidRPr="00B64EEE">
              <w:rPr>
                <w:noProof/>
                <w:lang w:eastAsia="es-MX"/>
              </w:rPr>
              <w:drawing>
                <wp:inline distT="0" distB="0" distL="0" distR="0" wp14:anchorId="560891BE" wp14:editId="21CC155E">
                  <wp:extent cx="3923030" cy="4504055"/>
                  <wp:effectExtent l="0" t="0" r="127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23030" cy="4504055"/>
                          </a:xfrm>
                          <a:prstGeom prst="rect">
                            <a:avLst/>
                          </a:prstGeom>
                          <a:noFill/>
                          <a:ln>
                            <a:noFill/>
                          </a:ln>
                        </pic:spPr>
                      </pic:pic>
                    </a:graphicData>
                  </a:graphic>
                </wp:inline>
              </w:drawing>
            </w:r>
          </w:p>
        </w:tc>
      </w:tr>
      <w:tr w:rsidR="005C0560" w:rsidRPr="00F24E18" w14:paraId="7593C757" w14:textId="77777777" w:rsidTr="00FC7423">
        <w:trPr>
          <w:jc w:val="center"/>
        </w:trPr>
        <w:tc>
          <w:tcPr>
            <w:tcW w:w="6291" w:type="dxa"/>
          </w:tcPr>
          <w:p w14:paraId="55B0AAC2" w14:textId="77777777" w:rsidR="005C0560" w:rsidRPr="00F24E18" w:rsidRDefault="005C0560" w:rsidP="00FC7423">
            <w:pPr>
              <w:jc w:val="center"/>
            </w:pPr>
            <w:r w:rsidRPr="00B64EEE">
              <w:rPr>
                <w:noProof/>
                <w:lang w:eastAsia="es-MX"/>
              </w:rPr>
              <w:lastRenderedPageBreak/>
              <w:drawing>
                <wp:inline distT="0" distB="0" distL="0" distR="0" wp14:anchorId="2D5C8DD8" wp14:editId="52BA5103">
                  <wp:extent cx="4182745" cy="2533015"/>
                  <wp:effectExtent l="0" t="0" r="8255" b="63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82745" cy="2533015"/>
                          </a:xfrm>
                          <a:prstGeom prst="rect">
                            <a:avLst/>
                          </a:prstGeom>
                          <a:noFill/>
                          <a:ln>
                            <a:noFill/>
                          </a:ln>
                        </pic:spPr>
                      </pic:pic>
                    </a:graphicData>
                  </a:graphic>
                </wp:inline>
              </w:drawing>
            </w:r>
          </w:p>
        </w:tc>
      </w:tr>
      <w:tr w:rsidR="005C0560" w:rsidRPr="00F24E18" w14:paraId="2C911CBF" w14:textId="77777777" w:rsidTr="00FC7423">
        <w:trPr>
          <w:jc w:val="center"/>
        </w:trPr>
        <w:tc>
          <w:tcPr>
            <w:tcW w:w="6291" w:type="dxa"/>
          </w:tcPr>
          <w:p w14:paraId="41533FE7" w14:textId="77777777" w:rsidR="005C0560" w:rsidRPr="00F24E18" w:rsidRDefault="005C0560" w:rsidP="00FC7423">
            <w:pPr>
              <w:ind w:left="510" w:hanging="510"/>
              <w:jc w:val="both"/>
              <w:rPr>
                <w:sz w:val="20"/>
                <w:szCs w:val="20"/>
              </w:rPr>
            </w:pPr>
            <w:r w:rsidRPr="00F24E18">
              <w:rPr>
                <w:sz w:val="20"/>
                <w:szCs w:val="20"/>
              </w:rPr>
              <w:t>Nota: En las leyendas de datos en la gráﬁca se utilizan los códigos de países de la Organización Internacional de Normalización (ISO).</w:t>
            </w:r>
          </w:p>
          <w:p w14:paraId="31C75EF4" w14:textId="77777777" w:rsidR="005C0560" w:rsidRPr="00F24E18" w:rsidRDefault="005C0560" w:rsidP="00FC7423">
            <w:pPr>
              <w:ind w:left="227" w:hanging="227"/>
              <w:jc w:val="both"/>
              <w:rPr>
                <w:sz w:val="20"/>
                <w:szCs w:val="20"/>
              </w:rPr>
            </w:pPr>
            <w:r w:rsidRPr="00F24E18">
              <w:rPr>
                <w:sz w:val="20"/>
                <w:szCs w:val="20"/>
                <w:u w:val="single"/>
              </w:rPr>
              <w:t>1</w:t>
            </w:r>
            <w:r w:rsidRPr="00F24E18">
              <w:rPr>
                <w:sz w:val="20"/>
                <w:szCs w:val="20"/>
              </w:rPr>
              <w:t>/ Deﬂactadas por las proyecciones de inﬂación a dos años del informe WEO.</w:t>
            </w:r>
          </w:p>
          <w:p w14:paraId="48928EE8" w14:textId="77777777" w:rsidR="005C0560" w:rsidRPr="00F24E18" w:rsidRDefault="005C0560" w:rsidP="00FC7423">
            <w:pPr>
              <w:ind w:left="227" w:hanging="227"/>
              <w:jc w:val="both"/>
              <w:rPr>
                <w:sz w:val="20"/>
                <w:szCs w:val="20"/>
              </w:rPr>
            </w:pPr>
            <w:r w:rsidRPr="00F24E18">
              <w:rPr>
                <w:sz w:val="20"/>
                <w:szCs w:val="20"/>
                <w:u w:val="single"/>
              </w:rPr>
              <w:t>2</w:t>
            </w:r>
            <w:r w:rsidRPr="00F24E18">
              <w:rPr>
                <w:sz w:val="20"/>
                <w:szCs w:val="20"/>
              </w:rPr>
              <w:t>/ Crédito se reﬁere a los derechos de otras sociedades de depósito frente al sector privado (tomados de IFS), excepto en el caso de Brasil, en el cual el crédito al sector privado se reﬁere a la Nota de política monetaria y operaciones de crédito, publicada por el Banco Central de Brasil.</w:t>
            </w:r>
          </w:p>
          <w:p w14:paraId="39813312" w14:textId="77777777" w:rsidR="005C0560" w:rsidRPr="00F24E18" w:rsidRDefault="005C0560" w:rsidP="00FC7423">
            <w:pPr>
              <w:ind w:left="907" w:hanging="907"/>
              <w:jc w:val="both"/>
              <w:rPr>
                <w:sz w:val="20"/>
                <w:szCs w:val="20"/>
              </w:rPr>
            </w:pPr>
            <w:r w:rsidRPr="00F24E18">
              <w:rPr>
                <w:sz w:val="20"/>
                <w:szCs w:val="20"/>
              </w:rPr>
              <w:t>FUENTE</w:t>
            </w:r>
            <w:r w:rsidRPr="00F24E18">
              <w:rPr>
                <w:i/>
                <w:sz w:val="20"/>
                <w:szCs w:val="20"/>
              </w:rPr>
              <w:t>: Haver Analytics</w:t>
            </w:r>
            <w:r w:rsidRPr="00F24E18">
              <w:rPr>
                <w:sz w:val="20"/>
                <w:szCs w:val="20"/>
              </w:rPr>
              <w:t xml:space="preserve">; FMI, base de datos de </w:t>
            </w:r>
            <w:r w:rsidRPr="00F24E18">
              <w:rPr>
                <w:i/>
                <w:sz w:val="20"/>
                <w:szCs w:val="20"/>
              </w:rPr>
              <w:t>International Financial Statistics</w:t>
            </w:r>
            <w:r w:rsidRPr="00F24E18">
              <w:rPr>
                <w:sz w:val="20"/>
                <w:szCs w:val="20"/>
              </w:rPr>
              <w:t xml:space="preserve"> (IFS), y cálculos del personal técnico del FMI.</w:t>
            </w:r>
          </w:p>
        </w:tc>
      </w:tr>
    </w:tbl>
    <w:p w14:paraId="7733E247" w14:textId="77777777" w:rsidR="009B1CF2" w:rsidRPr="009B1CF2" w:rsidRDefault="009B1CF2" w:rsidP="009B1CF2">
      <w:pPr>
        <w:spacing w:after="160" w:line="259" w:lineRule="auto"/>
        <w:rPr>
          <w:rFonts w:ascii="Calibri" w:eastAsia="Calibri" w:hAnsi="Calibri"/>
          <w:sz w:val="22"/>
          <w:szCs w:val="22"/>
          <w:lang w:eastAsia="en-US"/>
        </w:rPr>
      </w:pPr>
    </w:p>
    <w:p w14:paraId="1C7CAC64"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Otros supuestos </w:t>
      </w:r>
    </w:p>
    <w:p w14:paraId="75EE2FB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presume que las condiciones financieras mundiales seguirán siendo acomodaticias, con cierto endurecimiento paulatino que se verá reflejado, entre otras cosas, en la creciente rentabilidad de los bonos del Tesoro estadounidense a 10 años a medida que se acerque la fecha del despegue de las tasas de interés nacionales. Se supone que el proceso de normalización de la política monetaria en Estados Unidos de Norteamérica y el Reino Unido transcurrirá sin tropiezos, sin fuertes y prolongados aumentos de la volatilidad de los mercados financieros ni movimientos marcados de las tasas de interés a largo plazo. Según las proyecciones, los precios de los combustibles aumentarán poco a poco a lo largo del horizonte que abarcan, de un promedio de 51 dólares el barril en 2015 a aproximadamente 64 dólares el barril en 2017. Los precios de las materias primas no combustibles, por el contrario, se estabilizarían a niveles más bajos tras el abaratamiento reciente de los alimentos y los metales. Los pronósticos apuntan a que las tensiones geopolíticas sigan siendo elevadas, ya que la situación de Rusia y Ucrania </w:t>
      </w:r>
      <w:r w:rsidRPr="009B1CF2">
        <w:rPr>
          <w:rFonts w:eastAsia="Calibri"/>
          <w:sz w:val="26"/>
          <w:szCs w:val="26"/>
          <w:lang w:eastAsia="en-US"/>
        </w:rPr>
        <w:lastRenderedPageBreak/>
        <w:t xml:space="preserve">continuaría siendo difícil y se prolongarían los conflictos en algunos países de Oriente Medio. Se presume que estas tensiones se suavizarán en general, haciendo posible una recuperación paulatina de las economías más duramente afectadas en 2016–17. </w:t>
      </w:r>
    </w:p>
    <w:p w14:paraId="4DA8C8C8"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Perspectivas mundiales para 2015–16 </w:t>
      </w:r>
    </w:p>
    <w:p w14:paraId="5F2B8A14"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proyecta que el crecimiento mundial experimentará un ligero aumento, de 3.4% en 2014 a 3.5% en 2015, y que luego volverá a aumentar en 2016, hasta alcanzar una tasa anual de 3.8% (véase el cuadro </w:t>
      </w:r>
      <w:r w:rsidRPr="009B1CF2">
        <w:rPr>
          <w:rFonts w:eastAsia="Calibri"/>
          <w:i/>
          <w:sz w:val="26"/>
          <w:szCs w:val="26"/>
          <w:lang w:eastAsia="en-US"/>
        </w:rPr>
        <w:t>Panorama de las proyecciones de Perspectivas de la Economía Mundial</w:t>
      </w:r>
      <w:r w:rsidRPr="009B1CF2">
        <w:rPr>
          <w:rFonts w:eastAsia="Calibri"/>
          <w:sz w:val="26"/>
          <w:szCs w:val="26"/>
          <w:lang w:eastAsia="en-US"/>
        </w:rPr>
        <w:t xml:space="preserve">). El aumento del crecimiento en 2015 estará alimentado por el repunte de las economías avanzadas, respaldado por el retroceso de los precios del petróleo, con Estados Unidos de Norteamérica a la cabeza (gráfica </w:t>
      </w:r>
      <w:r w:rsidRPr="009B1CF2">
        <w:rPr>
          <w:rFonts w:eastAsia="Calibri"/>
          <w:i/>
          <w:sz w:val="26"/>
          <w:szCs w:val="26"/>
          <w:lang w:eastAsia="en-US"/>
        </w:rPr>
        <w:t>Proyecciones de crecimiento del PIB</w:t>
      </w:r>
      <w:r w:rsidRPr="009B1CF2">
        <w:rPr>
          <w:rFonts w:eastAsia="Calibri"/>
          <w:sz w:val="26"/>
          <w:szCs w:val="26"/>
          <w:lang w:eastAsia="en-US"/>
        </w:rPr>
        <w:t xml:space="preserve">). Este repunte contribuirá a reducir las brechas del producto, que todavía son sustanciales. </w:t>
      </w:r>
    </w:p>
    <w:p w14:paraId="245D10E9"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los mercados emergentes, por el contrario, se proyecta que el crecimiento disminuirá en 2015, por quinto año consecutivo. Una variedad de factores explica la contracción: las fuertes revisiones a la baja del crecimiento de los países exportadores de petróleo, especialmente los que enfrentan difíciles condiciones iniciales que se suman al </w:t>
      </w:r>
      <w:r w:rsidRPr="009B1CF2">
        <w:rPr>
          <w:rFonts w:eastAsia="Calibri"/>
          <w:i/>
          <w:sz w:val="26"/>
          <w:szCs w:val="26"/>
          <w:lang w:eastAsia="en-US"/>
        </w:rPr>
        <w:t>shock</w:t>
      </w:r>
      <w:r w:rsidRPr="009B1CF2">
        <w:rPr>
          <w:rFonts w:eastAsia="Calibri"/>
          <w:sz w:val="26"/>
          <w:szCs w:val="26"/>
          <w:lang w:eastAsia="en-US"/>
        </w:rPr>
        <w:t xml:space="preserve"> de precios del petróleo (por ejemplo, Rusia y Venezuela); la desaceleración de China, que refleja la transición hacia un patrón de crecimiento más sustentable y menos dependiente de la inversión; y la continua desmejora de las perspectivas de América Latina resultante de la caída de los precios de otras materias primas. Como ya se indicó, se prevé que en los mercados emergentes importadores de petróleo el traslado más limitado a los consumidores de las ganancias inesperadas que genera el abaratamiento del petróleo atenúe el estímulo concomitante al crecimiento, ya que la caída de los precios beneficiaría en parte a los gobiernos (por ejemplo, gracias al ahorro que significa el recorte de los subsidios energéticos; véase la edición de abril de 2015 del informe Monitor Fiscal), que podrían aprovecharla para apuntalar las finanzas públicas.  </w:t>
      </w:r>
    </w:p>
    <w:p w14:paraId="215E86D9" w14:textId="77777777" w:rsidR="009B1CF2" w:rsidRPr="009B1CF2" w:rsidRDefault="009B1CF2" w:rsidP="003518F4">
      <w:pPr>
        <w:numPr>
          <w:ilvl w:val="0"/>
          <w:numId w:val="148"/>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Se presume que el repunte de los mercados emergentes impulsará la reactivación del crecimiento mundial en 2016, principalmente porque la demanda interna y la producción se recuperarán en parte de los reveses sufridos (causados entre otras cosas por tensiones geopolíticas) en una serie de economías, por ejemplo, Brasil y Rusia. </w:t>
      </w:r>
    </w:p>
    <w:p w14:paraId="42680242" w14:textId="4CC213A3"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Las perspectivas para 2015 coinciden en líneas generales con las publicadas en la Actualización de enero de 2015 del informe WEO. En comparación con la edición de octubre de 2014 del informe WEO, el crecimiento mundial ha sufrido una revisión a la baja de 0.3 puntos porcentuales en 2015 y 0</w:t>
      </w:r>
      <w:r w:rsidR="002B2982">
        <w:rPr>
          <w:rFonts w:eastAsia="Calibri"/>
          <w:sz w:val="26"/>
          <w:szCs w:val="26"/>
          <w:lang w:eastAsia="en-US"/>
        </w:rPr>
        <w:t>.</w:t>
      </w:r>
      <w:r w:rsidRPr="009B1CF2">
        <w:rPr>
          <w:rFonts w:eastAsia="Calibri"/>
          <w:sz w:val="26"/>
          <w:szCs w:val="26"/>
          <w:lang w:eastAsia="en-US"/>
        </w:rPr>
        <w:t xml:space="preserve">2 puntos porcentuales en 2016, atribuible en su totalidad al debilitamiento proyectado del crecimiento de los mercados emergentes. (Las comparaciones de los pronósticos de crecimiento en el resto del presente informe guardan relación con la edición de octubre de 2014.)  </w:t>
      </w:r>
    </w:p>
    <w:p w14:paraId="2B2B6622"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Perspectivas mundiales a mediano plazo </w:t>
      </w:r>
    </w:p>
    <w:p w14:paraId="3AF9FD1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pronostica que el crecimiento mundial experimentará un aumento marginal después de 2016, ya que el repunte adicional en las economías de mercados emergentes y en desarrollo compensaría un crecimiento más tímido en las economías avanzadas. Este repunte se debe más que nada a la presunción de un regreso paulatino a tasas de crecimiento más “normales” en los países y las regiones que se encontrarán sometidos a tensiones o tendrán un crecimiento muy inferior al potencial en 2015–16 (como Rusia, Brasil, el resto de América Latina y algunas partes de Oriente Medio). Por otra parte, las economías avanzadas crecerían a tasas más moderadas a partir de 2017, debido a la eliminación gradual de las brechas del producto —especialmente en la zona del euro y Estados Unidos de Norteamérica (donde influyen la persistencia de los legados de la crisis y la incertidumbre en torno a las políticas)— así como a los efectos de los factores demográficas en la oferta de mano de obra y, por lo tanto, en el producto potencial (Capítulo 3).  </w:t>
      </w:r>
    </w:p>
    <w:p w14:paraId="23704EC7" w14:textId="77777777" w:rsidR="009B1CF2" w:rsidRPr="009B1CF2" w:rsidRDefault="009B1CF2" w:rsidP="009B1CF2">
      <w:pPr>
        <w:spacing w:after="160" w:line="259" w:lineRule="auto"/>
        <w:rPr>
          <w:rFonts w:ascii="Calibri" w:eastAsia="Calibri" w:hAnsi="Calibri"/>
          <w:sz w:val="22"/>
          <w:szCs w:val="22"/>
          <w:lang w:eastAsia="en-US"/>
        </w:rPr>
      </w:pPr>
    </w:p>
    <w:tbl>
      <w:tblPr>
        <w:tblW w:w="0" w:type="auto"/>
        <w:jc w:val="center"/>
        <w:tblBorders>
          <w:insideV w:val="single" w:sz="4" w:space="0" w:color="auto"/>
        </w:tblBorders>
        <w:tblLook w:val="04A0" w:firstRow="1" w:lastRow="0" w:firstColumn="1" w:lastColumn="0" w:noHBand="0" w:noVBand="1"/>
      </w:tblPr>
      <w:tblGrid>
        <w:gridCol w:w="6408"/>
      </w:tblGrid>
      <w:tr w:rsidR="009B1CF2" w:rsidRPr="009B1CF2" w14:paraId="08DF6735" w14:textId="77777777" w:rsidTr="008B3DA6">
        <w:trPr>
          <w:jc w:val="center"/>
        </w:trPr>
        <w:tc>
          <w:tcPr>
            <w:tcW w:w="6291" w:type="dxa"/>
          </w:tcPr>
          <w:p w14:paraId="268AEAD5" w14:textId="77777777" w:rsidR="009B1CF2" w:rsidRPr="009B1CF2" w:rsidRDefault="009B1CF2" w:rsidP="00E46F39">
            <w:pPr>
              <w:jc w:val="center"/>
              <w:rPr>
                <w:rFonts w:eastAsia="Calibri"/>
                <w:b/>
                <w:sz w:val="22"/>
                <w:szCs w:val="22"/>
                <w:lang w:eastAsia="en-US"/>
              </w:rPr>
            </w:pPr>
            <w:r w:rsidRPr="009B1CF2">
              <w:rPr>
                <w:rFonts w:eastAsia="Calibri"/>
                <w:b/>
                <w:sz w:val="22"/>
                <w:szCs w:val="22"/>
                <w:lang w:eastAsia="en-US"/>
              </w:rPr>
              <w:t>PROYECCIONES DE CRECIMIENTO DEL PIB</w:t>
            </w:r>
          </w:p>
          <w:p w14:paraId="3A5FAC3F" w14:textId="77777777" w:rsidR="009B1CF2" w:rsidRPr="009B1CF2" w:rsidRDefault="009B1CF2" w:rsidP="00E46F39">
            <w:pPr>
              <w:jc w:val="center"/>
              <w:rPr>
                <w:rFonts w:eastAsia="Calibri"/>
                <w:b/>
                <w:sz w:val="22"/>
                <w:szCs w:val="22"/>
                <w:lang w:eastAsia="en-US"/>
              </w:rPr>
            </w:pPr>
            <w:r w:rsidRPr="009B1CF2">
              <w:rPr>
                <w:rFonts w:eastAsia="Calibri"/>
                <w:b/>
                <w:sz w:val="22"/>
                <w:szCs w:val="22"/>
                <w:lang w:eastAsia="en-US"/>
              </w:rPr>
              <w:t>-Variación porcentual trimestral anualizada-</w:t>
            </w:r>
          </w:p>
          <w:p w14:paraId="035FAF94" w14:textId="77777777" w:rsidR="009B1CF2" w:rsidRPr="009B1CF2" w:rsidRDefault="009B1CF2" w:rsidP="00E46F39">
            <w:pPr>
              <w:jc w:val="center"/>
              <w:rPr>
                <w:rFonts w:eastAsia="Calibri"/>
                <w:b/>
                <w:sz w:val="22"/>
                <w:szCs w:val="22"/>
                <w:lang w:eastAsia="en-US"/>
              </w:rPr>
            </w:pPr>
            <w:r w:rsidRPr="009B1CF2">
              <w:rPr>
                <w:rFonts w:eastAsia="Calibri"/>
                <w:b/>
                <w:sz w:val="22"/>
                <w:szCs w:val="22"/>
                <w:lang w:eastAsia="en-US"/>
              </w:rPr>
              <w:t>Se proyecta que el crecimiento mundial aumentará ligeramente a 3.5% en 2015 y luego a 3.7% en 2016. El aumento en 2015 responderá a un repunte en las economías avanzadas, respaldado por el retroceso de los precios del petróleo; el papel más importante será el de Estados Unidos de Norteamérica. En los mercados emergentes, por el contrario, se proyecta que el crecimiento disminuirá en 2015 como resultado de las revisiones a la baja de los países exportadores de petróleo, una desaceleración en China que reﬂeja una reorientación hacia un crecimiento más sostenible que dependa menos de la inversión y un debilitamiento de las perspectivas de América Latina como consecuencia de la caída de precios de otras materias primas</w:t>
            </w:r>
          </w:p>
        </w:tc>
      </w:tr>
      <w:tr w:rsidR="009B1CF2" w:rsidRPr="009B1CF2" w14:paraId="427E9E94" w14:textId="77777777" w:rsidTr="008B3DA6">
        <w:trPr>
          <w:jc w:val="center"/>
        </w:trPr>
        <w:tc>
          <w:tcPr>
            <w:tcW w:w="6291" w:type="dxa"/>
          </w:tcPr>
          <w:p w14:paraId="7D8716B2" w14:textId="77777777" w:rsidR="009B1CF2" w:rsidRPr="009B1CF2" w:rsidRDefault="009B1CF2" w:rsidP="009B1CF2">
            <w:pPr>
              <w:rPr>
                <w:rFonts w:eastAsia="Calibri"/>
                <w:sz w:val="22"/>
                <w:szCs w:val="22"/>
                <w:lang w:eastAsia="en-US"/>
              </w:rPr>
            </w:pPr>
            <w:r w:rsidRPr="009B1CF2">
              <w:rPr>
                <w:rFonts w:eastAsia="Calibri"/>
                <w:noProof/>
                <w:sz w:val="22"/>
                <w:szCs w:val="22"/>
                <w:lang w:eastAsia="es-MX"/>
              </w:rPr>
              <w:drawing>
                <wp:inline distT="0" distB="0" distL="0" distR="0" wp14:anchorId="1C3B7F9E" wp14:editId="319B8CCB">
                  <wp:extent cx="3832914" cy="3600000"/>
                  <wp:effectExtent l="0" t="0" r="0" b="635"/>
                  <wp:docPr id="1839" name="Imagen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32914" cy="3600000"/>
                          </a:xfrm>
                          <a:prstGeom prst="rect">
                            <a:avLst/>
                          </a:prstGeom>
                          <a:noFill/>
                          <a:ln>
                            <a:noFill/>
                          </a:ln>
                        </pic:spPr>
                      </pic:pic>
                    </a:graphicData>
                  </a:graphic>
                </wp:inline>
              </w:drawing>
            </w:r>
          </w:p>
        </w:tc>
      </w:tr>
      <w:tr w:rsidR="009B1CF2" w:rsidRPr="009B1CF2" w14:paraId="3BF7A4FB" w14:textId="77777777" w:rsidTr="008B3DA6">
        <w:trPr>
          <w:jc w:val="center"/>
        </w:trPr>
        <w:tc>
          <w:tcPr>
            <w:tcW w:w="6291" w:type="dxa"/>
          </w:tcPr>
          <w:p w14:paraId="0E966D9C" w14:textId="77777777" w:rsidR="009B1CF2" w:rsidRPr="009B1CF2" w:rsidRDefault="009B1CF2" w:rsidP="009B1CF2">
            <w:pPr>
              <w:rPr>
                <w:rFonts w:eastAsia="Calibri"/>
                <w:sz w:val="22"/>
                <w:szCs w:val="22"/>
                <w:lang w:eastAsia="en-US"/>
              </w:rPr>
            </w:pPr>
            <w:r w:rsidRPr="009B1CF2">
              <w:rPr>
                <w:rFonts w:ascii="Calibri" w:eastAsia="Calibri" w:hAnsi="Calibri"/>
                <w:noProof/>
                <w:sz w:val="22"/>
                <w:szCs w:val="22"/>
                <w:lang w:eastAsia="es-MX"/>
              </w:rPr>
              <w:lastRenderedPageBreak/>
              <w:drawing>
                <wp:inline distT="0" distB="0" distL="0" distR="0" wp14:anchorId="37750AA8" wp14:editId="2026B0BD">
                  <wp:extent cx="3932069" cy="3600000"/>
                  <wp:effectExtent l="0" t="0" r="0" b="635"/>
                  <wp:docPr id="1840" name="Imagen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932069" cy="3600000"/>
                          </a:xfrm>
                          <a:prstGeom prst="rect">
                            <a:avLst/>
                          </a:prstGeom>
                        </pic:spPr>
                      </pic:pic>
                    </a:graphicData>
                  </a:graphic>
                </wp:inline>
              </w:drawing>
            </w:r>
          </w:p>
        </w:tc>
      </w:tr>
      <w:tr w:rsidR="009B1CF2" w:rsidRPr="009B1CF2" w14:paraId="181D273E" w14:textId="77777777" w:rsidTr="008B3DA6">
        <w:trPr>
          <w:jc w:val="center"/>
        </w:trPr>
        <w:tc>
          <w:tcPr>
            <w:tcW w:w="6291" w:type="dxa"/>
          </w:tcPr>
          <w:p w14:paraId="26810A93" w14:textId="77777777" w:rsidR="009B1CF2" w:rsidRPr="009B1CF2" w:rsidRDefault="009B1CF2" w:rsidP="009B1CF2">
            <w:pPr>
              <w:ind w:left="907" w:hanging="907"/>
              <w:jc w:val="both"/>
              <w:rPr>
                <w:rFonts w:eastAsia="Calibri"/>
                <w:sz w:val="20"/>
                <w:szCs w:val="20"/>
                <w:lang w:eastAsia="en-US"/>
              </w:rPr>
            </w:pPr>
            <w:r w:rsidRPr="009B1CF2">
              <w:rPr>
                <w:rFonts w:eastAsia="Calibri"/>
                <w:sz w:val="20"/>
                <w:szCs w:val="20"/>
                <w:lang w:eastAsia="en-US"/>
              </w:rPr>
              <w:t>* Estados Unidos de Norteamérica.</w:t>
            </w:r>
          </w:p>
          <w:p w14:paraId="3F7F77A1" w14:textId="77777777" w:rsidR="009B1CF2" w:rsidRPr="009B1CF2" w:rsidRDefault="009B1CF2" w:rsidP="009B1CF2">
            <w:pPr>
              <w:ind w:left="907" w:hanging="907"/>
              <w:jc w:val="both"/>
              <w:rPr>
                <w:rFonts w:eastAsia="Calibri"/>
                <w:sz w:val="20"/>
                <w:szCs w:val="20"/>
                <w:lang w:eastAsia="en-US"/>
              </w:rPr>
            </w:pPr>
            <w:r w:rsidRPr="009B1CF2">
              <w:rPr>
                <w:rFonts w:eastAsia="Calibri"/>
                <w:sz w:val="20"/>
                <w:szCs w:val="20"/>
                <w:lang w:eastAsia="en-US"/>
              </w:rPr>
              <w:t>FUENTE</w:t>
            </w:r>
            <w:r w:rsidRPr="009B1CF2">
              <w:rPr>
                <w:rFonts w:eastAsia="Calibri"/>
                <w:i/>
                <w:sz w:val="20"/>
                <w:szCs w:val="20"/>
                <w:lang w:eastAsia="en-US"/>
              </w:rPr>
              <w:t xml:space="preserve">: </w:t>
            </w:r>
            <w:r w:rsidRPr="009B1CF2">
              <w:rPr>
                <w:rFonts w:eastAsia="Calibri"/>
                <w:sz w:val="20"/>
                <w:szCs w:val="20"/>
                <w:lang w:eastAsia="en-US"/>
              </w:rPr>
              <w:t>Estimaciones del personal técnico del FMI.</w:t>
            </w:r>
          </w:p>
        </w:tc>
      </w:tr>
    </w:tbl>
    <w:p w14:paraId="31774180" w14:textId="77777777" w:rsidR="009B1CF2" w:rsidRPr="009B1CF2" w:rsidRDefault="009B1CF2" w:rsidP="009B1CF2">
      <w:pPr>
        <w:spacing w:after="160" w:line="259" w:lineRule="auto"/>
        <w:rPr>
          <w:rFonts w:ascii="Calibri" w:eastAsia="Calibri" w:hAnsi="Calibri"/>
          <w:sz w:val="22"/>
          <w:szCs w:val="22"/>
          <w:lang w:eastAsia="en-US"/>
        </w:rPr>
      </w:pPr>
    </w:p>
    <w:p w14:paraId="4718AC62" w14:textId="77777777" w:rsidR="009B1CF2" w:rsidRPr="009B1CF2" w:rsidRDefault="009B1CF2" w:rsidP="009B1CF2">
      <w:pPr>
        <w:spacing w:after="360" w:line="360" w:lineRule="auto"/>
        <w:ind w:right="-159"/>
        <w:jc w:val="center"/>
        <w:rPr>
          <w:rFonts w:eastAsia="Calibri"/>
          <w:sz w:val="26"/>
          <w:szCs w:val="26"/>
          <w:lang w:eastAsia="en-US"/>
        </w:rPr>
      </w:pPr>
    </w:p>
    <w:p w14:paraId="189A0020"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Perspectivas de crecimiento individuales de países y regiones </w:t>
      </w:r>
    </w:p>
    <w:p w14:paraId="67037AE7"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El pronóstico apunta a que continuará la sólida recuperación en Estados Unidos de Norteamérica, cuyo crecimiento promedió alrededor de 4% en los tres últimos trimestres de 2014. Las condiciones necesarias para un sólido desempeño económico en 2015 siguen en pie. La fuerte caída de los precios de la energía, la suavidad de la inflación, la disminución del lastre fiscal, el fortalecimiento de los balances y la mejora del mercado de la vivienda sustentarían el ímpetu de los tres últimos trimestres. Estas fuerzas compensarían holgadamente el lastre que el fortalecimiento del dólar significa para la exportación neta. En consecuencia, se proyecta que el crecimiento alcanzará 3.1% en 2015 y en 2016, tal como se previó en octubre. Sin embargo, el panorama a más largo plazo no es tan halagüeño y se estima que el crecimiento potencial rondará apenas 2%, debido </w:t>
      </w:r>
      <w:r w:rsidRPr="009B1CF2">
        <w:rPr>
          <w:rFonts w:eastAsia="Calibri"/>
          <w:sz w:val="26"/>
          <w:szCs w:val="26"/>
          <w:lang w:eastAsia="en-US"/>
        </w:rPr>
        <w:lastRenderedPageBreak/>
        <w:t xml:space="preserve">al envejecimiento de la población y a un aumento más débil de la productividad total de los factores. </w:t>
      </w:r>
    </w:p>
    <w:p w14:paraId="0B8EE15D"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 zona del euro continuó recuperándose en el curso del último año, pero la inversión privada siguió siendo débil, con las notables excepciones de Irlanda, España y Alemania. El abaratamiento del petróleo, la disminución de las tasas de interés y la depreciación del euro, sumados a una orientación fiscal más bien neutral, impulsarían la actividad en 2015–16. Al mismo tiempo, el crecimiento potencial continúa siendo débil, como consecuencia de los legados de la crisis, factores demográficos y una desaceleración de la productividad total de los factores que se remonta a momentos previos a la crisis (véase el Capítulo 3). Por ende, se prevé un crecimiento moderado y una inflación atenuada. Específicamente, se proyecta que el crecimiento aumentará de 0.9% en 2014 a 1.5% este año y a 1.6% en 2016; es decir, un crecimiento ligeramente más vigoroso en 2015 que el contemplado en octubre último. El crecimiento se reavivaría en 2015 y 2016 en Alemania (1.6% en 2015 y 1.7% en 2016), en Francia (1.2% en 2015 y 1.5% en 2016), en Italia (0.5% en 2015 y 1.1% en 2016), y especialmente en España (2.5% en 2015 y 2% en 2016).  </w:t>
      </w:r>
    </w:p>
    <w:p w14:paraId="0368606A"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Japón, la actividad defraudó tras el aumento del impuesto sobre el consumo en abril de 2014, que causó una contracción inesperadamente profunda del consumo. El crecimiento del PIB aumentaría de –0.1% en 2014 a 1% en 2015 y 1.2% en 2016, una ligera revisión al alza respecto de la edición de octubre de 2014 del informe WEO. El repunte gradual está sustentado por el debilitamiento del yen, el alza de los salarios reales y el aumento de los precios de las acciones gracias a la expansión cuantitativa y cualitativa adicional lanzada por el Banco de Japón, así como la caída de los precios del petróleo y las materias primas.  </w:t>
      </w:r>
    </w:p>
    <w:p w14:paraId="56477BC1" w14:textId="3C969DB6"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En el caso de otras economías avanzadas, se prevé en general un sólido crecimiento. La proyección para el Reino Unido es de un crecimiento continuo y sostenido (2.7% en 2015), gracias al abaratamiento del petróleo y a la mejora de las condiciones de los mercados financieros. Canadá registrará un crecimiento de 2.2% este año, sustentado por el vigor de la recuperación en Estados Unidos de Norteamérica. El crecimiento proyectado de Australia, de 2.8% en 2015, es más o menos el mismo que se pronosticó en octubre, ya que la caída de los precios de las materias primas y de la inversión en recursos se verá compensada por una política monetaria acomodaticia y un tipo de cambio algo menos favorable. La robusta recuperación en Suecia (2.7% de crecimiento proyectado para 2015) será posible gracias al consumo y a la inversión de dos dígitos en vivienda. En Suiza, sin embargo, la fuerte apreciación del tipo de cambio probablemente sea un lastre para el crecimiento a corto plazo: el crecimiento en 2015 está proyectado en 0</w:t>
      </w:r>
      <w:r w:rsidR="002B2982">
        <w:rPr>
          <w:rFonts w:eastAsia="Calibri"/>
          <w:sz w:val="26"/>
          <w:szCs w:val="26"/>
          <w:lang w:eastAsia="en-US"/>
        </w:rPr>
        <w:t>.</w:t>
      </w:r>
      <w:r w:rsidRPr="009B1CF2">
        <w:rPr>
          <w:rFonts w:eastAsia="Calibri"/>
          <w:sz w:val="26"/>
          <w:szCs w:val="26"/>
          <w:lang w:eastAsia="en-US"/>
        </w:rPr>
        <w:t xml:space="preserve">8%, lo cual equivale a una revisión a la baja de 0.8 puntos porcentuales. Por otra parte, la caída de los precios del petróleo será negativa para Noruega, cuyo PIB crecería 1% este año; es decir, una revisión a la baja de alrededor de 0.9 puntos porcentuales. </w:t>
      </w:r>
    </w:p>
    <w:p w14:paraId="0F636C44"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cuanto a China, se prevé que el crecimiento retroceda a 6.8% este año y a 6.3% en 2016. Estas proyecciones han sufrido una revisión a la baja de 0.25 y 0.50 punto porcentual, respectivamente, a medida que sigue su curso la corrección de los excesos en los ámbitos de bienes raíces, crédito e inversión. Se prevé ahora que las autoridades chinas hagan más énfasis en la reducción de las vulnerabilidades generadas por la rápida expansión del crédito y la inversión ocurrida recientemente, y, por lo tanto, el pronóstico supone una política de respuesta menos vigorosa ante la moderación subyacente. Las reformas estructurales que se están realizando y la caída de los precios del petróleo y las materias primas estimularían las actividades orientadas a los consumidores, neutralizando en parte la desaceleración. </w:t>
      </w:r>
    </w:p>
    <w:p w14:paraId="743D1550"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Entre las economías emergentes y en desarrollo de Asia, se prevé que el crecimiento de India se fortalezca de 7.2% el año pasado a 7.5% este año y el próximo</w:t>
      </w:r>
      <w:r w:rsidRPr="009B1CF2">
        <w:rPr>
          <w:rFonts w:eastAsia="Calibri"/>
          <w:sz w:val="26"/>
          <w:szCs w:val="26"/>
          <w:vertAlign w:val="superscript"/>
          <w:lang w:eastAsia="en-US"/>
        </w:rPr>
        <w:footnoteReference w:id="4"/>
      </w:r>
      <w:r w:rsidRPr="009B1CF2">
        <w:rPr>
          <w:rFonts w:eastAsia="Calibri"/>
          <w:sz w:val="26"/>
          <w:szCs w:val="26"/>
          <w:lang w:eastAsia="en-US"/>
        </w:rPr>
        <w:t xml:space="preserve">. El crecimiento se beneficiará de las recientes reformas de las políticas, el consecuente repunte de la inversión y la caída de los precios del petróleo. Las tendencias dentro de la Asociación de Naciones del Asia Sudoriental-5 continuarán divergiendo. El crecimiento de Malasia sufriría una marcada desaceleración a 4.8% este año (una revisión a la baja de 0.4 puntos porcentuales) debido al empeoramiento de los términos de intercambio. Pero el crecimiento volvería al alza en Tailandia, gracias a la disipación de la incertidumbre en torno a las políticas, y en las Filipinas, gracias al alza del consumo resultante del abaratamiento imprevisto del petróleo. El pronóstico de crecimiento de Indonesia, de 5.2% este año, coincide más o menos con el del año pasado.  </w:t>
      </w:r>
    </w:p>
    <w:p w14:paraId="66678922"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El crecimiento de América Latina y el Caribe se contrajo por cuarto año consecutivo, a 1.3% el año pasado. Sin un impulso aparente que reavive la actividad a corto plazo, y como consecuencia del abaratamiento de las materias primas y del margen de maniobra reducido de la política económica de muchas economías, se proyecta que el crecimiento regional sea de 0.9% este año (1 punto porcentual menos que la última previsión y muy por debajo del 4% de crecimiento promedio observado en 2004–13) antes de recuperarse a 2% en 2016. Las revisiones a la baja se concentran en los exportadores de materias primas sudamericanos. Las proyecciones de crecimiento para 2015 de Bolivia, Chile, Colombia, Ecuador y Perú han sido revisadas a la baja en 0.50–2 puntos porcentuales. Se prevé que la economía de Brasil se contraiga 1% este año; o sea, más de dos puntos porcentuales menos que la proyección de octubre de 2014. La confianza del sector privado es persistentemente débil debido a los </w:t>
      </w:r>
      <w:r w:rsidRPr="009B1CF2">
        <w:rPr>
          <w:rFonts w:eastAsia="Calibri"/>
          <w:sz w:val="26"/>
          <w:szCs w:val="26"/>
          <w:lang w:eastAsia="en-US"/>
        </w:rPr>
        <w:lastRenderedPageBreak/>
        <w:t xml:space="preserve">problemas de competitividad irresueltos, el riesgo de racionamiento a corto plazo del agua y la electricidad, y las secuelas de la investigación de Petrobras; el hecho de que el endurecimiento de la política fiscal resulte más necesario de lo esperado también influye en estas revisiones a la baja. En México, el crecimiento de 3% proyectado para este año representa una revisión a la baja de ½ punto porcentual. Las perspectivas económicas de Argentina en 2015 han mejorado desde octubre gracias a la moderación de las presiones sobre la balanza de pagos, pero aun así se prevé una ligera contracción del PIB (3%). En Venezuela, la actividad se contraería con fuerza (7%) ya que la caída de los precios del petróleo ha agravado una situación difícil de por sí.  </w:t>
      </w:r>
    </w:p>
    <w:p w14:paraId="2D04CCEC"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Las economías de la Comunidad de Estados Independientes sufrieron una nueva desaceleración en el segundo semestre de 2014, y las perspectivas de la región han sufrido una marcada desmejora. Las revisiones a la baja reflejan más que nada la situación de Rusia, cuya economía se contraerá 3.8% este año según los pronósticos; es decir, más de cuatro puntos porcentuales por debajo de la previsión anterior, y 1.1% en 2016. El retroceso de los precios del petróleo y las sanciones internacionales han agravado las debilidades estructurales subyacentes del país y han socavado la confianza, empujando el rublo a una depreciación significativa. Para el resto de la CEI se proyecta un crecimiento de 0.4% en 2015, casi 3.5 puntos porcentuales menos que en el último pronóstico. La economía de Ucrania tocaría fondo en 2015, a medida que la actividad se estabilice gracias al comienzo de la labor de reconstrucción, pero aun así se prevé una contracción de 5.5%. En otras partes de la región, la baja de los precios de las materias primas y los efectos de contagio causados por Rusia (a través del comercio internacional, la inversión extranjera directa y, especialmente, las remesas) también están empañando las perspectivas, sobre todo si se tienen en cuenta las vulnerabilidades estructurales actuales, lo cual ha llevado a fuertes </w:t>
      </w:r>
      <w:r w:rsidRPr="009B1CF2">
        <w:rPr>
          <w:rFonts w:eastAsia="Calibri"/>
          <w:sz w:val="26"/>
          <w:szCs w:val="26"/>
          <w:lang w:eastAsia="en-US"/>
        </w:rPr>
        <w:lastRenderedPageBreak/>
        <w:t xml:space="preserve">revisiones a la baja de las proyecciones de crecimiento para 2015 de Armenia, Belarús, Georgia y Kazajstán, entre otros. </w:t>
      </w:r>
    </w:p>
    <w:p w14:paraId="2C363EF8"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El crecimiento en las economías emergentes y en desarrollo de Europa aumentaría ligeramente, de 2.8% el año pasado a 2.9% este año (es decir, igual que en la previsión anterior) y a 3.2% en 2016. La caída de los precios del petróleo y la recuperación paulatina de la zona del euro infundirían ímpetu a la región, neutralizando los efectos de la contracción de Rusia y los niveles de deuda aún elevados de las empresas. En el caso de Turquía, la proyección de crecimiento es de 3.1% este año, frente a 2.3% el año pasado; se trata de una revisión al alza de 0.1 puntos porcentuales gracias al estímulo al consumo derivado del abaratamiento de la energía. En Hungría, el crecimiento caería este año a 2.7% como consecuencia de un crecimiento de la inversión más bajo y de condiciones fiscales menos propicias. El crecimiento de Polonia aumentaría a 3.5% en 2015, alimentado por la demanda interna y respaldado por la mejora de las condiciones de los socios comerciales. </w:t>
      </w:r>
    </w:p>
    <w:p w14:paraId="381A83A4" w14:textId="77777777"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El crecimiento siguió siendo anémico en Oriente Medio, Norte de África, Afganistán y Pakistán el año pasado, y para este año se prevé apenas un fortalecimiento ligero. Se proyecta que el crecimiento pasará de 2.6% en 2014 a 2.9% este año y a 3.8% en 2016. El crecimiento proyectado para este año es un punto porcentual menos que la proyección anterior; la revisión a la baja es completamente atribuible a las economías exportadoras de petróleo de la región, lo que se debe más que nada al retroceso de los precios del petróleo. Este año, el crecimiento proyectado de 3% para Arabia Saudita representa una revisión a la baja de 1.5 puntos porcentuales, si bien casi la mitad de esta revisión se debe a un cambio de base de los datos del PIB real. Otros países exportadores de petróleo, como los Emiratos Árabes Unidos, Iraq y la República Islámica de Irán, también han sufrido sustanciales revisiones a la baja de las perspectivas de </w:t>
      </w:r>
      <w:r w:rsidRPr="009B1CF2">
        <w:rPr>
          <w:rFonts w:eastAsia="Calibri"/>
          <w:sz w:val="26"/>
          <w:szCs w:val="26"/>
          <w:lang w:eastAsia="en-US"/>
        </w:rPr>
        <w:lastRenderedPageBreak/>
        <w:t xml:space="preserve">crecimiento. El crecimiento de los importadores de petróleo de la región se incrementaría de 3% el año pasado a 4% este año y 4.4% en 2016, ya que se prevé que la demanda interna se fortalezca gracias a una mayor confianza, la expansión monetaria, un petróleo más barato y un menor lastre fiscal. </w:t>
      </w:r>
    </w:p>
    <w:p w14:paraId="6C38F25B" w14:textId="1AD8DB64" w:rsidR="009B1CF2" w:rsidRPr="009B1CF2" w:rsidRDefault="009B1CF2" w:rsidP="003518F4">
      <w:pPr>
        <w:numPr>
          <w:ilvl w:val="0"/>
          <w:numId w:val="14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África </w:t>
      </w:r>
      <w:r w:rsidR="001611C8">
        <w:rPr>
          <w:rFonts w:eastAsia="Calibri"/>
          <w:sz w:val="26"/>
          <w:szCs w:val="26"/>
          <w:lang w:eastAsia="en-US"/>
        </w:rPr>
        <w:t>Subsahariana</w:t>
      </w:r>
      <w:r w:rsidRPr="009B1CF2">
        <w:rPr>
          <w:rFonts w:eastAsia="Calibri"/>
          <w:sz w:val="26"/>
          <w:szCs w:val="26"/>
          <w:lang w:eastAsia="en-US"/>
        </w:rPr>
        <w:t>, el crecimiento conserva el vigor, pero para este año se espera una desaceleración a 4.5% (respecto de 5% en 2014 y una sustancial revisión a la baja de 1.25 puntos porcentuales) debido a los vientos en contra que han generado el abaratamiento de las materias primas y la epidemia de los países víctimas del ébola. La caída de los precios del petróleo tendrá un impacto grave en los exportadores de petróleo de la región, incluido Nigeria; para ellos, el crecimiento de 2015 ha sido revisado a la baja más de 2.5 puntos porcentuales. Por el contrario, el crecimiento proyectado de los importadores de petróleo de la región no ha cambiado mucho, ya que el impacto favorable de la caída de los precios del petróleo se ve ampliamente compensado por la baja de los precios de exportación de las materias primas. El crecimiento en Sudáfrica aumentaría a 2% este año —una revisión a la baja de 0.3 puntos porcentuales— y 2.1% en 2016, lo cual refleja limitaciones de la oferta de electricidad más estrictas y, en 2016, una orientación fiscal más restrictiva de lo previsto.</w:t>
      </w:r>
    </w:p>
    <w:p w14:paraId="5FB68DB5"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Inflación Mundial </w:t>
      </w:r>
    </w:p>
    <w:p w14:paraId="7967544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Según las proyecciones, la inflación disminuirá en 2015 en las economías avanzadas y en la mayoría de las economías de mercados emergentes y en desarrollo, principalmente como consecuencia del retroceso de los precios del petróleo. El traslado de los precios más bajos del petróleo a la inflación subyacente seguiría siendo moderado, lo que concuerda con episodios recientes de fuertes variaciones de los precios de las materias primas:   </w:t>
      </w:r>
    </w:p>
    <w:p w14:paraId="0C1A48B3" w14:textId="77777777" w:rsidR="009B1CF2" w:rsidRPr="009B1CF2" w:rsidRDefault="009B1CF2" w:rsidP="003518F4">
      <w:pPr>
        <w:numPr>
          <w:ilvl w:val="0"/>
          <w:numId w:val="15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En las economías avanzadas, según las proyecciones, la inflación aumentará a partir de 2016, pero en general se mantendrá por debajo de las metas de los bancos centrales.  </w:t>
      </w:r>
    </w:p>
    <w:p w14:paraId="6763A104" w14:textId="77777777" w:rsidR="009B1CF2" w:rsidRPr="009B1CF2" w:rsidRDefault="009B1CF2" w:rsidP="003518F4">
      <w:pPr>
        <w:numPr>
          <w:ilvl w:val="0"/>
          <w:numId w:val="15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la zona del euro, el nivel general de inflación entró en terreno negativo en diciembre de 2014, y las expectativas inflacionarias a mediano plazo han disminuido sustancialmente desde mediados de 2014, aunque se han estabilizado en cierta medida tras las medidas que adoptó hace poco el BCE. Se supone que el ligero repunte proyectado de la actividad económica, sumado a la recuperación parcial de los precios del petróleo y al impacto de la depreciación del euro, entrañarían un aumento tanto del nivel general de inflación como de la inflación subyacente a partir del segundo trimestre de 2015, aunque se prevé que ambos indicadores del alza de los precios se mantengan por debajo del objetivo de estabilidad de los precios a mediano plazo fijado por el BCE. </w:t>
      </w:r>
    </w:p>
    <w:p w14:paraId="7424F3D0" w14:textId="77777777" w:rsidR="009B1CF2" w:rsidRPr="009B1CF2" w:rsidRDefault="009B1CF2" w:rsidP="003518F4">
      <w:pPr>
        <w:numPr>
          <w:ilvl w:val="0"/>
          <w:numId w:val="15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Japón, el ligero repunte proyectado del crecimiento y el desvanecimiento de la presión a la baja que ha ejercido sobre los precios el abaratamiento de las materias primas, sumados al mayor aumento de los salarios reales resultante del ajustado mercado laboral, empujarían al alza los precios subyacentes el próximo año. Sin embargo, en vista de las políticas vigentes y los tipos de cambio reales constantes, la inflación aumentaría poco a poco, a aproximadamente 1.5% a mediano plazo.  </w:t>
      </w:r>
    </w:p>
    <w:p w14:paraId="48AA58D7" w14:textId="79B27751" w:rsidR="009B1CF2" w:rsidRPr="009B1CF2" w:rsidRDefault="009B1CF2" w:rsidP="003518F4">
      <w:pPr>
        <w:numPr>
          <w:ilvl w:val="0"/>
          <w:numId w:val="15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Estados Unidos de Norteamérica se proyecta que la inflación anual bajará a 0.4% en 2015 y que subirá gradualmente a partir de mediados de año, a medida que se diluyan los efectos de la caída de los precios del petróleo; a la vez, los efectos de la apreciación del dólar y la moderada dinámica salarial actuarán como un freno. Más adelante, la inflación aumentaría poco a poco hacia el objetivo a más largo plazo de 2% fijado por la Reserva Federal.  </w:t>
      </w:r>
    </w:p>
    <w:p w14:paraId="4A1F07B2" w14:textId="77777777" w:rsidR="009B1CF2" w:rsidRPr="009B1CF2" w:rsidRDefault="009B1CF2" w:rsidP="003518F4">
      <w:pPr>
        <w:numPr>
          <w:ilvl w:val="0"/>
          <w:numId w:val="15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Según las proyecciones, la inflación se mantendrá muy por debajo de la meta en otras economías avanzadas más pequeñas, especialmente de Europa. Por otra parte, los precios al consumidor bajarán tanto en 2015 como en 2016 en Suiza, tras la pronunciada apreciación de la moneda en enero, mientras que en otros países, sobre todo la República Checa y Suecia, se mantendrán en niveles moderados. </w:t>
      </w:r>
    </w:p>
    <w:p w14:paraId="23771E7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las economías de mercados emergentes, se prevé que el abaratamiento del petróleo y la desaceleración de la actividad contribuyan a un nivel de inflación más bajo en 2015, aunque la baja de los precios del petróleo no se trasladará por completo a los precios que paga el usuario final. Los países que experimentaron fuertes depreciaciones del tipo de cambio nominal constituyen una excepción notable a esta tendencia. En años subsiguientes, el efecto de la caída de los precios del petróleo se diluiría, aunque se vería neutralizado por una disminución paulatina de la inflación subyacente hacia las metas a mediano plazo.  </w:t>
      </w:r>
    </w:p>
    <w:p w14:paraId="2BD89D2A" w14:textId="77777777" w:rsidR="009B1CF2" w:rsidRPr="009B1CF2" w:rsidRDefault="009B1CF2" w:rsidP="003518F4">
      <w:pPr>
        <w:numPr>
          <w:ilvl w:val="0"/>
          <w:numId w:val="15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De acuerdo con las previsiones, la inflación en China medida según el índice de precios al consumidor será de 1.2% en 2015, como consecuencia de la disminución de los precios de las materias primas, la fuerte apreciación del renminbi y cierto debilitamiento de la demanda interna, aunque luego se incrementará gradualmente.  </w:t>
      </w:r>
    </w:p>
    <w:p w14:paraId="3012173F" w14:textId="77777777" w:rsidR="009B1CF2" w:rsidRPr="009B1CF2" w:rsidRDefault="009B1CF2" w:rsidP="003518F4">
      <w:pPr>
        <w:numPr>
          <w:ilvl w:val="0"/>
          <w:numId w:val="15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India, la inflación se mantendría cerca de la meta en 2015. En Brasil, superaría el tope de la banda de tolerancia este año, por efecto del ajuste de los precios regulados y la depreciación cambiaria, y convergería hacia la meta de 4.5% a lo largo de los dos años siguientes. Por el contrario, se prevé que la inflación se dispare a aproximadamente 18% en 2015 en Rusia, por efecto de la pronunciada depreciación del rublo, y que disminuya a aproximadamente 10% el año próximo. </w:t>
      </w:r>
    </w:p>
    <w:p w14:paraId="41128E33" w14:textId="77777777" w:rsidR="009B1CF2" w:rsidRPr="009B1CF2" w:rsidRDefault="009B1CF2" w:rsidP="003518F4">
      <w:pPr>
        <w:numPr>
          <w:ilvl w:val="0"/>
          <w:numId w:val="15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Algunos mercados emergentes, especialmente de Europa, experimentarían un nivel general de inflación muy inferior a la meta en 2015, con ligeros aumentos en 2016. Entre estas economías se encuentran Polonia y una serie de países más pequeños cuya moneda está estrechamente vinculada al euro.</w:t>
      </w:r>
    </w:p>
    <w:p w14:paraId="7FE60AD9"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Evolución del sector externo </w:t>
      </w:r>
    </w:p>
    <w:p w14:paraId="373B1C3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datos preliminares apuntan a una mayor desaceleración del comercio mundial en 2014 (gráfica </w:t>
      </w:r>
      <w:r w:rsidRPr="009B1CF2">
        <w:rPr>
          <w:rFonts w:eastAsia="Calibri"/>
          <w:i/>
          <w:sz w:val="26"/>
          <w:szCs w:val="26"/>
          <w:lang w:eastAsia="en-US"/>
        </w:rPr>
        <w:t>Sector Externo</w:t>
      </w:r>
      <w:r w:rsidRPr="009B1CF2">
        <w:rPr>
          <w:rFonts w:eastAsia="Calibri"/>
          <w:sz w:val="26"/>
          <w:szCs w:val="26"/>
          <w:lang w:eastAsia="en-US"/>
        </w:rPr>
        <w:t xml:space="preserve">), en gran medida debido a un debilitamiento de la dinámica comercial de las economías de mercados emergentes y en desarrollo. Parte de la desaceleración está vinculada a un crecimiento del PIB más atenuado de lo previsto, aunque el crecimiento de los volúmenes de comercio internacional sigue siendo relativamente moderado aun teniendo en cuenta la evolución de la actividad económica global. El recuadro </w:t>
      </w:r>
      <w:r w:rsidRPr="009B1CF2">
        <w:rPr>
          <w:rFonts w:eastAsia="Calibri"/>
          <w:i/>
          <w:sz w:val="26"/>
          <w:szCs w:val="26"/>
          <w:lang w:eastAsia="en-US"/>
        </w:rPr>
        <w:t>Impacto Internacional de la caída de los precios del petróleo</w:t>
      </w:r>
      <w:r w:rsidRPr="009B1CF2">
        <w:rPr>
          <w:rFonts w:eastAsia="Calibri"/>
          <w:sz w:val="26"/>
          <w:szCs w:val="26"/>
          <w:lang w:eastAsia="en-US"/>
        </w:rPr>
        <w:t xml:space="preserve"> analiza en qué medida los factores cíclicos y estructurales pueden explicar el ritmo más tenue de la expansión del comercio internacional. Los datos indican que tanto los factores cíclicos como los estructurales son importantes; la debilidad cíclica de la inversión (con un elevado componente comercial) sin duda influye, pero la relación a largo plazo entre el comercio mundial y el PIB también está evolucionando, posiblemente debido al ritmo más lento de la fragmentación de los procesos de producción mundiales (cadenas de valor) tras años de rápidos cambios. </w:t>
      </w:r>
    </w:p>
    <w:p w14:paraId="71B768A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flujos de capital hacia y desde las economías avanzadas se han mantenido relativamente moderados, siguiendo el patrón establecido después de la crisis. Y los flujos de capital hacia los mercados emergentes se enfriaron en el segundo semestre de 2014, tras el dinamismo del primer semestre (gráfica </w:t>
      </w:r>
      <w:r w:rsidRPr="009B1CF2">
        <w:rPr>
          <w:rFonts w:eastAsia="Calibri"/>
          <w:i/>
          <w:sz w:val="26"/>
          <w:szCs w:val="26"/>
          <w:lang w:eastAsia="en-US"/>
        </w:rPr>
        <w:t>Condiciones de los mercados financieros y flujos de capitales en las economías de mercados emergentes</w:t>
      </w:r>
      <w:r w:rsidRPr="009B1CF2">
        <w:rPr>
          <w:rFonts w:eastAsia="Calibri"/>
          <w:sz w:val="26"/>
          <w:szCs w:val="26"/>
          <w:lang w:eastAsia="en-US"/>
        </w:rPr>
        <w:t xml:space="preserve">), lo cual refleja también el recrudecimiento de las tensiones geopolíticas y las inquietudes en torno al debilitamiento de las perspectivas de crecimiento, sobre todo en los </w:t>
      </w:r>
      <w:r w:rsidRPr="009B1CF2">
        <w:rPr>
          <w:rFonts w:eastAsia="Calibri"/>
          <w:sz w:val="26"/>
          <w:szCs w:val="26"/>
          <w:lang w:eastAsia="en-US"/>
        </w:rPr>
        <w:lastRenderedPageBreak/>
        <w:t xml:space="preserve">exportadores de materias primas. Los desequilibrios mundiales de las cuentas corrientes se mantuvieron en general estables en 2014, tras varios años de contracción. En 2014, las variaciones de los saldos en cuenta corriente en relación con el PIB generalmente tendieron a reducir las brechas de cuenta corriente de 2013 analizadas en el Informe piloto sobre el sector externo de 2014 (FMI, 2014) (gráfica </w:t>
      </w:r>
      <w:r w:rsidRPr="009B1CF2">
        <w:rPr>
          <w:rFonts w:eastAsia="Calibri"/>
          <w:i/>
          <w:sz w:val="26"/>
          <w:szCs w:val="26"/>
          <w:lang w:eastAsia="en-US"/>
        </w:rPr>
        <w:t>Sector Externo, panel 4</w:t>
      </w:r>
      <w:r w:rsidRPr="009B1CF2">
        <w:rPr>
          <w:rFonts w:eastAsia="Calibri"/>
          <w:sz w:val="26"/>
          <w:szCs w:val="26"/>
          <w:lang w:eastAsia="en-US"/>
        </w:rPr>
        <w:t xml:space="preserve">). Estas brechas miden las desviaciones de los saldos en cuenta corriente respecto de un nivel congruente con los fundamentos de la economía y con las políticas que convendría aplicar. Los movimientos de los tipos de cambio efectivos reales en 2014, respecto de 2013, también fueron congruentes con una reducción de las brechas cambiarias detectadas en 2013 por el mismo informe (gráfica </w:t>
      </w:r>
      <w:r w:rsidRPr="009B1CF2">
        <w:rPr>
          <w:rFonts w:eastAsia="Calibri"/>
          <w:i/>
          <w:sz w:val="26"/>
          <w:szCs w:val="26"/>
          <w:lang w:eastAsia="en-US"/>
        </w:rPr>
        <w:t>Tipos de cambio y reservas,          panel 1</w:t>
      </w:r>
      <w:r w:rsidRPr="009B1CF2">
        <w:rPr>
          <w:rFonts w:eastAsia="Calibri"/>
          <w:sz w:val="26"/>
          <w:szCs w:val="26"/>
          <w:lang w:eastAsia="en-US"/>
        </w:rPr>
        <w:t xml:space="preserve">). Las variaciones del tipo de cambio han sido particularmente marcadas en un amplio conjunto de monedas desde el otoño de 2014. Como muestra la gráfica </w:t>
      </w:r>
      <w:r w:rsidRPr="009B1CF2">
        <w:rPr>
          <w:rFonts w:eastAsia="Calibri"/>
          <w:i/>
          <w:sz w:val="26"/>
          <w:szCs w:val="26"/>
          <w:lang w:eastAsia="en-US"/>
        </w:rPr>
        <w:t>Tipos de cambio y reservas</w:t>
      </w:r>
      <w:r w:rsidRPr="009B1CF2">
        <w:rPr>
          <w:rFonts w:eastAsia="Calibri"/>
          <w:sz w:val="26"/>
          <w:szCs w:val="26"/>
          <w:lang w:eastAsia="en-US"/>
        </w:rPr>
        <w:t>, para los países con tipos de cambio flotantes, estos movimientos exhiben una fuerte correlación con los desplazamientos de los fundamentos de la economía: su dependencia del petróleo, representada por el nivel del saldo petrolero en relación con el PIB (</w:t>
      </w:r>
      <w:r w:rsidRPr="009B1CF2">
        <w:rPr>
          <w:rFonts w:eastAsia="Calibri"/>
          <w:i/>
          <w:sz w:val="26"/>
          <w:szCs w:val="26"/>
          <w:lang w:eastAsia="en-US"/>
        </w:rPr>
        <w:t>Tipos de cambio y reservas, panel 2</w:t>
      </w:r>
      <w:r w:rsidRPr="009B1CF2">
        <w:rPr>
          <w:rFonts w:eastAsia="Calibri"/>
          <w:sz w:val="26"/>
          <w:szCs w:val="26"/>
          <w:lang w:eastAsia="en-US"/>
        </w:rPr>
        <w:t>), y las revisiones de las perspectivas de la demanda interna en relación con la demanda externa durante este período (</w:t>
      </w:r>
      <w:r w:rsidRPr="009B1CF2">
        <w:rPr>
          <w:rFonts w:eastAsia="Calibri"/>
          <w:i/>
          <w:sz w:val="26"/>
          <w:szCs w:val="26"/>
          <w:lang w:eastAsia="en-US"/>
        </w:rPr>
        <w:t>Tipos de cambio y reservas,</w:t>
      </w:r>
      <w:r w:rsidRPr="009B1CF2">
        <w:rPr>
          <w:rFonts w:eastAsia="Calibri"/>
          <w:sz w:val="26"/>
          <w:szCs w:val="26"/>
          <w:lang w:eastAsia="en-US"/>
        </w:rPr>
        <w:t xml:space="preserve"> </w:t>
      </w:r>
      <w:r w:rsidRPr="009B1CF2">
        <w:rPr>
          <w:rFonts w:eastAsia="Calibri"/>
          <w:i/>
          <w:sz w:val="26"/>
          <w:szCs w:val="26"/>
          <w:lang w:eastAsia="en-US"/>
        </w:rPr>
        <w:t>panel 3</w:t>
      </w:r>
      <w:r w:rsidRPr="009B1CF2">
        <w:rPr>
          <w:rFonts w:eastAsia="Calibri"/>
          <w:sz w:val="26"/>
          <w:szCs w:val="26"/>
          <w:lang w:eastAsia="en-US"/>
        </w:rPr>
        <w:t>)</w:t>
      </w:r>
      <w:r w:rsidRPr="009B1CF2">
        <w:rPr>
          <w:rFonts w:eastAsia="Calibri"/>
          <w:sz w:val="26"/>
          <w:szCs w:val="26"/>
          <w:vertAlign w:val="superscript"/>
          <w:lang w:eastAsia="en-US"/>
        </w:rPr>
        <w:footnoteReference w:id="5"/>
      </w:r>
      <w:r w:rsidRPr="009B1CF2">
        <w:rPr>
          <w:rFonts w:eastAsia="Calibri"/>
          <w:sz w:val="26"/>
          <w:szCs w:val="26"/>
          <w:lang w:eastAsia="en-US"/>
        </w:rPr>
        <w:t xml:space="preserve">. </w:t>
      </w:r>
    </w:p>
    <w:p w14:paraId="2436278F" w14:textId="77777777" w:rsidR="009B1CF2" w:rsidRPr="009B1CF2" w:rsidRDefault="009B1CF2" w:rsidP="009B1CF2">
      <w:pPr>
        <w:spacing w:after="360" w:line="360" w:lineRule="auto"/>
        <w:ind w:right="-159"/>
        <w:jc w:val="both"/>
        <w:rPr>
          <w:rFonts w:eastAsia="Calibri"/>
          <w:sz w:val="26"/>
          <w:szCs w:val="26"/>
          <w:lang w:eastAsia="en-US"/>
        </w:rPr>
      </w:pPr>
    </w:p>
    <w:p w14:paraId="4C98539E" w14:textId="77777777" w:rsidR="009B1CF2" w:rsidRPr="009B1CF2" w:rsidRDefault="009B1CF2" w:rsidP="009B1CF2">
      <w:pPr>
        <w:spacing w:after="360" w:line="360" w:lineRule="auto"/>
        <w:ind w:right="-159"/>
        <w:jc w:val="both"/>
        <w:rPr>
          <w:rFonts w:eastAsia="Calibri"/>
          <w:sz w:val="26"/>
          <w:szCs w:val="26"/>
          <w:lang w:eastAsia="en-US"/>
        </w:rPr>
      </w:pPr>
    </w:p>
    <w:p w14:paraId="0ACCB6DC" w14:textId="77777777" w:rsidR="009B1CF2" w:rsidRPr="009B1CF2" w:rsidRDefault="009B1CF2" w:rsidP="009B1CF2">
      <w:pPr>
        <w:spacing w:after="360" w:line="360" w:lineRule="auto"/>
        <w:ind w:right="-159"/>
        <w:jc w:val="both"/>
        <w:rPr>
          <w:rFonts w:eastAsia="Calibri"/>
          <w:sz w:val="26"/>
          <w:szCs w:val="26"/>
          <w:lang w:eastAsia="en-US"/>
        </w:rPr>
      </w:pPr>
    </w:p>
    <w:p w14:paraId="6A8FBCF5" w14:textId="77777777" w:rsidR="009B1CF2" w:rsidRPr="009B1CF2" w:rsidRDefault="009B1CF2" w:rsidP="009B1CF2">
      <w:pPr>
        <w:spacing w:after="360" w:line="360" w:lineRule="auto"/>
        <w:ind w:right="-159"/>
        <w:jc w:val="both"/>
        <w:rPr>
          <w:rFonts w:eastAsia="Calibri"/>
          <w:sz w:val="26"/>
          <w:szCs w:val="26"/>
          <w:lang w:eastAsia="en-US"/>
        </w:rPr>
      </w:pPr>
    </w:p>
    <w:p w14:paraId="2750F532" w14:textId="77777777" w:rsidR="009B1CF2" w:rsidRPr="009B1CF2" w:rsidRDefault="009B1CF2" w:rsidP="009B1CF2">
      <w:pPr>
        <w:spacing w:after="160" w:line="259" w:lineRule="auto"/>
        <w:rPr>
          <w:rFonts w:ascii="Calibri" w:eastAsia="Calibri" w:hAnsi="Calibri"/>
          <w:sz w:val="22"/>
          <w:szCs w:val="22"/>
          <w:lang w:eastAsia="en-US"/>
        </w:rPr>
      </w:pPr>
    </w:p>
    <w:tbl>
      <w:tblPr>
        <w:tblW w:w="0" w:type="auto"/>
        <w:jc w:val="center"/>
        <w:tblBorders>
          <w:insideV w:val="single" w:sz="4" w:space="0" w:color="auto"/>
        </w:tblBorders>
        <w:tblLook w:val="04A0" w:firstRow="1" w:lastRow="0" w:firstColumn="1" w:lastColumn="0" w:noHBand="0" w:noVBand="1"/>
      </w:tblPr>
      <w:tblGrid>
        <w:gridCol w:w="6816"/>
      </w:tblGrid>
      <w:tr w:rsidR="005C0560" w:rsidRPr="005C0560" w14:paraId="691D82E4" w14:textId="77777777" w:rsidTr="00FC7423">
        <w:trPr>
          <w:jc w:val="center"/>
        </w:trPr>
        <w:tc>
          <w:tcPr>
            <w:tcW w:w="6546" w:type="dxa"/>
          </w:tcPr>
          <w:p w14:paraId="6A2E8D32" w14:textId="77777777" w:rsidR="005C0560" w:rsidRPr="005C0560" w:rsidRDefault="005C0560" w:rsidP="005C0560">
            <w:pPr>
              <w:jc w:val="center"/>
              <w:rPr>
                <w:rFonts w:eastAsia="Calibri"/>
                <w:b/>
                <w:sz w:val="22"/>
                <w:szCs w:val="22"/>
                <w:lang w:eastAsia="en-US"/>
              </w:rPr>
            </w:pPr>
            <w:r w:rsidRPr="005C0560">
              <w:rPr>
                <w:rFonts w:eastAsia="Calibri"/>
                <w:b/>
                <w:sz w:val="22"/>
                <w:szCs w:val="22"/>
                <w:lang w:eastAsia="en-US"/>
              </w:rPr>
              <w:t>SECTOR EXTERNO</w:t>
            </w:r>
          </w:p>
          <w:p w14:paraId="16EBA4C9" w14:textId="77777777" w:rsidR="005C0560" w:rsidRPr="005C0560" w:rsidRDefault="005C0560" w:rsidP="005C0560">
            <w:pPr>
              <w:jc w:val="center"/>
              <w:rPr>
                <w:rFonts w:eastAsia="Calibri"/>
                <w:b/>
                <w:sz w:val="22"/>
                <w:szCs w:val="22"/>
                <w:lang w:eastAsia="en-US"/>
              </w:rPr>
            </w:pPr>
            <w:r w:rsidRPr="005C0560">
              <w:rPr>
                <w:rFonts w:eastAsia="Calibri"/>
                <w:b/>
                <w:sz w:val="22"/>
                <w:szCs w:val="22"/>
                <w:lang w:eastAsia="en-US"/>
              </w:rPr>
              <w:t>El crecimiento del comercio mundial volvió a desacelerarse en 2014, reﬂejo en gran medida del debilitamiento de la dinámica del comercio internacional en las economías de mercados emergentes y en desarrollo. Parte de esa desaceleración se relaciona con un crecimiento imprevistamente anémico del PIB, pero la expansión del comercio internacional sigue siendo moderada, aun teniendo en cuenta la evolución de la actividad económica global. Los desequilibrios mundiales de las cuentas corrientes se mantuvieron en general estables en 2014, tras varios años de contracción, y según las previsiones esa situación continuará durante el próximo quinquenio. Las variaciones de los saldos en cuenta corriente en relación con el PIB registradas en 2014 en general redujeron las brechas de la cuenta corriente de 2013 analizadas en el Informe piloto sobre el sector externo de 2014 (FMI, 2014)</w:t>
            </w:r>
          </w:p>
        </w:tc>
      </w:tr>
      <w:tr w:rsidR="005C0560" w:rsidRPr="005C0560" w14:paraId="48958E26" w14:textId="77777777" w:rsidTr="00FC7423">
        <w:trPr>
          <w:jc w:val="center"/>
        </w:trPr>
        <w:tc>
          <w:tcPr>
            <w:tcW w:w="6546" w:type="dxa"/>
          </w:tcPr>
          <w:p w14:paraId="2C3356CC" w14:textId="77777777" w:rsidR="005C0560" w:rsidRPr="005C0560" w:rsidRDefault="005C0560" w:rsidP="005C0560">
            <w:pPr>
              <w:jc w:val="center"/>
              <w:rPr>
                <w:rFonts w:eastAsia="Calibri"/>
                <w:sz w:val="22"/>
                <w:szCs w:val="22"/>
                <w:lang w:eastAsia="en-US"/>
              </w:rPr>
            </w:pPr>
            <w:r w:rsidRPr="005C0560">
              <w:rPr>
                <w:rFonts w:eastAsia="Calibri"/>
                <w:noProof/>
                <w:sz w:val="22"/>
                <w:szCs w:val="22"/>
                <w:lang w:eastAsia="es-MX"/>
              </w:rPr>
              <w:drawing>
                <wp:inline distT="0" distB="0" distL="0" distR="0" wp14:anchorId="7DB0114B" wp14:editId="669453E5">
                  <wp:extent cx="4077970" cy="425704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77970" cy="4257040"/>
                          </a:xfrm>
                          <a:prstGeom prst="rect">
                            <a:avLst/>
                          </a:prstGeom>
                          <a:noFill/>
                          <a:ln>
                            <a:noFill/>
                          </a:ln>
                        </pic:spPr>
                      </pic:pic>
                    </a:graphicData>
                  </a:graphic>
                </wp:inline>
              </w:drawing>
            </w:r>
          </w:p>
        </w:tc>
      </w:tr>
      <w:tr w:rsidR="005C0560" w:rsidRPr="005C0560" w14:paraId="0D10EE3C" w14:textId="77777777" w:rsidTr="00FC7423">
        <w:trPr>
          <w:jc w:val="center"/>
        </w:trPr>
        <w:tc>
          <w:tcPr>
            <w:tcW w:w="6546" w:type="dxa"/>
          </w:tcPr>
          <w:p w14:paraId="2C7B30EE" w14:textId="77777777" w:rsidR="005C0560" w:rsidRPr="005C0560" w:rsidRDefault="005C0560" w:rsidP="005C0560">
            <w:pPr>
              <w:jc w:val="center"/>
              <w:rPr>
                <w:rFonts w:eastAsia="Calibri"/>
                <w:sz w:val="22"/>
                <w:szCs w:val="22"/>
                <w:lang w:eastAsia="en-US"/>
              </w:rPr>
            </w:pPr>
            <w:r w:rsidRPr="005C0560">
              <w:rPr>
                <w:rFonts w:eastAsia="Calibri"/>
                <w:noProof/>
                <w:sz w:val="22"/>
                <w:szCs w:val="22"/>
                <w:lang w:eastAsia="es-MX"/>
              </w:rPr>
              <w:lastRenderedPageBreak/>
              <w:drawing>
                <wp:inline distT="0" distB="0" distL="0" distR="0" wp14:anchorId="63635686" wp14:editId="74FB46D1">
                  <wp:extent cx="4189095" cy="2224405"/>
                  <wp:effectExtent l="0" t="0" r="1905" b="444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89095" cy="2224405"/>
                          </a:xfrm>
                          <a:prstGeom prst="rect">
                            <a:avLst/>
                          </a:prstGeom>
                          <a:noFill/>
                          <a:ln>
                            <a:noFill/>
                          </a:ln>
                        </pic:spPr>
                      </pic:pic>
                    </a:graphicData>
                  </a:graphic>
                </wp:inline>
              </w:drawing>
            </w:r>
          </w:p>
        </w:tc>
      </w:tr>
      <w:tr w:rsidR="005C0560" w:rsidRPr="005C0560" w14:paraId="1A7460BE" w14:textId="77777777" w:rsidTr="00FC7423">
        <w:trPr>
          <w:jc w:val="center"/>
        </w:trPr>
        <w:tc>
          <w:tcPr>
            <w:tcW w:w="6546" w:type="dxa"/>
          </w:tcPr>
          <w:p w14:paraId="5D902A1E" w14:textId="77777777" w:rsidR="005C0560" w:rsidRPr="005C0560" w:rsidRDefault="005C0560" w:rsidP="005C0560">
            <w:pPr>
              <w:ind w:left="907" w:hanging="907"/>
              <w:jc w:val="both"/>
              <w:rPr>
                <w:rFonts w:eastAsia="Calibri"/>
                <w:sz w:val="20"/>
                <w:szCs w:val="20"/>
                <w:lang w:eastAsia="en-US"/>
              </w:rPr>
            </w:pPr>
            <w:r w:rsidRPr="005C0560">
              <w:rPr>
                <w:rFonts w:eastAsia="Calibri"/>
                <w:sz w:val="20"/>
                <w:szCs w:val="20"/>
                <w:lang w:eastAsia="en-US"/>
              </w:rPr>
              <w:t>* Estados Unidos de Norteamérica.</w:t>
            </w:r>
          </w:p>
          <w:p w14:paraId="7EACB52F" w14:textId="77777777" w:rsidR="005C0560" w:rsidRPr="005C0560" w:rsidRDefault="005C0560" w:rsidP="005C0560">
            <w:pPr>
              <w:ind w:left="510" w:hanging="510"/>
              <w:jc w:val="both"/>
              <w:rPr>
                <w:rFonts w:eastAsia="Calibri"/>
                <w:sz w:val="20"/>
                <w:szCs w:val="20"/>
                <w:lang w:eastAsia="en-US"/>
              </w:rPr>
            </w:pPr>
            <w:r w:rsidRPr="005C0560">
              <w:rPr>
                <w:rFonts w:eastAsia="Calibri"/>
                <w:sz w:val="20"/>
                <w:szCs w:val="20"/>
                <w:lang w:eastAsia="en-US"/>
              </w:rPr>
              <w:t>Nota: En las leyendas de datos en la gráﬁca se utilizan los códigos de países de la Organización Internacional de Normalización (ISO).</w:t>
            </w:r>
          </w:p>
          <w:p w14:paraId="42AFC8AE" w14:textId="77777777" w:rsidR="005C0560" w:rsidRPr="005C0560" w:rsidRDefault="005C0560" w:rsidP="005C0560">
            <w:pPr>
              <w:ind w:left="227" w:hanging="227"/>
              <w:jc w:val="both"/>
              <w:rPr>
                <w:rFonts w:eastAsia="Calibri"/>
                <w:sz w:val="20"/>
                <w:szCs w:val="20"/>
                <w:lang w:eastAsia="en-US"/>
              </w:rPr>
            </w:pPr>
            <w:r w:rsidRPr="005C0560">
              <w:rPr>
                <w:rFonts w:eastAsia="Calibri"/>
                <w:sz w:val="20"/>
                <w:szCs w:val="20"/>
                <w:u w:val="single"/>
                <w:lang w:eastAsia="en-US"/>
              </w:rPr>
              <w:t>1</w:t>
            </w:r>
            <w:r w:rsidRPr="005C0560">
              <w:rPr>
                <w:rFonts w:eastAsia="Calibri"/>
                <w:sz w:val="20"/>
                <w:szCs w:val="20"/>
                <w:lang w:eastAsia="en-US"/>
              </w:rPr>
              <w:t>/ CHN+EMA = China y economías emergentes de Asia (Corea, Filipinas, Indonesia, Malasia, provincia china de Taiwan, RAE de Hong Kong, Singapur, Tailandia);  DEU+EURSUR = Alemania y otras economías avanzadas europeas con superávit (Austria, Dinamarca, Luxemburgo, Países Bajos, Suecia, Suiza); OCADC = otros países europeos con déﬁcit en cuenta corriente antes de la crisis (España, Grecia, Irlanda, Italia, Portugal, Reino Unido, grupo de economías emergentes y en desarrollo de Europa del informe WEO); OIL = Noruega y grupo de economías de mercados emergentes y en desarrollo exportadoras de combustibles del informe WEO; ROW = resto del mundo.</w:t>
            </w:r>
          </w:p>
          <w:p w14:paraId="6CB297BF" w14:textId="77777777" w:rsidR="005C0560" w:rsidRPr="005C0560" w:rsidRDefault="005C0560" w:rsidP="005C0560">
            <w:pPr>
              <w:ind w:left="907" w:hanging="907"/>
              <w:jc w:val="both"/>
              <w:rPr>
                <w:rFonts w:eastAsia="Calibri"/>
                <w:sz w:val="20"/>
                <w:szCs w:val="20"/>
                <w:lang w:eastAsia="en-US"/>
              </w:rPr>
            </w:pPr>
            <w:r w:rsidRPr="005C0560">
              <w:rPr>
                <w:rFonts w:eastAsia="Calibri"/>
                <w:sz w:val="20"/>
                <w:szCs w:val="20"/>
                <w:lang w:eastAsia="en-US"/>
              </w:rPr>
              <w:t>FUENTE</w:t>
            </w:r>
            <w:r w:rsidRPr="005C0560">
              <w:rPr>
                <w:rFonts w:eastAsia="Calibri"/>
                <w:i/>
                <w:sz w:val="20"/>
                <w:szCs w:val="20"/>
                <w:lang w:eastAsia="en-US"/>
              </w:rPr>
              <w:t>: CPB Netherlands Bureau for Economic Policy Analysis</w:t>
            </w:r>
            <w:r w:rsidRPr="005C0560">
              <w:rPr>
                <w:rFonts w:eastAsia="Calibri"/>
                <w:sz w:val="20"/>
                <w:szCs w:val="20"/>
                <w:lang w:eastAsia="en-US"/>
              </w:rPr>
              <w:t>; FMI, Informe piloto sobre el sector externo de 2014 (ESR, por sus siglas en inglés), y estimaciones del personal técnico del FMI.</w:t>
            </w:r>
          </w:p>
        </w:tc>
      </w:tr>
    </w:tbl>
    <w:p w14:paraId="7151D75B" w14:textId="77777777" w:rsidR="009B1CF2" w:rsidRPr="009B1CF2" w:rsidRDefault="009B1CF2" w:rsidP="009B1CF2">
      <w:pPr>
        <w:spacing w:after="160" w:line="259" w:lineRule="auto"/>
        <w:rPr>
          <w:rFonts w:ascii="Calibri" w:eastAsia="Calibri" w:hAnsi="Calibri"/>
          <w:sz w:val="22"/>
          <w:szCs w:val="22"/>
          <w:lang w:eastAsia="en-US"/>
        </w:rPr>
      </w:pPr>
    </w:p>
    <w:p w14:paraId="6BBFB245" w14:textId="77777777" w:rsidR="009B1CF2" w:rsidRPr="009B1CF2" w:rsidRDefault="009B1CF2" w:rsidP="009B1CF2">
      <w:pPr>
        <w:spacing w:after="360" w:line="360" w:lineRule="auto"/>
        <w:ind w:right="-159"/>
        <w:jc w:val="center"/>
        <w:rPr>
          <w:rFonts w:eastAsia="Calibri"/>
          <w:sz w:val="26"/>
          <w:szCs w:val="26"/>
          <w:lang w:eastAsia="en-US"/>
        </w:rPr>
      </w:pPr>
    </w:p>
    <w:p w14:paraId="3426F6C8" w14:textId="77777777" w:rsidR="009B1CF2" w:rsidRPr="009B1CF2" w:rsidRDefault="009B1CF2" w:rsidP="009B1CF2">
      <w:pPr>
        <w:spacing w:after="360" w:line="360" w:lineRule="auto"/>
        <w:ind w:right="-159"/>
        <w:jc w:val="center"/>
        <w:rPr>
          <w:rFonts w:eastAsia="Calibri"/>
          <w:sz w:val="26"/>
          <w:szCs w:val="26"/>
          <w:lang w:eastAsia="en-US"/>
        </w:rPr>
      </w:pPr>
    </w:p>
    <w:p w14:paraId="55D617EB" w14:textId="77777777" w:rsidR="009B1CF2" w:rsidRPr="009B1CF2" w:rsidRDefault="009B1CF2" w:rsidP="009B1CF2">
      <w:pPr>
        <w:spacing w:after="360" w:line="360" w:lineRule="auto"/>
        <w:ind w:right="-159"/>
        <w:jc w:val="center"/>
        <w:rPr>
          <w:rFonts w:eastAsia="Calibri"/>
          <w:sz w:val="26"/>
          <w:szCs w:val="26"/>
          <w:lang w:eastAsia="en-US"/>
        </w:rPr>
      </w:pPr>
    </w:p>
    <w:p w14:paraId="1160743B" w14:textId="77777777" w:rsidR="009B1CF2" w:rsidRPr="009B1CF2" w:rsidRDefault="009B1CF2" w:rsidP="009B1CF2">
      <w:pPr>
        <w:spacing w:after="360" w:line="360" w:lineRule="auto"/>
        <w:ind w:right="-159"/>
        <w:jc w:val="center"/>
        <w:rPr>
          <w:rFonts w:eastAsia="Calibri"/>
          <w:sz w:val="26"/>
          <w:szCs w:val="26"/>
          <w:lang w:eastAsia="en-US"/>
        </w:rPr>
      </w:pPr>
    </w:p>
    <w:p w14:paraId="3C57B774" w14:textId="77777777" w:rsidR="009B1CF2" w:rsidRPr="009B1CF2" w:rsidRDefault="009B1CF2" w:rsidP="009B1CF2">
      <w:pPr>
        <w:spacing w:after="360" w:line="360" w:lineRule="auto"/>
        <w:ind w:right="-159"/>
        <w:jc w:val="center"/>
        <w:rPr>
          <w:rFonts w:eastAsia="Calibri"/>
          <w:sz w:val="26"/>
          <w:szCs w:val="26"/>
          <w:lang w:eastAsia="en-US"/>
        </w:rPr>
      </w:pPr>
    </w:p>
    <w:p w14:paraId="0C25A394" w14:textId="77777777" w:rsidR="009B1CF2" w:rsidRPr="009B1CF2" w:rsidRDefault="009B1CF2" w:rsidP="009B1CF2">
      <w:pPr>
        <w:spacing w:after="360" w:line="360" w:lineRule="auto"/>
        <w:ind w:right="-159"/>
        <w:jc w:val="center"/>
        <w:rPr>
          <w:rFonts w:eastAsia="Calibri"/>
          <w:sz w:val="26"/>
          <w:szCs w:val="26"/>
          <w:lang w:eastAsia="en-US"/>
        </w:rPr>
      </w:pPr>
    </w:p>
    <w:p w14:paraId="1B010E5A" w14:textId="77777777" w:rsidR="009B1CF2" w:rsidRPr="009B1CF2" w:rsidRDefault="009B1CF2" w:rsidP="009B1CF2">
      <w:pPr>
        <w:spacing w:after="360" w:line="360" w:lineRule="auto"/>
        <w:ind w:right="-159"/>
        <w:jc w:val="center"/>
        <w:rPr>
          <w:rFonts w:eastAsia="Calibri"/>
          <w:sz w:val="26"/>
          <w:szCs w:val="26"/>
          <w:lang w:eastAsia="en-US"/>
        </w:rPr>
      </w:pPr>
    </w:p>
    <w:p w14:paraId="12906545" w14:textId="77777777" w:rsidR="009B1CF2" w:rsidRPr="002B2982" w:rsidRDefault="009B1CF2" w:rsidP="009B1CF2">
      <w:pPr>
        <w:ind w:left="1134" w:right="1134"/>
        <w:jc w:val="center"/>
        <w:rPr>
          <w:rFonts w:eastAsia="Calibri"/>
          <w:b/>
          <w:sz w:val="22"/>
          <w:szCs w:val="22"/>
          <w:lang w:eastAsia="en-US"/>
        </w:rPr>
      </w:pPr>
      <w:r w:rsidRPr="002B2982">
        <w:rPr>
          <w:rFonts w:eastAsia="Calibri"/>
          <w:b/>
          <w:sz w:val="22"/>
          <w:szCs w:val="22"/>
          <w:lang w:eastAsia="en-US"/>
        </w:rPr>
        <w:lastRenderedPageBreak/>
        <w:t>TIPOS DE CAMBIO Y RESERVAS</w:t>
      </w:r>
    </w:p>
    <w:p w14:paraId="4889C1FC" w14:textId="77777777" w:rsidR="009B1CF2" w:rsidRPr="002B2982" w:rsidRDefault="009B1CF2" w:rsidP="009B1CF2">
      <w:pPr>
        <w:ind w:left="1134" w:right="1134"/>
        <w:jc w:val="center"/>
        <w:rPr>
          <w:rFonts w:eastAsia="Calibri"/>
          <w:b/>
          <w:sz w:val="22"/>
          <w:szCs w:val="22"/>
          <w:lang w:eastAsia="en-US"/>
        </w:rPr>
      </w:pPr>
      <w:r w:rsidRPr="002B2982">
        <w:rPr>
          <w:rFonts w:eastAsia="Calibri"/>
          <w:b/>
          <w:sz w:val="22"/>
          <w:szCs w:val="22"/>
          <w:lang w:eastAsia="en-US"/>
        </w:rPr>
        <w:t>Los movimientos de los tipos de cambio efectivos reales en 2014 coincidieron con una reducción de las brechas identificadas para 2013 en el Informe piloto sobre el sector externo de 2014 (FMI, 2014). En el caso de los países con tipos de cambio flotantes, las variaciones del tipo de cambio observadas desde el otoño de 2014 están correlacionadas con desplazamientos de los fundamentos económicos: su dependencia del petróleo y las revisiones de las perspectivas de la demanda interna en relación con la demanda externa. La acumulación de reservas se ha desacelerado en América Latina y las economías emergentes y en desarrollo de Europa como consecuencia de una menor entrada de capitales y de pérdidas de reservas a causa de las intervenciones cambiarias</w:t>
      </w:r>
    </w:p>
    <w:tbl>
      <w:tblPr>
        <w:tblW w:w="0" w:type="auto"/>
        <w:tblLook w:val="04A0" w:firstRow="1" w:lastRow="0" w:firstColumn="1" w:lastColumn="0" w:noHBand="0" w:noVBand="1"/>
      </w:tblPr>
      <w:tblGrid>
        <w:gridCol w:w="8828"/>
      </w:tblGrid>
      <w:tr w:rsidR="009B1CF2" w:rsidRPr="009B1CF2" w14:paraId="406D22A4" w14:textId="77777777" w:rsidTr="008B3DA6">
        <w:tc>
          <w:tcPr>
            <w:tcW w:w="8828" w:type="dxa"/>
          </w:tcPr>
          <w:p w14:paraId="67E3CA0B"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MONETARIO.pptx!309"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1DAD80A2" wp14:editId="242C863E">
                  <wp:extent cx="3877945" cy="3295152"/>
                  <wp:effectExtent l="0" t="0" r="8255" b="635"/>
                  <wp:docPr id="1843" name="Imagen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4043" t="4134" r="22136"/>
                          <a:stretch/>
                        </pic:blipFill>
                        <pic:spPr bwMode="auto">
                          <a:xfrm>
                            <a:off x="0" y="0"/>
                            <a:ext cx="3877945" cy="3295152"/>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28CAFE9C" w14:textId="77777777" w:rsidR="009B1CF2" w:rsidRPr="009B1CF2" w:rsidRDefault="009B1CF2" w:rsidP="009B1CF2">
            <w:pPr>
              <w:jc w:val="center"/>
              <w:rPr>
                <w:rFonts w:ascii="Calibri" w:eastAsia="Calibri" w:hAnsi="Calibri"/>
                <w:sz w:val="22"/>
                <w:szCs w:val="22"/>
                <w:lang w:eastAsia="en-US"/>
              </w:rPr>
            </w:pPr>
          </w:p>
          <w:p w14:paraId="0E966EC2"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MONETARIO.pptx!310"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5B26C5A0" wp14:editId="79786170">
                  <wp:extent cx="3962400" cy="3437255"/>
                  <wp:effectExtent l="0" t="0" r="0" b="0"/>
                  <wp:docPr id="1844" name="Imagen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48" cstate="print">
                            <a:extLst>
                              <a:ext uri="{28A0092B-C50C-407E-A947-70E740481C1C}">
                                <a14:useLocalDpi xmlns:a14="http://schemas.microsoft.com/office/drawing/2010/main" val="0"/>
                              </a:ext>
                            </a:extLst>
                          </a:blip>
                          <a:srcRect l="12343" r="22554"/>
                          <a:stretch>
                            <a:fillRect/>
                          </a:stretch>
                        </pic:blipFill>
                        <pic:spPr bwMode="auto">
                          <a:xfrm>
                            <a:off x="0" y="0"/>
                            <a:ext cx="3962400" cy="343725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3C23B1EA"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MONETARIO.pptx!311"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1A3F0F7C" wp14:editId="0041BD07">
                  <wp:extent cx="3911600" cy="1066800"/>
                  <wp:effectExtent l="0" t="0" r="0" b="0"/>
                  <wp:docPr id="1845" name="Imagen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9" cstate="print">
                            <a:extLst>
                              <a:ext uri="{28A0092B-C50C-407E-A947-70E740481C1C}">
                                <a14:useLocalDpi xmlns:a14="http://schemas.microsoft.com/office/drawing/2010/main" val="0"/>
                              </a:ext>
                            </a:extLst>
                          </a:blip>
                          <a:srcRect l="13332" t="9067" r="22418" b="59967"/>
                          <a:stretch>
                            <a:fillRect/>
                          </a:stretch>
                        </pic:blipFill>
                        <pic:spPr bwMode="auto">
                          <a:xfrm>
                            <a:off x="0" y="0"/>
                            <a:ext cx="3911600" cy="106680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tc>
      </w:tr>
    </w:tbl>
    <w:p w14:paraId="35D6D61B" w14:textId="77777777" w:rsidR="009B1CF2" w:rsidRPr="009B1CF2" w:rsidRDefault="009B1CF2" w:rsidP="009B1CF2">
      <w:pPr>
        <w:spacing w:after="360" w:line="360" w:lineRule="auto"/>
        <w:ind w:right="-159"/>
        <w:jc w:val="center"/>
        <w:rPr>
          <w:rFonts w:eastAsia="Calibri"/>
          <w:sz w:val="26"/>
          <w:szCs w:val="26"/>
          <w:lang w:eastAsia="en-US"/>
        </w:rPr>
      </w:pPr>
    </w:p>
    <w:p w14:paraId="0DE08C33" w14:textId="144CCA63"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Estas fluctuaciones de los tipos de cambio, sumadas a las fuertes variaciones de los precios del petróleo, producirían desplazamientos de los saldos en cuenta corriente mundiales en 2015. El cambio más notable en este sentido es la desaparición proyectada del superávit en cuenta corriente agregado de los exportadores de combustibles en 2015, por primera vez desde 1998. Los países exportadores de petróleo volverían a registrar superávit en cuenta corriente con la recuperación de los precios del petróleo, pero se prevé que sean menores que los de la última década. </w:t>
      </w:r>
    </w:p>
    <w:p w14:paraId="7A6F3174" w14:textId="618AE39A"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Como ya se señaló en este Capítulo, el abaratamiento del petróleo y las variaciones de los tipos de cambio reales ocurridos en los últimos meses han propiciado la recuperación. Sin embargo, su impacto global en los desequilibrios mundiales de las </w:t>
      </w:r>
      <w:r w:rsidRPr="009B1CF2">
        <w:rPr>
          <w:rFonts w:eastAsia="Calibri"/>
          <w:sz w:val="26"/>
          <w:szCs w:val="26"/>
          <w:lang w:eastAsia="en-US"/>
        </w:rPr>
        <w:lastRenderedPageBreak/>
        <w:t xml:space="preserve">cuentas corrientes es desigual. Las fluctuaciones de los precios del petróleo y los tipos de cambio reales registradas en los últimos meses contribuyen al reequilibramiento de los países que se beneficiarían del fortalecimiento de la posición externa (como España), pero también tienden a afianzar los superávit de otros países de Europa con elevados superávit iniciales (como Alemania y los Países Bajos). Tanto en el caso de China como en el de Estados Unidos de Norteamérica, los movimientos del tipo de cambio debilitan el saldo en cuenta corriente, en tanto que el retroceso de los precios del petróleo lo fortalecen; las proyecciones muestran un ligero aumento del superávit chino y del déficit estadounidense. Globalmente, las proyecciones del informe WEO —que están basadas en tipos de cambio efectivos reales que se mantienen estables a los niveles vigentes a comienzos de 2015— apuntan a que los desequilibrios de la cuenta corriente como proporción del PIB mundial se mantendrán en general estables durante el próximo quinquenio (gráfica </w:t>
      </w:r>
      <w:r w:rsidRPr="009B1CF2">
        <w:rPr>
          <w:rFonts w:eastAsia="Calibri"/>
          <w:i/>
          <w:sz w:val="26"/>
          <w:szCs w:val="26"/>
          <w:lang w:eastAsia="en-US"/>
        </w:rPr>
        <w:t>Riesgos para las perspectivas mundiales, panel 2</w:t>
      </w:r>
      <w:r w:rsidRPr="009B1CF2">
        <w:rPr>
          <w:rFonts w:eastAsia="Calibri"/>
          <w:sz w:val="26"/>
          <w:szCs w:val="26"/>
          <w:lang w:eastAsia="en-US"/>
        </w:rPr>
        <w:t>).</w:t>
      </w:r>
    </w:p>
    <w:p w14:paraId="4A3FB6B9" w14:textId="77777777" w:rsidR="002B2982" w:rsidRDefault="002B2982" w:rsidP="009B1CF2">
      <w:pPr>
        <w:spacing w:after="360" w:line="360" w:lineRule="auto"/>
        <w:ind w:right="-159"/>
        <w:jc w:val="both"/>
        <w:rPr>
          <w:rFonts w:eastAsia="Calibri"/>
          <w:sz w:val="26"/>
          <w:szCs w:val="26"/>
          <w:lang w:eastAsia="en-US"/>
        </w:rPr>
      </w:pPr>
    </w:p>
    <w:p w14:paraId="0951BFE3" w14:textId="77777777" w:rsidR="002B2982" w:rsidRDefault="002B2982" w:rsidP="009B1CF2">
      <w:pPr>
        <w:spacing w:after="360" w:line="360" w:lineRule="auto"/>
        <w:ind w:right="-159"/>
        <w:jc w:val="both"/>
        <w:rPr>
          <w:rFonts w:eastAsia="Calibri"/>
          <w:sz w:val="26"/>
          <w:szCs w:val="26"/>
          <w:lang w:eastAsia="en-US"/>
        </w:rPr>
      </w:pPr>
    </w:p>
    <w:p w14:paraId="203B116D" w14:textId="77777777" w:rsidR="002B2982" w:rsidRDefault="002B2982" w:rsidP="009B1CF2">
      <w:pPr>
        <w:spacing w:after="360" w:line="360" w:lineRule="auto"/>
        <w:ind w:right="-159"/>
        <w:jc w:val="both"/>
        <w:rPr>
          <w:rFonts w:eastAsia="Calibri"/>
          <w:sz w:val="26"/>
          <w:szCs w:val="26"/>
          <w:lang w:eastAsia="en-US"/>
        </w:rPr>
      </w:pPr>
    </w:p>
    <w:p w14:paraId="151851A6" w14:textId="77777777" w:rsidR="002B2982" w:rsidRDefault="002B2982" w:rsidP="009B1CF2">
      <w:pPr>
        <w:spacing w:after="360" w:line="360" w:lineRule="auto"/>
        <w:ind w:right="-159"/>
        <w:jc w:val="both"/>
        <w:rPr>
          <w:rFonts w:eastAsia="Calibri"/>
          <w:sz w:val="26"/>
          <w:szCs w:val="26"/>
          <w:lang w:eastAsia="en-US"/>
        </w:rPr>
      </w:pPr>
    </w:p>
    <w:p w14:paraId="610118FB" w14:textId="77777777" w:rsidR="002B2982" w:rsidRDefault="002B2982" w:rsidP="009B1CF2">
      <w:pPr>
        <w:spacing w:after="360" w:line="360" w:lineRule="auto"/>
        <w:ind w:right="-159"/>
        <w:jc w:val="both"/>
        <w:rPr>
          <w:rFonts w:eastAsia="Calibri"/>
          <w:sz w:val="26"/>
          <w:szCs w:val="26"/>
          <w:lang w:eastAsia="en-US"/>
        </w:rPr>
      </w:pPr>
    </w:p>
    <w:p w14:paraId="0228408F" w14:textId="77777777" w:rsidR="002B2982" w:rsidRDefault="002B2982" w:rsidP="009B1CF2">
      <w:pPr>
        <w:spacing w:after="360" w:line="360" w:lineRule="auto"/>
        <w:ind w:right="-159"/>
        <w:jc w:val="both"/>
        <w:rPr>
          <w:rFonts w:eastAsia="Calibri"/>
          <w:sz w:val="26"/>
          <w:szCs w:val="26"/>
          <w:lang w:eastAsia="en-US"/>
        </w:rPr>
      </w:pPr>
    </w:p>
    <w:p w14:paraId="5D416C96" w14:textId="77777777" w:rsidR="002B2982" w:rsidRDefault="002B2982" w:rsidP="009B1CF2">
      <w:pPr>
        <w:spacing w:after="360" w:line="360" w:lineRule="auto"/>
        <w:ind w:right="-159"/>
        <w:jc w:val="both"/>
        <w:rPr>
          <w:rFonts w:eastAsia="Calibri"/>
          <w:sz w:val="26"/>
          <w:szCs w:val="26"/>
          <w:lang w:eastAsia="en-US"/>
        </w:rPr>
      </w:pPr>
    </w:p>
    <w:p w14:paraId="31EFB101" w14:textId="77777777" w:rsidR="002B2982" w:rsidRDefault="002B2982" w:rsidP="009B1CF2">
      <w:pPr>
        <w:spacing w:after="360" w:line="360" w:lineRule="auto"/>
        <w:ind w:right="-159"/>
        <w:jc w:val="both"/>
        <w:rPr>
          <w:rFonts w:eastAsia="Calibri"/>
          <w:sz w:val="26"/>
          <w:szCs w:val="26"/>
          <w:lang w:eastAsia="en-US"/>
        </w:rPr>
      </w:pPr>
    </w:p>
    <w:p w14:paraId="53663D2B" w14:textId="77777777" w:rsidR="002B2982" w:rsidRPr="009B1CF2" w:rsidRDefault="002B2982" w:rsidP="009B1CF2">
      <w:pPr>
        <w:spacing w:after="360" w:line="360" w:lineRule="auto"/>
        <w:ind w:right="-159"/>
        <w:jc w:val="both"/>
        <w:rPr>
          <w:rFonts w:eastAsia="Calibri"/>
          <w:sz w:val="26"/>
          <w:szCs w:val="26"/>
          <w:lang w:eastAsia="en-US"/>
        </w:rPr>
      </w:pPr>
    </w:p>
    <w:p w14:paraId="16C9206F" w14:textId="77777777" w:rsidR="009B1CF2" w:rsidRPr="002B2982" w:rsidRDefault="009B1CF2" w:rsidP="009B1CF2">
      <w:pPr>
        <w:ind w:left="1134" w:right="1134"/>
        <w:jc w:val="center"/>
        <w:rPr>
          <w:rFonts w:eastAsia="Calibri"/>
          <w:b/>
          <w:sz w:val="22"/>
          <w:szCs w:val="18"/>
          <w:lang w:eastAsia="en-US"/>
        </w:rPr>
      </w:pPr>
      <w:r w:rsidRPr="002B2982">
        <w:rPr>
          <w:rFonts w:eastAsia="Calibri"/>
          <w:b/>
          <w:sz w:val="22"/>
          <w:szCs w:val="18"/>
          <w:lang w:eastAsia="en-US"/>
        </w:rPr>
        <w:lastRenderedPageBreak/>
        <w:t>RIESGOS PARA LAS PERSPECTIVAS MUNDIALES</w:t>
      </w:r>
    </w:p>
    <w:p w14:paraId="3CEE0E60" w14:textId="284A6CE1" w:rsidR="009B1CF2" w:rsidRPr="002B2982" w:rsidRDefault="009B1CF2" w:rsidP="009B1CF2">
      <w:pPr>
        <w:ind w:left="1134" w:right="1134"/>
        <w:jc w:val="center"/>
        <w:rPr>
          <w:rFonts w:eastAsia="Calibri"/>
          <w:b/>
          <w:sz w:val="20"/>
          <w:szCs w:val="20"/>
          <w:lang w:eastAsia="en-US"/>
        </w:rPr>
      </w:pPr>
      <w:r w:rsidRPr="002B2982">
        <w:rPr>
          <w:rFonts w:eastAsia="Calibri"/>
          <w:b/>
          <w:sz w:val="20"/>
          <w:szCs w:val="20"/>
          <w:lang w:eastAsia="en-US"/>
        </w:rPr>
        <w:t>El gráfico de abanico, que indica el grado de incertidumbre en torno a las perspectivas de crecimiento mundial, sugiere que la distribución de los riesgos es más equilibrada que la presentada en la edición de octubre de 2014 del informe WEO. Sin embargo, el ancho del intervalo de confianza en torno a la trayectoria proyectada del crecimiento mundial ha aumentado por do</w:t>
      </w:r>
      <w:r w:rsidR="002B2982" w:rsidRPr="002B2982">
        <w:rPr>
          <w:rFonts w:eastAsia="Calibri"/>
          <w:b/>
          <w:sz w:val="20"/>
          <w:szCs w:val="20"/>
          <w:lang w:eastAsia="en-US"/>
        </w:rPr>
        <w:t>s</w:t>
      </w:r>
      <w:r w:rsidRPr="002B2982">
        <w:rPr>
          <w:rFonts w:eastAsia="Calibri"/>
          <w:b/>
          <w:sz w:val="20"/>
          <w:szCs w:val="20"/>
          <w:lang w:eastAsia="en-US"/>
        </w:rPr>
        <w:t xml:space="preserve"> razones principales: mayor incertidumbre en el pronóstico de base debido a que el horizonte de previsión para este año y el próximo es más largo que el de octubre, y mayor incertidumbre en cuanto a los riesgos vinculados a los precios del petróleo y, en menor medida, a la inflación</w:t>
      </w:r>
    </w:p>
    <w:tbl>
      <w:tblPr>
        <w:tblW w:w="0" w:type="auto"/>
        <w:tblLook w:val="04A0" w:firstRow="1" w:lastRow="0" w:firstColumn="1" w:lastColumn="0" w:noHBand="0" w:noVBand="1"/>
      </w:tblPr>
      <w:tblGrid>
        <w:gridCol w:w="8828"/>
      </w:tblGrid>
      <w:tr w:rsidR="009B1CF2" w:rsidRPr="009B1CF2" w14:paraId="72B36717" w14:textId="77777777" w:rsidTr="008B3DA6">
        <w:tc>
          <w:tcPr>
            <w:tcW w:w="8828" w:type="dxa"/>
          </w:tcPr>
          <w:p w14:paraId="13AA60BB"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MONETARIO.pptx!312"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4FD52C3" wp14:editId="4CFD2D7F">
                  <wp:extent cx="3707681" cy="2462784"/>
                  <wp:effectExtent l="0" t="0" r="7620" b="0"/>
                  <wp:docPr id="1846" name="Imagen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6873" t="4203" r="18723"/>
                          <a:stretch/>
                        </pic:blipFill>
                        <pic:spPr bwMode="auto">
                          <a:xfrm>
                            <a:off x="0" y="0"/>
                            <a:ext cx="3720480" cy="2471286"/>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0A4D8FF9"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MONETARIO.pptx!313"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4B5EE7BC" wp14:editId="4BE036C4">
                  <wp:extent cx="3589655" cy="1170432"/>
                  <wp:effectExtent l="0" t="0" r="0" b="0"/>
                  <wp:docPr id="1847" name="Imagen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
                          <pic:cNvPicPr>
                            <a:picLocks noChangeAspect="1" noChangeArrowheads="1"/>
                          </pic:cNvPicPr>
                        </pic:nvPicPr>
                        <pic:blipFill>
                          <a:blip r:embed="rId51" cstate="print">
                            <a:extLst>
                              <a:ext uri="{28A0092B-C50C-407E-A947-70E740481C1C}">
                                <a14:useLocalDpi xmlns:a14="http://schemas.microsoft.com/office/drawing/2010/main" val="0"/>
                              </a:ext>
                            </a:extLst>
                          </a:blip>
                          <a:srcRect l="18294" r="19861" b="52643"/>
                          <a:stretch>
                            <a:fillRect/>
                          </a:stretch>
                        </pic:blipFill>
                        <pic:spPr bwMode="auto">
                          <a:xfrm>
                            <a:off x="0" y="0"/>
                            <a:ext cx="3596244" cy="117258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5C98F31C"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MONETARIO.pptx!314"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26140717" wp14:editId="6960B28D">
                  <wp:extent cx="4622800" cy="3149600"/>
                  <wp:effectExtent l="0" t="0" r="6350" b="0"/>
                  <wp:docPr id="1848" name="Imagen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52" cstate="print">
                            <a:extLst>
                              <a:ext uri="{28A0092B-C50C-407E-A947-70E740481C1C}">
                                <a14:useLocalDpi xmlns:a14="http://schemas.microsoft.com/office/drawing/2010/main" val="0"/>
                              </a:ext>
                            </a:extLst>
                          </a:blip>
                          <a:srcRect l="12341" t="5785" r="11621" b="2522"/>
                          <a:stretch>
                            <a:fillRect/>
                          </a:stretch>
                        </pic:blipFill>
                        <pic:spPr bwMode="auto">
                          <a:xfrm>
                            <a:off x="0" y="0"/>
                            <a:ext cx="4622800" cy="314960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tc>
      </w:tr>
    </w:tbl>
    <w:p w14:paraId="38DDCC14"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lastRenderedPageBreak/>
        <w:t xml:space="preserve">Riesgos </w:t>
      </w:r>
    </w:p>
    <w:p w14:paraId="2FEAE8B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distribución de los riesgos para el crecimiento mundial está más equilibrada que la presentada en la edición de octubre de 2014 del informe WEO, pero sigue inclinándose a la baja. La posibilidad de que la caída de los precios del petróleo infunda un estímulo mayor a la demanda constituye un importante riesgo al alza. Y los riesgos a la baja se han suavizado dada una trayectoria de base más baja para el crecimiento de las economías de mercados emergentes. En particular, tras una serie de revisiones a la baja de los pronósticos de crecimiento de base, han disminuido los riesgos de una desaceleración más profunda en China y de un crecimiento del producto potencial aun menor en las economías de mercados emergentes. Los riesgos a la baja más destacados que menciona la edición de octubre de 2014 del informe WEO siguen siendo relevantes e incluyen riesgos geopolíticos, desplazamientos de los precios de los activos que trastornen los mercados financieros, y riesgos de estancamiento y baja inflación en las economías avanzadas. </w:t>
      </w:r>
    </w:p>
    <w:p w14:paraId="61EF93D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petróleo también es fuente de nuevos riesgos a la baja porque los precios podrían subir más rápido de lo previsto. Análogamente, la reciente realineación de los tipos de cambio ayuda a estimular la demanda en las economías que han sufrido una retracción de la actividad; sin embargo, si el dólar continúa apreciándose, habrá riesgos vinculados a los balances y al financiamiento, especialmente en las economías de mercados emergentes. </w:t>
      </w:r>
    </w:p>
    <w:p w14:paraId="3F06AE1D"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Pronóstico del PIB mundial </w:t>
      </w:r>
    </w:p>
    <w:p w14:paraId="7E526BAB"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gráfica de abanico del pronóstico del PIB mundial sugiere un intervalo de confianza más bien simétrico en torno a la trayectoria proyectada del crecimiento mundial (gráfica </w:t>
      </w:r>
      <w:r w:rsidRPr="009B1CF2">
        <w:rPr>
          <w:rFonts w:eastAsia="Calibri"/>
          <w:i/>
          <w:sz w:val="26"/>
          <w:szCs w:val="26"/>
          <w:lang w:eastAsia="en-US"/>
        </w:rPr>
        <w:t>Riesgos para las perspectivas mundiales panel 1</w:t>
      </w:r>
      <w:r w:rsidRPr="009B1CF2">
        <w:rPr>
          <w:rFonts w:eastAsia="Calibri"/>
          <w:sz w:val="26"/>
          <w:szCs w:val="26"/>
          <w:lang w:eastAsia="en-US"/>
        </w:rPr>
        <w:t xml:space="preserve">), lo cual concuerda con la opinión de que los riesgos están más equilibrados. Sin embargo, el intervalo es más ancho que en la edición de octubre del informe WEO. Esto significa que la probabilidad de un </w:t>
      </w:r>
      <w:r w:rsidRPr="009B1CF2">
        <w:rPr>
          <w:rFonts w:eastAsia="Calibri"/>
          <w:sz w:val="26"/>
          <w:szCs w:val="26"/>
          <w:lang w:eastAsia="en-US"/>
        </w:rPr>
        <w:lastRenderedPageBreak/>
        <w:t xml:space="preserve">crecimiento sustancialmente mayor o una recesión mundial es más alta que en octubre. Dos factores explican esta mayor incertidumbre implícita en torno al pronóstico, tanto al alza como a la baja: </w:t>
      </w:r>
    </w:p>
    <w:p w14:paraId="3AF976DB" w14:textId="77777777" w:rsidR="009B1CF2" w:rsidRPr="009B1CF2" w:rsidRDefault="009B1CF2" w:rsidP="003518F4">
      <w:pPr>
        <w:numPr>
          <w:ilvl w:val="1"/>
          <w:numId w:val="153"/>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Primero, la incertidumbre del pronóstico de base ha aumentado porque el horizonte de previsión para este año y el próximo es más largo que en octubre, cuando ya se contaba con más datos que influían en los resultados del año en curso y del año siguiente</w:t>
      </w:r>
      <w:r w:rsidRPr="009B1CF2">
        <w:rPr>
          <w:rFonts w:eastAsia="Calibri"/>
          <w:sz w:val="26"/>
          <w:szCs w:val="26"/>
          <w:vertAlign w:val="superscript"/>
          <w:lang w:eastAsia="en-US"/>
        </w:rPr>
        <w:footnoteReference w:id="6"/>
      </w:r>
      <w:r w:rsidRPr="009B1CF2">
        <w:rPr>
          <w:rFonts w:eastAsia="Calibri"/>
          <w:sz w:val="26"/>
          <w:szCs w:val="26"/>
          <w:lang w:eastAsia="en-US"/>
        </w:rPr>
        <w:t xml:space="preserve">.  </w:t>
      </w:r>
    </w:p>
    <w:p w14:paraId="0F519397" w14:textId="77777777" w:rsidR="009B1CF2" w:rsidRPr="009B1CF2" w:rsidRDefault="009B1CF2" w:rsidP="002B2982">
      <w:pPr>
        <w:numPr>
          <w:ilvl w:val="1"/>
          <w:numId w:val="153"/>
        </w:numPr>
        <w:spacing w:after="360" w:line="420" w:lineRule="exact"/>
        <w:ind w:left="714" w:right="-159" w:hanging="357"/>
        <w:jc w:val="both"/>
        <w:rPr>
          <w:rFonts w:eastAsia="Calibri"/>
          <w:sz w:val="26"/>
          <w:szCs w:val="26"/>
          <w:lang w:eastAsia="en-US"/>
        </w:rPr>
      </w:pPr>
      <w:r w:rsidRPr="009B1CF2">
        <w:rPr>
          <w:rFonts w:eastAsia="Calibri"/>
          <w:sz w:val="26"/>
          <w:szCs w:val="26"/>
          <w:lang w:eastAsia="en-US"/>
        </w:rPr>
        <w:t xml:space="preserve">Segundo, los indicadores de base de los riesgos vinculados a los precios del petróleo y, en menor medida, a la inflación llevan a pensar en una agudización de la incertidumbre. En el caso de ambas variables, ha aumentado la dispersión de los pronósticos publicados por </w:t>
      </w:r>
      <w:r w:rsidRPr="009B1CF2">
        <w:rPr>
          <w:rFonts w:eastAsia="Calibri"/>
          <w:i/>
          <w:sz w:val="26"/>
          <w:szCs w:val="26"/>
          <w:lang w:eastAsia="en-US"/>
        </w:rPr>
        <w:t>Consensus Economics</w:t>
      </w:r>
      <w:r w:rsidRPr="009B1CF2">
        <w:rPr>
          <w:rFonts w:eastAsia="Calibri"/>
          <w:sz w:val="26"/>
          <w:szCs w:val="26"/>
          <w:lang w:eastAsia="en-US"/>
        </w:rPr>
        <w:t xml:space="preserve"> (gráfica </w:t>
      </w:r>
      <w:r w:rsidRPr="009B1CF2">
        <w:rPr>
          <w:rFonts w:eastAsia="Calibri"/>
          <w:i/>
          <w:sz w:val="26"/>
          <w:szCs w:val="26"/>
          <w:lang w:eastAsia="en-US"/>
        </w:rPr>
        <w:t>Riesgos para las perspectivas mundiales, panel 4</w:t>
      </w:r>
      <w:r w:rsidRPr="009B1CF2">
        <w:rPr>
          <w:rFonts w:eastAsia="Calibri"/>
          <w:sz w:val="26"/>
          <w:szCs w:val="26"/>
          <w:lang w:eastAsia="en-US"/>
        </w:rPr>
        <w:t xml:space="preserve">). En el caso de los precios del petróleo, la volatilidad implícita de las opciones de futuros sobre petróleo también se ha acentuado (gráfica </w:t>
      </w:r>
      <w:r w:rsidRPr="009B1CF2">
        <w:rPr>
          <w:rFonts w:eastAsia="Calibri"/>
          <w:i/>
          <w:sz w:val="26"/>
          <w:szCs w:val="26"/>
          <w:lang w:eastAsia="en-US"/>
        </w:rPr>
        <w:t>Riesgos para las perspectivas mundiales, panel 4</w:t>
      </w:r>
      <w:r w:rsidRPr="009B1CF2">
        <w:rPr>
          <w:rFonts w:eastAsia="Calibri"/>
          <w:sz w:val="26"/>
          <w:szCs w:val="26"/>
          <w:lang w:eastAsia="en-US"/>
        </w:rPr>
        <w:t xml:space="preserve">), lo que revela una divergencia mayor de las opiniones sobre las perspectivas de base, obviamente afectadas por sorpresas sustanciales en ambas variables durante el último año. </w:t>
      </w:r>
    </w:p>
    <w:p w14:paraId="4797CE23" w14:textId="77777777" w:rsidR="009B1CF2" w:rsidRPr="009B1CF2" w:rsidRDefault="009B1CF2" w:rsidP="002B2982">
      <w:pPr>
        <w:spacing w:after="360" w:line="420" w:lineRule="exact"/>
        <w:ind w:right="-159"/>
        <w:jc w:val="both"/>
        <w:rPr>
          <w:rFonts w:eastAsia="Calibri"/>
          <w:sz w:val="26"/>
          <w:szCs w:val="26"/>
          <w:lang w:eastAsia="en-US"/>
        </w:rPr>
      </w:pPr>
      <w:r w:rsidRPr="009B1CF2">
        <w:rPr>
          <w:rFonts w:eastAsia="Calibri"/>
          <w:sz w:val="26"/>
          <w:szCs w:val="26"/>
          <w:lang w:eastAsia="en-US"/>
        </w:rPr>
        <w:t xml:space="preserve">Esta mayor divergencia de opiniones sobre las variables críticas que podrían afectar a los datos de crecimiento no implica necesariamente errores de pronóstico más serios en las proyecciones de base del informe WEO en el período venidero. De hecho, las simulaciones realizadas con el Modelo de Proyección Mundial del FMI, que analizan los </w:t>
      </w:r>
      <w:r w:rsidRPr="009B1CF2">
        <w:rPr>
          <w:rFonts w:eastAsia="Calibri"/>
          <w:i/>
          <w:sz w:val="26"/>
          <w:szCs w:val="26"/>
          <w:lang w:eastAsia="en-US"/>
        </w:rPr>
        <w:t>shocks</w:t>
      </w:r>
      <w:r w:rsidRPr="009B1CF2">
        <w:rPr>
          <w:rFonts w:eastAsia="Calibri"/>
          <w:sz w:val="26"/>
          <w:szCs w:val="26"/>
          <w:lang w:eastAsia="en-US"/>
        </w:rPr>
        <w:t xml:space="preserve"> ocurridos en un período más largo, sugieren que la probabilidad de recesión de las grandes economías avanzadas en un horizonte de cuatro trimestres es menor que en octubre de 2014 (gráfica </w:t>
      </w:r>
      <w:r w:rsidRPr="009B1CF2">
        <w:rPr>
          <w:rFonts w:eastAsia="Calibri"/>
          <w:i/>
          <w:sz w:val="26"/>
          <w:szCs w:val="26"/>
          <w:lang w:eastAsia="en-US"/>
        </w:rPr>
        <w:t>Recesión y riesgo de deflación</w:t>
      </w:r>
      <w:r w:rsidRPr="009B1CF2">
        <w:rPr>
          <w:rFonts w:eastAsia="Calibri"/>
          <w:sz w:val="26"/>
          <w:szCs w:val="26"/>
          <w:lang w:eastAsia="en-US"/>
        </w:rPr>
        <w:t xml:space="preserve">). Sin embargo, el riesgo de </w:t>
      </w:r>
      <w:r w:rsidRPr="009B1CF2">
        <w:rPr>
          <w:rFonts w:eastAsia="Calibri"/>
          <w:sz w:val="26"/>
          <w:szCs w:val="26"/>
          <w:lang w:eastAsia="en-US"/>
        </w:rPr>
        <w:lastRenderedPageBreak/>
        <w:t xml:space="preserve">recesión es más alto en América Latina y en el grupo “otros países”, ya que las condiciones iniciales para los pronósticos eran menos favorables. </w:t>
      </w:r>
    </w:p>
    <w:p w14:paraId="2E5ACA51" w14:textId="77777777" w:rsidR="009B1CF2" w:rsidRPr="009B1CF2" w:rsidRDefault="009B1CF2" w:rsidP="009B1CF2">
      <w:pPr>
        <w:autoSpaceDE w:val="0"/>
        <w:autoSpaceDN w:val="0"/>
        <w:adjustRightInd w:val="0"/>
        <w:ind w:left="1134" w:right="1134"/>
        <w:jc w:val="center"/>
        <w:rPr>
          <w:rFonts w:eastAsia="Calibri"/>
          <w:b/>
          <w:sz w:val="20"/>
          <w:szCs w:val="20"/>
          <w:lang w:eastAsia="en-US"/>
        </w:rPr>
      </w:pPr>
      <w:r w:rsidRPr="009B1CF2">
        <w:rPr>
          <w:rFonts w:eastAsia="Calibri"/>
          <w:b/>
          <w:sz w:val="20"/>
          <w:szCs w:val="20"/>
          <w:lang w:eastAsia="en-US"/>
        </w:rPr>
        <w:t>RECESIÓN Y RIESGOS DE DEFLACIÓN</w:t>
      </w:r>
    </w:p>
    <w:p w14:paraId="6C105213" w14:textId="77777777" w:rsidR="009B1CF2" w:rsidRPr="009B1CF2" w:rsidRDefault="009B1CF2" w:rsidP="009B1CF2">
      <w:pPr>
        <w:autoSpaceDE w:val="0"/>
        <w:autoSpaceDN w:val="0"/>
        <w:adjustRightInd w:val="0"/>
        <w:ind w:left="1134" w:right="1134"/>
        <w:jc w:val="center"/>
        <w:rPr>
          <w:rFonts w:eastAsia="Calibri"/>
          <w:b/>
          <w:sz w:val="20"/>
          <w:szCs w:val="20"/>
          <w:lang w:eastAsia="en-US"/>
        </w:rPr>
      </w:pPr>
      <w:r w:rsidRPr="009B1CF2">
        <w:rPr>
          <w:rFonts w:eastAsia="Calibri"/>
          <w:b/>
          <w:sz w:val="20"/>
          <w:szCs w:val="20"/>
          <w:lang w:eastAsia="en-US"/>
        </w:rPr>
        <w:t>El Modelo de Proyección Mundial elaborado por el personal técnico del FMI apunta a una disminución de la probabilidad de recesión en muchas de las grandes economías y regiones con un horizonte de cuatro trimestres, en comparación con la edición de octubre de 2014 del informe WEO. La disminución refleja en gran medida puntos de partida del crecimiento más sólidos. Sin embargo, la probabilidad de recesión subió en América Latina y el resto del mundo. Los riesgos de deflación</w:t>
      </w:r>
    </w:p>
    <w:p w14:paraId="49299C23" w14:textId="77777777" w:rsidR="009B1CF2" w:rsidRPr="009B1CF2" w:rsidRDefault="009B1CF2" w:rsidP="009B1CF2">
      <w:pPr>
        <w:autoSpaceDE w:val="0"/>
        <w:autoSpaceDN w:val="0"/>
        <w:adjustRightInd w:val="0"/>
        <w:ind w:left="1247" w:right="1247"/>
        <w:jc w:val="center"/>
        <w:rPr>
          <w:rFonts w:eastAsia="Calibri"/>
          <w:b/>
          <w:sz w:val="20"/>
          <w:szCs w:val="20"/>
          <w:lang w:eastAsia="en-US"/>
        </w:rPr>
      </w:pPr>
      <w:r w:rsidRPr="009B1CF2">
        <w:rPr>
          <w:rFonts w:eastAsia="Calibri"/>
          <w:b/>
          <w:sz w:val="20"/>
          <w:szCs w:val="20"/>
          <w:lang w:eastAsia="en-US"/>
        </w:rPr>
        <w:t>son un motivo de inquietud principalmente para la zona del euro, donde las probabilidades aún son elevadas, aunque han experimentado cierta disminución. En otras economías y regiones, son muy inferiores a 10 por ciento</w:t>
      </w:r>
    </w:p>
    <w:tbl>
      <w:tblPr>
        <w:tblW w:w="0" w:type="auto"/>
        <w:tblLook w:val="04A0" w:firstRow="1" w:lastRow="0" w:firstColumn="1" w:lastColumn="0" w:noHBand="0" w:noVBand="1"/>
      </w:tblPr>
      <w:tblGrid>
        <w:gridCol w:w="8828"/>
      </w:tblGrid>
      <w:tr w:rsidR="009B1CF2" w:rsidRPr="009B1CF2" w14:paraId="32FCB7D5" w14:textId="77777777" w:rsidTr="008B3DA6">
        <w:tc>
          <w:tcPr>
            <w:tcW w:w="8828" w:type="dxa"/>
          </w:tcPr>
          <w:p w14:paraId="5C57C0A8"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MONETARIO.pptx!308"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3DAECA14" wp14:editId="64E0F10A">
                  <wp:extent cx="4385029" cy="2353056"/>
                  <wp:effectExtent l="0" t="0" r="0" b="9525"/>
                  <wp:docPr id="1849" name="Imagen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5746" t="5232" r="12196" b="20396"/>
                          <a:stretch/>
                        </pic:blipFill>
                        <pic:spPr bwMode="auto">
                          <a:xfrm>
                            <a:off x="0" y="0"/>
                            <a:ext cx="4388747" cy="2355051"/>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2D86D3FC"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MONETARIO.pptx!315"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6A14C6C" wp14:editId="52FA840B">
                  <wp:extent cx="4385945" cy="2267712"/>
                  <wp:effectExtent l="0" t="0" r="0" b="0"/>
                  <wp:docPr id="1850" name="Imagen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54" cstate="print">
                            <a:extLst>
                              <a:ext uri="{28A0092B-C50C-407E-A947-70E740481C1C}">
                                <a14:useLocalDpi xmlns:a14="http://schemas.microsoft.com/office/drawing/2010/main" val="0"/>
                              </a:ext>
                            </a:extLst>
                          </a:blip>
                          <a:srcRect l="15744" r="12207" b="24179"/>
                          <a:stretch>
                            <a:fillRect/>
                          </a:stretch>
                        </pic:blipFill>
                        <pic:spPr bwMode="auto">
                          <a:xfrm>
                            <a:off x="0" y="0"/>
                            <a:ext cx="4388624" cy="2269097"/>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287F340E"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MONETARIO.pptx!316"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34B4F8FE" wp14:editId="1DC0EA5D">
                  <wp:extent cx="4487545" cy="1016000"/>
                  <wp:effectExtent l="0" t="0" r="8255" b="0"/>
                  <wp:docPr id="1851" name="Imagen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55" cstate="print">
                            <a:extLst>
                              <a:ext uri="{28A0092B-C50C-407E-A947-70E740481C1C}">
                                <a14:useLocalDpi xmlns:a14="http://schemas.microsoft.com/office/drawing/2010/main" val="0"/>
                              </a:ext>
                            </a:extLst>
                          </a:blip>
                          <a:srcRect l="10213" t="3783" r="16028" b="66753"/>
                          <a:stretch>
                            <a:fillRect/>
                          </a:stretch>
                        </pic:blipFill>
                        <pic:spPr bwMode="auto">
                          <a:xfrm>
                            <a:off x="0" y="0"/>
                            <a:ext cx="4487545" cy="101600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tc>
      </w:tr>
    </w:tbl>
    <w:p w14:paraId="40B39D55"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lastRenderedPageBreak/>
        <w:t xml:space="preserve">Riesgos inmediatos y a corto plazo  </w:t>
      </w:r>
    </w:p>
    <w:p w14:paraId="45A79215"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Precios bajos del petróleo: Los precios del petróleo presentan un riesgo mixto. Uno tiene que ver con su trayectoria, que plantea riesgos a la baja para el crecimiento mundial. El otro tiene que ver con el impacto de la variación de los precios del petróleo en el crecimiento según el pronóstico de base, que ofrece riesgos al alza.   </w:t>
      </w:r>
    </w:p>
    <w:p w14:paraId="489BFF0D" w14:textId="77777777" w:rsidR="009B1CF2" w:rsidRPr="009B1CF2" w:rsidRDefault="009B1CF2" w:rsidP="003518F4">
      <w:pPr>
        <w:numPr>
          <w:ilvl w:val="1"/>
          <w:numId w:val="152"/>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Del lado positivo, el impacto que tendría en la demanda interna un avance sustancial del ingreso real gracias al inesperado abaratamiento del petróleo podría ser más fuerte de lo que contempla actualmente el pronóstico de base (véase el recuadro de escenario 1). Las previsiones son relativamente conservadoras, y para una serie de grandes mercados emergentes importadores de petróleo suponen un traslado limitado a usuarios finales internos y un mayor nivel de ahorro público o del sector público. Pero estos ahorros podrían ser inferiores a lo que suponen los pronósticos si los gobiernos utilizaran estos ingresos inesperados para financiar otras reformas, como un aumento del gasto en infraestructura, por ejemplo.  </w:t>
      </w:r>
    </w:p>
    <w:p w14:paraId="2394843E" w14:textId="77777777" w:rsidR="009B1CF2" w:rsidRPr="009B1CF2" w:rsidRDefault="009B1CF2" w:rsidP="003518F4">
      <w:pPr>
        <w:numPr>
          <w:ilvl w:val="1"/>
          <w:numId w:val="152"/>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Del lado negativo, los precios del petróleo podrían repuntar más rápido de lo previsto por al menos dos razones (ajenas a un repunte más vigoroso de la demanda mundial, que respaldaría el crecimiento mundial). La primera es una corrección de la exagerada reacción del mercado, a medida que los agentes decidan que la trayectoria del precio reflejada en este momento en los contratos de futuros es demasiado baja teniendo en cuenta las previsiones de oferta y demanda. La segunda es una respuesta negativa más fuerte de la oferta a la caída de los precios, que reduciría y acortaría el estímulo a la demanda mundial.  </w:t>
      </w:r>
    </w:p>
    <w:p w14:paraId="13A2154B"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Desplazamientos desestabilizadores de los precios de los activos y turbulencia en los mercados financieros: Siguen siendo riesgos a la baja, como lo expone la edición de abril de 2015 del informe GFSR, y dos razones los sustentan. Primero, las primas por </w:t>
      </w:r>
      <w:r w:rsidRPr="009B1CF2">
        <w:rPr>
          <w:rFonts w:eastAsia="Calibri"/>
          <w:sz w:val="26"/>
          <w:szCs w:val="26"/>
          <w:lang w:eastAsia="en-US"/>
        </w:rPr>
        <w:lastRenderedPageBreak/>
        <w:t xml:space="preserve">plazo y las primas por riesgo de los mercados de bonos aún son muy bajas (véase el análisis anterior de las bajas tasas de interés a largo plazo). Al mismo tiempo, aunque es ligeramente mayor que hace seis meses, la volatilidad de los mercados financieros también ha sido baja en términos históricos. Segundo, se prevé que el contexto en el que está ocurriendo esta configuración de los precios de los activos —en particular, la orientación sumamente acomodaticia de las políticas monetarias de las grandes economías avanzadas— comience a cambiar en 2015. Si se producen novedades que alteren las expectativas en torno a estas líneas de falla y, a nivel más amplio, recomposiciones inesperadas de las carteras, podrían producirse turbulencias, ya que cambiarían los riesgos y los rendimientos relativos. Un ejemplo típico es el inesperado levantamiento del piso cambiario franco suizo–euro anunciado por el Banco Nacional de Suiza.  </w:t>
      </w:r>
    </w:p>
    <w:p w14:paraId="4C179EC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Una inquietud particular en este sentido es la posibilidad de sorpresas en cuanto al primer aumento de las tasas de interés de Estados Unidos de Norteamérica tras un largo período de fuerte distensión de la política monetaria. Las expectativas de los mercados en torno al ritmo al que irá subiendo la tasa de interés estadounidense (medidas según las tasas implícitas de los contratos de futuros sobre fondos federales) apuntan a un ritmo de normalización mucho más lento que el del pronóstico mediano de las tasas de interés realizado por los miembros del Comité Federal de Mercados Abiertos, a pesar de que los pronósticos del mercado sobre el crecimiento económico parecen coincidir en términos generales con los de los miembros del Comité. </w:t>
      </w:r>
    </w:p>
    <w:p w14:paraId="41326160"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economías de mercados emergentes se encuentran particularmente expuestas: podrían verse enfrentadas a una reversión de los flujos de capital, especialmente si las tasas de interés a largo plazo de Estados Unidos de Norteamérica aumentan con rapidez, como ocurrió en mayo–agosto de 2013. Dada la violenta caída de los precios del petróleo, los países que lo exportan son ahora más vulnerables a estos riesgos, teniendo </w:t>
      </w:r>
      <w:r w:rsidRPr="009B1CF2">
        <w:rPr>
          <w:rFonts w:eastAsia="Calibri"/>
          <w:sz w:val="26"/>
          <w:szCs w:val="26"/>
          <w:lang w:eastAsia="en-US"/>
        </w:rPr>
        <w:lastRenderedPageBreak/>
        <w:t xml:space="preserve">en cuenta su mayor grado de vulnerabilidad externa y en los balances, en tanto que muchos importadores de petróleo están más protegidos. </w:t>
      </w:r>
    </w:p>
    <w:p w14:paraId="44CE851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Además, podría resurgir la tensión financiera en la zona del euro atribuible a la incertidumbre en torno a las políticas concernientes a Grecia o a la turbulencia en la zona del euro, y podrían volver a intensificarse los lazos entre bancos y entidades soberanas y la economía real.  </w:t>
      </w:r>
    </w:p>
    <w:p w14:paraId="41D51F7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Un nuevo fortalecimiento sustancial del dólar estadounidense: Esto también representa un riesgo. Como ya se señaló, la reciente apreciación del dólar refleja en gran medida un cambio de los fundamentos y las políticas económicas, que incluye la fortaleza relativa de la demanda interna, la divergencia prevista entre las políticas monetarias de las grandes economías avanzadas y la evolución de las posiciones externas debido a la caída de los precios del petróleo. La apreciación del dólar estadounidense frente a la mayoría de las monedas podría continuar y causar un giro duradero al alza de la moneda, como ha ocurrido en otras ocasiones. Si se concretara este riesgo, las tensiones a las que se verían sometidos los deudores en dólares en términos de sus balances y su financiamiento podrían neutralizar por lejos los beneficios comerciales que encierra una depreciación real para algunas economías. Esta inquietud es particularmente relevante para las economías de mercados emergentes con una estrecha integración financiera internacional, en las cuales —como lo explica la edición de abril de 2015 del informe GFSR— la deuda de las empresas en moneda extranjera ha aumentado sustancialmente en los últimos años. Una parte importante de ese aumento ha ocurrido en el sector energético, cuyos ingresos están denominados en gran medida en dólares de Estados Unidos de Norteamérica, lo que implica una cobertura natural contra la depreciación (pero no contra la caída de los precios de la energía en dólares). Pero la deuda en moneda extranjera también ha subido en empresas que operan en otros sectores, algunas de las cuales —especialmente las que trabajan en los sectores de bienes no transables— no tienen una cobertura natural en términos de ingresos. El </w:t>
      </w:r>
      <w:r w:rsidRPr="009B1CF2">
        <w:rPr>
          <w:rFonts w:eastAsia="Calibri"/>
          <w:i/>
          <w:sz w:val="26"/>
          <w:szCs w:val="26"/>
          <w:lang w:eastAsia="en-US"/>
        </w:rPr>
        <w:t>shock</w:t>
      </w:r>
      <w:r w:rsidRPr="009B1CF2">
        <w:rPr>
          <w:rFonts w:eastAsia="Calibri"/>
          <w:sz w:val="26"/>
          <w:szCs w:val="26"/>
          <w:lang w:eastAsia="en-US"/>
        </w:rPr>
        <w:t xml:space="preserve"> que propinó la brusca </w:t>
      </w:r>
      <w:r w:rsidRPr="009B1CF2">
        <w:rPr>
          <w:rFonts w:eastAsia="Calibri"/>
          <w:sz w:val="26"/>
          <w:szCs w:val="26"/>
          <w:lang w:eastAsia="en-US"/>
        </w:rPr>
        <w:lastRenderedPageBreak/>
        <w:t xml:space="preserve">escalada de la apreciación del franco suizo a los balances de algunos países de Europa central y oriental con importantes préstamos hipotecarios internos denominados en esa moneda pone de relieve la naturaleza de estos riesgos. </w:t>
      </w:r>
    </w:p>
    <w:p w14:paraId="282617F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Un período prolongado de baja inflación o de deflación: El impacto que podría tener un dilatado período de baja inflación o de deflación propiamente dicha en la actividad de las economías avanzadas con una elevada deuda pública o privada sigue siendo un importante motivo de preocupación. La caída de los precios del petróleo ha arrastrado a la baja el nivel general de inflación, acentuando la diferencia respecto de la meta fijada por muchas economías avanzadas. Como lo señalan otras ediciones del informe WEO, el problema radica en el hecho de que las metas no se alcanzan desde hace mucho tiempo sumado al hecho de que la política monetaria se encuentra al límite inferior cero de las tasas de interés nominales</w:t>
      </w:r>
      <w:r w:rsidRPr="009B1CF2">
        <w:rPr>
          <w:rFonts w:eastAsia="Calibri"/>
          <w:sz w:val="26"/>
          <w:szCs w:val="26"/>
          <w:vertAlign w:val="superscript"/>
          <w:lang w:eastAsia="en-US"/>
        </w:rPr>
        <w:footnoteReference w:id="7"/>
      </w:r>
      <w:r w:rsidRPr="009B1CF2">
        <w:rPr>
          <w:rFonts w:eastAsia="Calibri"/>
          <w:sz w:val="26"/>
          <w:szCs w:val="26"/>
          <w:lang w:eastAsia="en-US"/>
        </w:rPr>
        <w:t xml:space="preserve">. Si esa diferencia respecto de las metas pone en marcha un descenso de las expectativas inflacionarias a mediano plazo, las tasas de interés reales a más largo plazo comenzarían a subir, dañando la recuperación y, posiblemente, exacerbando los problemas de sobreendeudamiento. </w:t>
      </w:r>
    </w:p>
    <w:p w14:paraId="587132F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este sentido, la disminución de algunos de los indicadores de estas expectativas en el segundo semestre de 2014 (por ejemplo, la tasa implícita en los canjes de inflación quinquenal en cinco años) es un motivo de preocupación, a pesar de que estos indicadores se estabilizaron este año. Asimismo, una inflación persistentemente baja en la zona del euro tendría efectos de contagio a una serie de países europeos más pequeños cuyas monedas están estrechamente ligadas al euro. </w:t>
      </w:r>
    </w:p>
    <w:p w14:paraId="09BE2E3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Sin embargo, en principio, dos factores deberían despejar estas inquietudes. Primero, en la medida en que un nuevo descenso de la inflación (o una disminución de los niveles de precios) refleje principalmente la caída de los precios del petróleo, el efecto en la </w:t>
      </w:r>
      <w:r w:rsidRPr="009B1CF2">
        <w:rPr>
          <w:rFonts w:eastAsia="Calibri"/>
          <w:sz w:val="26"/>
          <w:szCs w:val="26"/>
          <w:lang w:eastAsia="en-US"/>
        </w:rPr>
        <w:lastRenderedPageBreak/>
        <w:t xml:space="preserve">inflación (el efecto en el nivel de precios) debería ser pasajero, a menos que los efectos de segunda ronda, que a juzgar por el reciente auge de los precios de las materias primas deberían ser pequeños, resulten ser considerables. Segundo, en los importadores de petróleo, los efectos de los precios del petróleo en la inflación tienden a ser especialmente marcados en los precios al consumidor dado el peso sustancial que tiene en ellos la importación de energía, y son mucho más leves en el precio del valor agregado interno medido según el deflactor del PIB, ya que este incluye solo los efectos de segunda ronda en los salarios y otros factores internos. Como el deflactor del PIB es el indicador de precios más pertinente para las tasas de interés reales de las empresas (y obviamente el indicador pertinente para la relación deuda pública/PIB), el impacto potencialmente negativo de la caída de los precios del petróleo en los coeficientes de deuda debería ser menor.  </w:t>
      </w:r>
    </w:p>
    <w:p w14:paraId="7E629D2A" w14:textId="77777777" w:rsidR="002B298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De acuerdo con las probabilidades de deflación que revela el Modelo de Proyección Mundial del FMI, los riesgos de deflación —definidos como una disminución del nivel de precios en un período de cuatro trimestres— durante el período que va desde el tercer trimestre de 2015 hasta el segundo trimestre de 2016 son un motivo de preocupación más que nada para la zona del euro (gráfica </w:t>
      </w:r>
      <w:r w:rsidRPr="009B1CF2">
        <w:rPr>
          <w:rFonts w:eastAsia="Calibri"/>
          <w:i/>
          <w:sz w:val="26"/>
          <w:szCs w:val="26"/>
          <w:lang w:eastAsia="en-US"/>
        </w:rPr>
        <w:t>Recesión y riesgos de deflación</w:t>
      </w:r>
      <w:r w:rsidRPr="009B1CF2">
        <w:rPr>
          <w:rFonts w:eastAsia="Calibri"/>
          <w:sz w:val="26"/>
          <w:szCs w:val="26"/>
          <w:lang w:eastAsia="en-US"/>
        </w:rPr>
        <w:t xml:space="preserve">), pero la probabilidad ha disminuido a menos de 30%. En otras economías y regiones, está muy por debajo de 10%. Las probabilidades de una disminución del nivel de precios durante el período según el modelo excluyen efectos desinflacionarios pasajeros atribuibles al abaratamiento del petróleo y que, por ende, reflejan únicamente los riesgos derivados de otros </w:t>
      </w:r>
      <w:r w:rsidRPr="009B1CF2">
        <w:rPr>
          <w:rFonts w:eastAsia="Calibri"/>
          <w:i/>
          <w:sz w:val="26"/>
          <w:szCs w:val="26"/>
          <w:lang w:eastAsia="en-US"/>
        </w:rPr>
        <w:t>shocks</w:t>
      </w:r>
      <w:r w:rsidRPr="009B1CF2">
        <w:rPr>
          <w:rFonts w:eastAsia="Calibri"/>
          <w:sz w:val="26"/>
          <w:szCs w:val="26"/>
          <w:lang w:eastAsia="en-US"/>
        </w:rPr>
        <w:t xml:space="preserve"> que enfrenta la actividad. </w:t>
      </w:r>
    </w:p>
    <w:p w14:paraId="5FFEC133" w14:textId="28344C4B"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Riesgos geopolíticos: Los sucesos acaecidos en Rusia y Ucrania, Oriente Medio y partes de África podrían causar una escalada de las tensiones y agudizar los trastornos del comercio mundial y las transacciones financieras. Los trastornos en el mercado de la energía y otros mercados de materias primas continúan siendo especialmente inquietantes, dada la posibilidad de violentos picos de precios, que, según la duración, </w:t>
      </w:r>
      <w:r w:rsidRPr="009B1CF2">
        <w:rPr>
          <w:rFonts w:eastAsia="Calibri"/>
          <w:sz w:val="26"/>
          <w:szCs w:val="26"/>
          <w:lang w:eastAsia="en-US"/>
        </w:rPr>
        <w:lastRenderedPageBreak/>
        <w:t xml:space="preserve">podrían reducir sustancialmente los ingresos reales y la demanda de los importadores. A nivel más general, una escalada de las tensiones podría mermar la confianza. </w:t>
      </w:r>
    </w:p>
    <w:p w14:paraId="4B46B29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Riesgos para el crecimiento a corto plazo de China: Después del auge de 2009–12, el crecimiento de la inversión se enfrió en China en 2014, incluido el sector inmobiliario. Los pronósticos de base ya reflejan cierta desaceleración adicional, pero podría resultar más fuerte de lo esperado debido a que sigue siendo difícil encontrar un equilibrio entre las tareas de reducir las vulnerabilidades, respaldar el crecimiento e implementar las reformas. Además, las políticas de estímulo han amortiguado el impacto de la contracción de la inversión en la demanda agregada, pero se prevé que las autoridades chinas esta vez pongan más énfasis en mitigar las vulnerabilidades generadas por la rápida expansión reciente del crédito y la inversión. En consecuencia, podría crecer entre los inversores la preocupación en torno a los riesgos de que se profundice la desaceleración y eso podría afectar a la inversión actual. </w:t>
      </w:r>
    </w:p>
    <w:p w14:paraId="723E4EBA"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Riesgos a mediano plazo </w:t>
      </w:r>
    </w:p>
    <w:p w14:paraId="5B5F29C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Bajo crecimiento potencial en las economías avanzadas: Como explica el Capítulo 3, el crecimiento potencial probablemente sea más bajo que antes de la crisis, lo cual es resultado de los efectos predecibles de los factores demográficas —tales como el envejecimiento de la población y las decrecientes tasas de fecundidad— y de los dilatados efectos de la crisis, sobre todo el menor crecimiento del </w:t>
      </w:r>
      <w:r w:rsidRPr="009B1CF2">
        <w:rPr>
          <w:rFonts w:eastAsia="Calibri"/>
          <w:i/>
          <w:sz w:val="26"/>
          <w:szCs w:val="26"/>
          <w:lang w:eastAsia="en-US"/>
        </w:rPr>
        <w:t>stock</w:t>
      </w:r>
      <w:r w:rsidRPr="009B1CF2">
        <w:rPr>
          <w:rFonts w:eastAsia="Calibri"/>
          <w:sz w:val="26"/>
          <w:szCs w:val="26"/>
          <w:lang w:eastAsia="en-US"/>
        </w:rPr>
        <w:t xml:space="preserve"> de capital (véase también el Capítulo 4). A pesar de los considerables riesgos mixtos para las proyecciones del producto potencial, los legados de la crisis —particularmente, la debilidad del sector financiero, el nivel aún elevado de los coeficientes de deuda pública y el sobreendeudamiento privado— siguen siendo un importante motivo de preocupación en algunas economías, sobre todo de la zona del euro, y podrían continuar perjudicando a la inversión si no se los subsana. A su vez, un período dilatado de grandes brechas negativas del producto y el nivel elevado —y cada vez más a largo </w:t>
      </w:r>
      <w:r w:rsidRPr="009B1CF2">
        <w:rPr>
          <w:rFonts w:eastAsia="Calibri"/>
          <w:sz w:val="26"/>
          <w:szCs w:val="26"/>
          <w:lang w:eastAsia="en-US"/>
        </w:rPr>
        <w:lastRenderedPageBreak/>
        <w:t xml:space="preserve">plazo— del desempleo podrían causar mayores pérdidas permanentes de las aptitudes y la participación en la fuerza laboral. </w:t>
      </w:r>
    </w:p>
    <w:p w14:paraId="6CD2D35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Estancamiento secular en las economías avanzadas: El riesgo de estancamiento secular (presentado con más detalle en un análisis de escenarios publicado en la edición de octubre de 2014 del informe WEO) continuará mientras la demanda sea débil y la inflación esperada se sitúe por debajo de la meta durante un período prolongado, habida cuenta de las restricciones de la política monetaria en el límite inferior cero de las tasas. Tras seis años de floja demanda, la probabilidad de que el producto potencial se haya dañado es motivo de creciente preocupación, y es necesario tener en cuenta los planteamientos hasta aquí realizados. </w:t>
      </w:r>
    </w:p>
    <w:p w14:paraId="6F03A4B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Disminución del crecimiento potencial de las economías de mercados emergentes: Como se señala en el Capítulo 3, el crecimiento potencial de las grandes economías de mercados emergentes ha ido disminuyendo desde la crisis financiera internacional. El hecho de que las previsiones de crecimiento a mediano plazo en muchas economías se hayan recortado repetidas veces durante los tres últimos años indica que se trata de un fenómeno más amplio. Las proyecciones de referencia ya incorporan cierta contracción del crecimiento potencial, en parte debido a factores demográficas. </w:t>
      </w:r>
    </w:p>
    <w:p w14:paraId="79D24210"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riesgos en términos de crecimiento potencial tienen dos fuentes. El crecimiento del capital podría disminuir más, especialmente si no se corrigen las restricciones estructurales del caso o si los precios de las materias primas continúan en descenso. El aumento de la productividad total de los factores podría disminuir más de lo esperado dadas las actuales expectativas de convergencia. Como ya se señaló, otros factores macroeconómicos, entre los que se destaca la desmejora de las condiciones financieras en las economías de mercados emergentes, también podrían conducir a una disminución del crecimiento potencial si se prolongan. </w:t>
      </w:r>
    </w:p>
    <w:p w14:paraId="123D5454"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Aterrizaje duro en China: Desde el lanzamiento de las políticas de estímulo durante la crisis financiera mundial, el auge del crédito y la inversión han sido fuentes de crecimiento críticas en China, y las vulnerabilidades han recrudecido. Se trata de un riesgo a mediano plazo porque el gobierno chino aún tiene suficiente margen para evitar una fuerte desaceleración del crecimiento poniendo en acción los recursos públicos y la influencia del Estado. El actual programa de reformas, encaminado a reequilibrar la economía, es importante para mitigar el riesgo, ya que sin reformas que modifiquen el patrón de crecimiento, las vulnerabilidades seguirán agudizándose y el margen de maniobra de la política económica se reducirá. </w:t>
      </w:r>
    </w:p>
    <w:p w14:paraId="55D8DF60"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Políticas </w:t>
      </w:r>
    </w:p>
    <w:p w14:paraId="7BFE3CF0"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prevé un fortalecimiento moderado del crecimiento mundial en 2015–16, gracias en parte al estímulo que infundirán en la demanda mundial la caída de los precios del petróleo y los cambios de las políticas. Aun así, la recuperación será frágil en una serie de economías avanzadas, marcadas por la debilidad de la inversión, mientras que el crecimiento a mediano plazo será bajo en muchas economías. Por ende, incrementar el producto efectivo y potencial sigue siendo una prioridad general para la política económica. </w:t>
      </w:r>
    </w:p>
    <w:p w14:paraId="6374C5E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 que se requiere de la política macroeconómica varía según el grupo de países y según el país. En muchas economías avanzadas, la política monetaria acomodaticia sigue siendo esencial para evitar que las tasas de interés reales suban prematuramente, en vista de la persistencia y el considerable nivel de las brechas del producto, así como la fuerte dinámica desinflacionaria y los riesgos que entraña (gráfica </w:t>
      </w:r>
      <w:r w:rsidRPr="009B1CF2">
        <w:rPr>
          <w:rFonts w:eastAsia="Calibri"/>
          <w:i/>
          <w:sz w:val="26"/>
          <w:szCs w:val="26"/>
          <w:lang w:eastAsia="en-US"/>
        </w:rPr>
        <w:t>Capacidad, desempleo y tendencias del producto</w:t>
      </w:r>
      <w:r w:rsidRPr="009B1CF2">
        <w:rPr>
          <w:rFonts w:eastAsia="Calibri"/>
          <w:sz w:val="26"/>
          <w:szCs w:val="26"/>
          <w:lang w:eastAsia="en-US"/>
        </w:rPr>
        <w:t xml:space="preserve">). Existen poderosas razones para justificar una mayor inversión en infraestructura en algunas economías. En muchas economías de mercados emergentes, el margen de la política macroeconómica para apuntalar el crecimiento sigue siendo restringido. Dado que el espacio fiscal es limitado, un </w:t>
      </w:r>
      <w:r w:rsidRPr="009B1CF2">
        <w:rPr>
          <w:rFonts w:eastAsia="Calibri"/>
          <w:sz w:val="26"/>
          <w:szCs w:val="26"/>
          <w:lang w:eastAsia="en-US"/>
        </w:rPr>
        <w:lastRenderedPageBreak/>
        <w:t xml:space="preserve">reequilibramiento general de la política fiscal a través de modificaciones de la tributación que no afecten al presupuesto y una reorganización de las prioridades de gasto podrían respaldar el crecimiento. En los países que importan petróleo, la caída de los precios aligerará la carga que representa para la política monetaria tener que lidiar con la presión inflacionaria y las vulnerabilidades externas y, en el caso de las economías con subsidios petroleros, puede crear algo de espacio fiscal. Los países exportadores de petróleo tendrán que absorber un fuerte </w:t>
      </w:r>
      <w:r w:rsidRPr="009B1CF2">
        <w:rPr>
          <w:rFonts w:eastAsia="Calibri"/>
          <w:i/>
          <w:sz w:val="26"/>
          <w:szCs w:val="26"/>
          <w:lang w:eastAsia="en-US"/>
        </w:rPr>
        <w:t>shock</w:t>
      </w:r>
      <w:r w:rsidRPr="009B1CF2">
        <w:rPr>
          <w:rFonts w:eastAsia="Calibri"/>
          <w:sz w:val="26"/>
          <w:szCs w:val="26"/>
          <w:lang w:eastAsia="en-US"/>
        </w:rPr>
        <w:t xml:space="preserve"> de términos de intercambio y afrontar mayores vulnerabilidades fiscales y externas. </w:t>
      </w:r>
    </w:p>
    <w:p w14:paraId="11DA60A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Existe una necesidad general de reformas estructurales en muchas economías, tanto avanzadas como emergentes. En este sentido, el abaratamiento del petróleo también podría brindar una oportunidad para reformar los impuestos y los subsidios energéticos en muchos países exportadores e importadores de petróleo. </w:t>
      </w:r>
    </w:p>
    <w:p w14:paraId="01BBBA8C"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CAPACIDAD, DESEMPLEO Y TENDENCIAS DEL PRODUCTO</w:t>
      </w:r>
    </w:p>
    <w:p w14:paraId="19F03D57"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La actividad económica de los principales países y regiones sigue siendo desigual. En las economías avanzadas, el freno que representa para el crecimiento el elevado nivel de la deuda pública y privada está perdiendo fuerza, pero a diferente ritmo según el país, y los niveles de desempleo y las brechas del producto aún son elevados en algunos casos. Las perspectivas de crecimiento a mediano plazo también han sido objeto de revisiones a la baja en muchas economías, sobre todo entre los grandes mercados emergentes, en comparación con las proyecciones de la edición de septiembre de 2011 del informe WEO</w:t>
      </w:r>
    </w:p>
    <w:tbl>
      <w:tblPr>
        <w:tblW w:w="0" w:type="auto"/>
        <w:tblLook w:val="04A0" w:firstRow="1" w:lastRow="0" w:firstColumn="1" w:lastColumn="0" w:noHBand="0" w:noVBand="1"/>
      </w:tblPr>
      <w:tblGrid>
        <w:gridCol w:w="8828"/>
      </w:tblGrid>
      <w:tr w:rsidR="009B1CF2" w:rsidRPr="009B1CF2" w14:paraId="726AC494" w14:textId="77777777" w:rsidTr="008B3DA6">
        <w:tc>
          <w:tcPr>
            <w:tcW w:w="8828" w:type="dxa"/>
          </w:tcPr>
          <w:p w14:paraId="306DFA17"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MONETARIO.pptx!318"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0CEBAD35" wp14:editId="48607F4E">
                  <wp:extent cx="3996055" cy="2296298"/>
                  <wp:effectExtent l="0" t="0" r="4445" b="8890"/>
                  <wp:docPr id="1852" name="Imagen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1485" t="7670" r="11349" b="13350"/>
                          <a:stretch/>
                        </pic:blipFill>
                        <pic:spPr bwMode="auto">
                          <a:xfrm>
                            <a:off x="0" y="0"/>
                            <a:ext cx="3996055" cy="2296298"/>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062019C7"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MONETARIO.pptx!317"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39009DE4" wp14:editId="67B60366">
                  <wp:extent cx="4284345" cy="2336800"/>
                  <wp:effectExtent l="0" t="0" r="1905" b="6350"/>
                  <wp:docPr id="1853" name="Imagen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57" cstate="print">
                            <a:extLst>
                              <a:ext uri="{28A0092B-C50C-407E-A947-70E740481C1C}">
                                <a14:useLocalDpi xmlns:a14="http://schemas.microsoft.com/office/drawing/2010/main" val="0"/>
                              </a:ext>
                            </a:extLst>
                          </a:blip>
                          <a:srcRect l="10640" t="6805" r="9648" b="15872"/>
                          <a:stretch>
                            <a:fillRect/>
                          </a:stretch>
                        </pic:blipFill>
                        <pic:spPr bwMode="auto">
                          <a:xfrm>
                            <a:off x="0" y="0"/>
                            <a:ext cx="4284345" cy="233680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18899D78"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MONETARIO.pptx!319"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4CAD5C83" wp14:editId="31C2DC1E">
                  <wp:extent cx="3962400" cy="2878455"/>
                  <wp:effectExtent l="0" t="0" r="0" b="0"/>
                  <wp:docPr id="1854" name="Imagen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58" cstate="print">
                            <a:extLst>
                              <a:ext uri="{28A0092B-C50C-407E-A947-70E740481C1C}">
                                <a14:useLocalDpi xmlns:a14="http://schemas.microsoft.com/office/drawing/2010/main" val="0"/>
                              </a:ext>
                            </a:extLst>
                          </a:blip>
                          <a:srcRect l="11348" r="11069"/>
                          <a:stretch>
                            <a:fillRect/>
                          </a:stretch>
                        </pic:blipFill>
                        <pic:spPr bwMode="auto">
                          <a:xfrm>
                            <a:off x="0" y="0"/>
                            <a:ext cx="3962400" cy="287845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tc>
      </w:tr>
    </w:tbl>
    <w:p w14:paraId="0504669E" w14:textId="77777777" w:rsidR="009B1CF2" w:rsidRPr="009B1CF2" w:rsidRDefault="009B1CF2" w:rsidP="009B1CF2">
      <w:pPr>
        <w:spacing w:after="360" w:line="360" w:lineRule="auto"/>
        <w:ind w:right="-159"/>
        <w:jc w:val="center"/>
        <w:rPr>
          <w:rFonts w:eastAsia="Calibri"/>
          <w:sz w:val="26"/>
          <w:szCs w:val="26"/>
          <w:lang w:eastAsia="en-US"/>
        </w:rPr>
      </w:pPr>
    </w:p>
    <w:p w14:paraId="27B215B0"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Continuar luchando contra la baja inflación en las economías avanzadas </w:t>
      </w:r>
    </w:p>
    <w:p w14:paraId="75F6BBE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baja de los precios del petróleo constituye un hecho positivo que está estimulando la demanda en la mayoría de las economías avanzadas, pero, al reducir los precios al consumidor vinculados al petróleo, contribuye temporariamente a la presión a la baja sobre la inflación. Esto es problemático más que nada para las economías avanzadas de Europa —especialmente las de la zona del euro— y Japón. Dado que las tasas de política monetaria se encuentran en el límite inferior cero, la política monetaria debe conservar la orientación acomodaticia a través de medidas no convencionales (como </w:t>
      </w:r>
      <w:r w:rsidRPr="009B1CF2">
        <w:rPr>
          <w:rFonts w:eastAsia="Calibri"/>
          <w:sz w:val="26"/>
          <w:szCs w:val="26"/>
          <w:lang w:eastAsia="en-US"/>
        </w:rPr>
        <w:lastRenderedPageBreak/>
        <w:t xml:space="preserve">compras de activos a gran escala) para evitar que suban las tasas de interés reales. Esta acción de la política monetaria debería ir acompañada de un saneamiento de los balances bancarios para incentivar la oferta de crédito. También se necesitan una actuación complementaria por parte de la política fiscal en los países que gozan de espacio fiscal, y reformas estructurales que propicien la demanda, en particular las destinadas a mejorar la productividad y estimular la inversión. Como lo explica la edición de abril de 2015 del informe Monitor Fiscal, afrontar la elevada deuda pública en un entorno de crecimiento e inflación bajos continúa siendo uno de los principales retos para muchas economías avanzadas. </w:t>
      </w:r>
    </w:p>
    <w:p w14:paraId="15938B40"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Contra este telón de fondo, los retos varían considerablemente de un país a otro. </w:t>
      </w:r>
    </w:p>
    <w:p w14:paraId="5851D35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la zona del euro, a pesar del repunte de la actividad, la recuperación continúa siendo frágil y desigual, con importantes brechas del producto y expectativas de inflación que se mantendrían sustancialmente por debajo de la meta fijada en toda la zona, más allá de los horizontes que maneja normalmente la política monetaria. Por ende, es necesario poner en marcha medidas para afianzar la recuperación de toda la zona del euro, especialmente en el ámbito de la inversión privada (Capítulo 4). </w:t>
      </w:r>
    </w:p>
    <w:p w14:paraId="5624A5B0"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la esfera de la política monetaria, es acertada la decisión del BCE de expandir el programa de compra de activos incorporándole activos soberanos hasta que la trayectoria de la inflación esté alineada con la meta de estabilidad de precios del BCE. Estas medidas de política monetaria deben estar respaldadas por otras que busquen afianzar los balances bancarios, facilitando la transmisión de la política monetaria y mejorando las condiciones en los mercados de crédito. En este sentido, es prioritario aplicar una regulación más estricta a los préstamos en mora y mejorar los procedimientos de insolvencia y ejecuciones hipotecarias. </w:t>
      </w:r>
    </w:p>
    <w:p w14:paraId="56F533EB"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cuanto a la política fiscal, la orientación generalmente neutral que se ha adoptado a nivel de toda la zona del euro para 2015–16 representa un mejor equilibrio entre el </w:t>
      </w:r>
      <w:r w:rsidRPr="009B1CF2">
        <w:rPr>
          <w:rFonts w:eastAsia="Calibri"/>
          <w:sz w:val="26"/>
          <w:szCs w:val="26"/>
          <w:lang w:eastAsia="en-US"/>
        </w:rPr>
        <w:lastRenderedPageBreak/>
        <w:t xml:space="preserve">deseo de respaldar la demanda y el de mejorar la sostenibilidad de la deuda. No obstante, los países que tienen espacio fiscal —especialmente Alemania— podrían hacer más para estimular el crecimiento, especialmente si ponen en marcha una inversión pública muy necesaria. Los países con un espacio fiscal limitado deberían aprovechar la nueva flexibilidad brindada en el marco del Pacto de Estabilidad y Crecimiento para movilizar la inversión pública y las reformas estructurales y reequilibrar sus economías. En caso de que los datos de la actividad y la inflación sean decepcionantes y amenacen con un equilibrio deflacionario perjudicial, se debería analizar la posibilidad de incrementar el respaldo fiscal a fin de complementar mejor la distensión monetaria. </w:t>
      </w:r>
    </w:p>
    <w:p w14:paraId="17D5963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Japón, la actividad económica se reavivó tras una breve recesión a mediados de 2014. Sin embargo, la inflación nuevamente está bajando y los precios del petróleo exacerbarán la presión a la baja sobre los precios; entre tanto, las expectativas inflacionarias a mediano plazo están estancadas a un nivel sustancialmente inferior a la meta de inflación de 2%. Al mismo tiempo, el crecimiento del producto potencial sigue siendo bajo. </w:t>
      </w:r>
    </w:p>
    <w:p w14:paraId="77EF84C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Desde el punto de vista de la política monetaria, el Banco de Japón debería plantearse la posibilidad de afianzar sus políticas en dos aspectos para poder alcanzar la meta de inflación de 2%. Primero, los efectos de las compras de activos en el reequilibramiento de las carteras podrían potenciarse incrementando el porcentaje de activos privados adquiridos y haciendo extensivo el programa a los bonos públicos de vencimiento más largo. Segundo, una comunicación de la política monetaria más orientada hacia los pronósticos realzaría la transparencia de las evaluaciones de las perspectivas de inflación y serviría de señal de su compromiso con la meta de inflación, principalmente a través de un diálogo sobre los cambios que se contemplarían si la inflación no siguiera el curso previsto. </w:t>
      </w:r>
    </w:p>
    <w:p w14:paraId="3AC5C23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En el ámbito fiscal, la contracción del consumo, más profunda de lo esperado tras el aumento del impuesto sobre el consumo el último mes de abril, pone de relieve que es crítico que la consolidación fiscal esté a tono con las condiciones y las perspectivas económicas. Sin embargo, los riesgos que giran en torno a la sostenibilidad de la deuda pública siguen siendo un motivo de preocupación crítico dado lo elevado de los coeficientes de deuda pública, y se necesita con urgencia una estrategia de ajuste fiscal a mediano plazo que sea creíble e incluya medidas concretas para mantener la confianza del mercado. </w:t>
      </w:r>
    </w:p>
    <w:p w14:paraId="4FB8EF54"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Estados Unidos de Norteamérica, el crecimiento repuntó con fuerza durante gran parte de 2014 y superaría la tendencia en 2015–16. El principal reto para la política a corto plazo es el momento en que convendría poner en marcha la normalización de la política monetaria y el ritmo que se le debería imprimir. Por un lado, si bien persiste la incertidumbre en torno al volumen de capacidad ociosa en el mercado laboral, sobre todo teniendo en cuenta la disminución de la participación en la fuerza laboral, una amplia variedad de indicadores del mercado apuntan a una mejora notable. Por otra parte, la apreciación del dólar generará cierta presión a la baja sobre el crecimiento del PIB al atenuar la demanda externa, y, al momento, hay pocos indicios de verdaderas presiones sobre los salarios y los precios. La Reserva Federal ha anunciado que el momento de despegue de las tasas de interés dependerá del avance hacia los objetivos de máximo empleo y 2% de inflación, y que la normalización de las tasas de interés será gradual. Tras el despegue, que está previsto para este año, los participantes en el mercado esperan en general un aumento aún más paulatino de las tasas hasta llegar a una tasa natural más baja que la pronosticada por los miembros del Comité Federal de Mercados Abiertos, tal como se señaló en la sección “Riesgos”. Al mismo tiempo, las tasas de interés estadounidenses a largo plazo han vuelto a retroceder como resultado de la persistente debilidad de las condiciones en muchas otras economías grandes, el vigor de la demanda de activos estadounidenses seguros y las expectativas de afianzamiento del dólar, y cabe esperar que esas tasas a largo plazo aumenten con </w:t>
      </w:r>
      <w:r w:rsidRPr="009B1CF2">
        <w:rPr>
          <w:rFonts w:eastAsia="Calibri"/>
          <w:sz w:val="26"/>
          <w:szCs w:val="26"/>
          <w:lang w:eastAsia="en-US"/>
        </w:rPr>
        <w:lastRenderedPageBreak/>
        <w:t xml:space="preserve">rapidez. Esta divergencia de las expectativas encierra la posibilidad de sorpresas y ajustes desestabilizadores de los mercados, y pone nuevamente de relieve la importancia de una estrategia eficaz de comunicación de la política. </w:t>
      </w:r>
    </w:p>
    <w:p w14:paraId="04C2559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la esfera de la política fiscal, la prioridad sigue siendo acordar un plan creíble de consolidación fiscal a mediano plazo que contemple los crecientes costos fiscales relacionados con el envejecimiento de la población; este plan deberá incluir un aumento de los ingresos tributarios.  </w:t>
      </w:r>
    </w:p>
    <w:p w14:paraId="2E594C4E"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Aumento del producto potencial </w:t>
      </w:r>
    </w:p>
    <w:p w14:paraId="32D121C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Como explica el Capítulo 3, no se prevé que el crecimiento del producto potencial de las economías avanzadas se afiance sino de manera muy moderada en 2015–20, a pesar de que los legados de la crisis se están desvaneciendo lentamente. La razón principal de este tímido pronóstico es el envejecimiento de la población, que ha dado lugar a la proyección de bajo crecimiento y la posible disminución del empleo tendencial si se mantienen las políticas vigentes que influyen en la participación en la fuerza laboral. Este panorama pone de relieve la necesidad general de políticas estructurales que estimulen tanto la participación en la fuerza laboral como el empleo tendencial.  </w:t>
      </w:r>
    </w:p>
    <w:p w14:paraId="1C08C5A7" w14:textId="77777777" w:rsidR="009B1CF2" w:rsidRPr="009B1CF2" w:rsidRDefault="009B1CF2" w:rsidP="003518F4">
      <w:pPr>
        <w:numPr>
          <w:ilvl w:val="1"/>
          <w:numId w:val="15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Japón, donde la participación de la mujer en la fuerza laboral está por debajo del promedio, la eliminación de los desincentivos tributarios y la prestación más amplia de servicios de cuidado infantil crearían más incentivos para el trabajo femenino.  </w:t>
      </w:r>
    </w:p>
    <w:p w14:paraId="179357A9" w14:textId="77777777" w:rsidR="009B1CF2" w:rsidRPr="009B1CF2" w:rsidRDefault="009B1CF2" w:rsidP="003518F4">
      <w:pPr>
        <w:numPr>
          <w:ilvl w:val="1"/>
          <w:numId w:val="15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la zona del euro, donde muchas economías sufren de un elevado desempleo estructural, juvenil y de largo plazo, un importante motivo de inquietud es la erosión de las aptitudes y su efecto en el empleo tendencial. Además de políticas macroeconómicas encaminadas a subsanar una demanda persistentemente baja, las prioridades incluyen la reducción de los desincentivos tributarios al empleo; </w:t>
      </w:r>
      <w:r w:rsidRPr="009B1CF2">
        <w:rPr>
          <w:rFonts w:eastAsia="Calibri"/>
          <w:sz w:val="26"/>
          <w:szCs w:val="26"/>
          <w:lang w:eastAsia="en-US"/>
        </w:rPr>
        <w:lastRenderedPageBreak/>
        <w:t xml:space="preserve">por ejemplo, reduciendo la cuña fiscal laboral, focalizando mejor los programas de capacitación y poniendo en marcha políticas laborales activas.  </w:t>
      </w:r>
    </w:p>
    <w:p w14:paraId="0A96A685" w14:textId="77777777" w:rsidR="009B1CF2" w:rsidRPr="009B1CF2" w:rsidRDefault="009B1CF2" w:rsidP="003518F4">
      <w:pPr>
        <w:numPr>
          <w:ilvl w:val="1"/>
          <w:numId w:val="15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Estados Unidos de Norteamérica, la eliminación de los desincentivos tributarios y un sistema de cuidado infantil focalizado en las familias de bajo ingreso contribuirían a estimular la participación en la fuerza laboral. Como se señaló en la edición de octubre de 2014 del informe WEO, en una serie de economías avanzadas (entre ellas, varios países de la zona del euro y Estados Unidos de Norteamérica) hay razones contundentes para incrementar la inversión en infraestructura. Además de hacer crecer el producto potencial a mediano plazo, la inversión también brindaría un respaldo a corto plazo muy necesario a la demanda interna de algunas de estas economías. En otros ámbitos, las prioridades para estimular el crecimiento a mediano plazo varían considerablemente: </w:t>
      </w:r>
    </w:p>
    <w:p w14:paraId="507EF1AA" w14:textId="77777777" w:rsidR="009B1CF2" w:rsidRPr="009B1CF2" w:rsidRDefault="009B1CF2" w:rsidP="003518F4">
      <w:pPr>
        <w:numPr>
          <w:ilvl w:val="1"/>
          <w:numId w:val="15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las economías de la zona del euro, es crítico reducir los obstáculos al ingreso en los mercados de productos y reformar las regulaciones laborales que obstaculizan el ajuste. En las economías deudoras, estos cambios afianzarían la competitividad externa y contribuirían a sustentar el avance del ajuste externo mientras las economías se recuperan, en tanto que reforzarían sobre todo la inversión y el empleo en las economías acreedoras. Convendría también avanzar más en la implementación de la Directiva “Servicios” de la Unión Europea, promover acuerdos de libre comercio e integrar políticas y mercados energéticos. Además, como ya se indicó, la oferta y la demanda de crédito se recuperarían con más facilidad si se emprendieran reformas para subsanar el sobreendeudamiento (por ejemplo, a través de la resolución de préstamos en mora, la promoción de acuerdos extrajudiciales y la mejora de los regímenes de insolvencia). </w:t>
      </w:r>
    </w:p>
    <w:p w14:paraId="3109ED30" w14:textId="77777777" w:rsidR="009B1CF2" w:rsidRPr="009B1CF2" w:rsidRDefault="009B1CF2" w:rsidP="003518F4">
      <w:pPr>
        <w:numPr>
          <w:ilvl w:val="1"/>
          <w:numId w:val="15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En Japón, la prioridad debería ser fortalecer las reformas estructurales (la tercera flecha de la abeconomía). Las medidas encaminadas a promover la participación en la fuerza laboral son esenciales, como ya se señaló, pero también hay margen para incrementar la productividad del sector de servicios mediante la desregulación, vigorizar la productividad de la mano de obra reduciendo la dualidad del mercado laboral y apuntalar la inversión a través de la reforma del gobierno empresarial, así como la mejora del suministro de capital de riesgo por parte del sistema financiero.  </w:t>
      </w:r>
    </w:p>
    <w:p w14:paraId="64DD0986"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Economías de mercados emergentes y en desarrollo </w:t>
      </w:r>
    </w:p>
    <w:p w14:paraId="0EC357A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El crecimiento en las economías de mercados emergentes ha defraudado las expectativas en los últimos años, tras una década de muy rápido crecimiento. La diferencia refleja en parte el débil crecimiento que han experimentado desde la crisis financiera internacional las economías avanzadas que son sus socios comerciales y la moderación del crecimiento de China; sin embargo una variedad de factores nacionales específicos también entra en juego</w:t>
      </w:r>
      <w:r w:rsidRPr="009B1CF2">
        <w:rPr>
          <w:rFonts w:eastAsia="Calibri"/>
          <w:sz w:val="26"/>
          <w:szCs w:val="26"/>
          <w:vertAlign w:val="superscript"/>
          <w:lang w:eastAsia="en-US"/>
        </w:rPr>
        <w:footnoteReference w:id="8"/>
      </w:r>
      <w:r w:rsidRPr="009B1CF2">
        <w:rPr>
          <w:rFonts w:eastAsia="Calibri"/>
          <w:sz w:val="26"/>
          <w:szCs w:val="26"/>
          <w:lang w:eastAsia="en-US"/>
        </w:rPr>
        <w:t xml:space="preserve">. Los esfuerzos por reequilibrar el crecimiento hacia fuentes internas en los últimos años han servido de apoyo a la actividad interna, pero también han acentuado las vulnerabilidades macroeconómicas y han restado margen de acción a la política económica de algunas economías. Varios países han experimentado una inflación superior a la que habían fijado como meta o una disminución de los saldos fiscales observados antes de la crisis, y en algunos casos coincidieron ambas. </w:t>
      </w:r>
    </w:p>
    <w:p w14:paraId="7705C8A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mitigación de las vulnerabilidades contra el trasfondo de riegos aún elevados de un vuelco de los flujos de capital debe seguir siendo un importante objetivo para la política económica. Las debilidades macroeconómicas resultarían costosas si este riesgo se concretara. En particular, la intensificación del crecimiento de las economías avanzadas y la normalización de la política monetaria de Estados Unidos de Norteamérica prevista </w:t>
      </w:r>
      <w:r w:rsidRPr="009B1CF2">
        <w:rPr>
          <w:rFonts w:eastAsia="Calibri"/>
          <w:sz w:val="26"/>
          <w:szCs w:val="26"/>
          <w:lang w:eastAsia="en-US"/>
        </w:rPr>
        <w:lastRenderedPageBreak/>
        <w:t>para este año podrían conducir a una reversión más persistente de los sustanciales flujos de capital que se han dirigido hacia las economías de mercados emergentes en busca de mayor rentabilidad desde la crisis; hasta ahora, las reversiones han sido pasajeras y la reducción de los flujos —especialmente hacia América Latina— ha sido limitada (véase la gráfica</w:t>
      </w:r>
      <w:r w:rsidRPr="009B1CF2">
        <w:rPr>
          <w:rFonts w:eastAsia="Calibri"/>
          <w:i/>
          <w:sz w:val="26"/>
          <w:szCs w:val="26"/>
          <w:lang w:eastAsia="en-US"/>
        </w:rPr>
        <w:t xml:space="preserve"> Condiciones de los mercados financieros de las economías avanzadas</w:t>
      </w:r>
      <w:r w:rsidRPr="009B1CF2">
        <w:rPr>
          <w:rFonts w:eastAsia="Calibri"/>
          <w:sz w:val="26"/>
          <w:szCs w:val="26"/>
          <w:lang w:eastAsia="en-US"/>
        </w:rPr>
        <w:t xml:space="preserve">). </w:t>
      </w:r>
    </w:p>
    <w:p w14:paraId="33EF909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este contexto, la fuerte caída de los precios del petróleo en el segundo semestre de 2014 ha mitigado las vulnerabilidades externas de los importadores de petróleo. Pero la disminución también ha dado lugar a nuevas dificultades para el crecimiento y ha agudizado las vulnerabilidades externas y fiscales de los países exportadores de petróleo:  </w:t>
      </w:r>
    </w:p>
    <w:p w14:paraId="088B2703" w14:textId="77777777" w:rsidR="009B1CF2" w:rsidRPr="009B1CF2" w:rsidRDefault="009B1CF2" w:rsidP="003518F4">
      <w:pPr>
        <w:numPr>
          <w:ilvl w:val="1"/>
          <w:numId w:val="15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Muchos importadores de petróleo lograron reducir la vulnerabilidad a </w:t>
      </w:r>
      <w:r w:rsidRPr="009B1CF2">
        <w:rPr>
          <w:rFonts w:eastAsia="Calibri"/>
          <w:i/>
          <w:sz w:val="26"/>
          <w:szCs w:val="26"/>
          <w:lang w:eastAsia="en-US"/>
        </w:rPr>
        <w:t>shocks</w:t>
      </w:r>
      <w:r w:rsidRPr="009B1CF2">
        <w:rPr>
          <w:rFonts w:eastAsia="Calibri"/>
          <w:sz w:val="26"/>
          <w:szCs w:val="26"/>
          <w:lang w:eastAsia="en-US"/>
        </w:rPr>
        <w:t xml:space="preserve"> adversos durante el último año adoptando políticas macroeconómicas más restrictivas para ganar terreno a la inflación y estrechar los déficit de la cuenta corriente externa. El abaratamiento del petróleo suavizará más la presión inflacionaria y mitigará las vulnerabilidades externas al reducir el costo de las importaciones petroleras. En consecuencia, la tensión entre el objetivo de respaldar la demanda si existe capacidad económica ociosa y el de disipar las vulnerabilidades macroeconómicas ya no es tan pronunciada, lo cual podría permitirles a los bancos centrales de algunas economías con capacidad ociosa bajar las tasas de política monetaria.  </w:t>
      </w:r>
    </w:p>
    <w:p w14:paraId="5D644101" w14:textId="77777777" w:rsidR="009B1CF2" w:rsidRPr="009B1CF2" w:rsidRDefault="009B1CF2" w:rsidP="003518F4">
      <w:pPr>
        <w:numPr>
          <w:ilvl w:val="1"/>
          <w:numId w:val="155"/>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los importadores de petróleo cuyo endeudamiento externo aumentó con fuerza en los últimos años y que aún se encuentran expuestos a elevados riesgos de financiamiento externo, es necesario continuar haciendo esfuerzos por fortalecer las finanzas públicas e incrementar el ahorro interno. En las economías con subsidios petroleros, el ingreso inesperado resultante del abaratamiento del petróleo permitirá acumular un mayor ahorro en el sector público, excepto en los </w:t>
      </w:r>
      <w:r w:rsidRPr="009B1CF2">
        <w:rPr>
          <w:rFonts w:eastAsia="Calibri"/>
          <w:sz w:val="26"/>
          <w:szCs w:val="26"/>
          <w:lang w:eastAsia="en-US"/>
        </w:rPr>
        <w:lastRenderedPageBreak/>
        <w:t xml:space="preserve">casos en que se lo destine, en su totalidad o en parte, a incrementar el gasto o  recortar impuestos. La decisión de ahorrar o no todo ese ingreso extra depende del volumen de capacidad económica ociosa que exista en una economía determinada, la solidez de la situación fiscal y las necesidades. En particular, el ingreso puede brindar una oportunidad para financiar reformas estructurales críticas —especialmente reformas de los subsidios energéticos— o un gasto promotor del crecimiento, como por ejemplo en infraestructura. </w:t>
      </w:r>
    </w:p>
    <w:p w14:paraId="6A1EB5ED" w14:textId="77777777" w:rsidR="009B1CF2" w:rsidRPr="009B1CF2" w:rsidRDefault="009B1CF2" w:rsidP="009B1CF2">
      <w:pPr>
        <w:spacing w:after="360" w:line="360" w:lineRule="auto"/>
        <w:ind w:left="357" w:right="-159"/>
        <w:jc w:val="both"/>
        <w:rPr>
          <w:rFonts w:eastAsia="Calibri"/>
          <w:sz w:val="26"/>
          <w:szCs w:val="26"/>
          <w:lang w:eastAsia="en-US"/>
        </w:rPr>
      </w:pPr>
      <w:r w:rsidRPr="009B1CF2">
        <w:rPr>
          <w:rFonts w:eastAsia="Calibri"/>
          <w:sz w:val="26"/>
          <w:szCs w:val="26"/>
          <w:lang w:eastAsia="en-US"/>
        </w:rPr>
        <w:t xml:space="preserve">En los países exportadores de petróleo, se ha vuelto prioritario enfrentar las vulnerabilidades externas y fiscales que se han agudizado, aunque el grado de urgencia varía considerablemente entre los distintos países. Algunos exportadores de petróleo incrementaron el ahorro fiscal cuando los precios del petróleo estaban altos y acumularon fondos que ahora pueden aprovechar para suavizar el ajuste del gasto público ante la caída de los precios. No obstante, como se prevé que parte de la caída de los precios del petróleo sea permanente, será importante no postergar el ajuste, a fin de garantizar la equidad intergeneracional en el uso de la riqueza petrolera y mantener cierto margen de maniobra en caso de </w:t>
      </w:r>
      <w:r w:rsidRPr="009B1CF2">
        <w:rPr>
          <w:rFonts w:eastAsia="Calibri"/>
          <w:i/>
          <w:sz w:val="26"/>
          <w:szCs w:val="26"/>
          <w:lang w:eastAsia="en-US"/>
        </w:rPr>
        <w:t xml:space="preserve">shocks </w:t>
      </w:r>
      <w:r w:rsidRPr="009B1CF2">
        <w:rPr>
          <w:rFonts w:eastAsia="Calibri"/>
          <w:sz w:val="26"/>
          <w:szCs w:val="26"/>
          <w:lang w:eastAsia="en-US"/>
        </w:rPr>
        <w:t xml:space="preserve">futuros. En países exportadores de petróleo cuya política económica goza de un margen de maniobra limitado, permitir la depreciación sustancial del tipo de cambio será la principal vía para amortiguar el impacto del </w:t>
      </w:r>
      <w:r w:rsidRPr="009B1CF2">
        <w:rPr>
          <w:rFonts w:eastAsia="Calibri"/>
          <w:i/>
          <w:sz w:val="26"/>
          <w:szCs w:val="26"/>
          <w:lang w:eastAsia="en-US"/>
        </w:rPr>
        <w:t>shock</w:t>
      </w:r>
      <w:r w:rsidRPr="009B1CF2">
        <w:rPr>
          <w:rFonts w:eastAsia="Calibri"/>
          <w:sz w:val="26"/>
          <w:szCs w:val="26"/>
          <w:lang w:eastAsia="en-US"/>
        </w:rPr>
        <w:t xml:space="preserve"> en la economía. Algunos tendrán que fortalecer los marcos monetarios para conjurar el riesgo de que la depreciación genere una inflación persistentemente más alta y presiones hacia nuevas depreciaciones. </w:t>
      </w:r>
    </w:p>
    <w:p w14:paraId="37363AE3" w14:textId="77777777" w:rsidR="009B1CF2" w:rsidRPr="009B1CF2" w:rsidRDefault="009B1CF2" w:rsidP="009B1CF2">
      <w:pPr>
        <w:spacing w:after="360" w:line="360" w:lineRule="auto"/>
        <w:ind w:left="357" w:right="-159"/>
        <w:jc w:val="both"/>
        <w:rPr>
          <w:rFonts w:eastAsia="Calibri"/>
          <w:sz w:val="26"/>
          <w:szCs w:val="26"/>
          <w:lang w:eastAsia="en-US"/>
        </w:rPr>
      </w:pPr>
      <w:r w:rsidRPr="009B1CF2">
        <w:rPr>
          <w:rFonts w:eastAsia="Calibri"/>
          <w:sz w:val="26"/>
          <w:szCs w:val="26"/>
          <w:lang w:eastAsia="en-US"/>
        </w:rPr>
        <w:t xml:space="preserve">A nivel más amplio, las economías de mercados emergentes y en desarrollo que no se apoyan en la paridad cambiaria deberían estar preparadas para recurrir a la flexibilidad del tipo de cambio a fin de responder a los </w:t>
      </w:r>
      <w:r w:rsidRPr="009B1CF2">
        <w:rPr>
          <w:rFonts w:eastAsia="Calibri"/>
          <w:i/>
          <w:sz w:val="26"/>
          <w:szCs w:val="26"/>
          <w:lang w:eastAsia="en-US"/>
        </w:rPr>
        <w:t>shocks</w:t>
      </w:r>
      <w:r w:rsidRPr="009B1CF2">
        <w:rPr>
          <w:rFonts w:eastAsia="Calibri"/>
          <w:sz w:val="26"/>
          <w:szCs w:val="26"/>
          <w:lang w:eastAsia="en-US"/>
        </w:rPr>
        <w:t xml:space="preserve"> financieros externos, complementándola con otras medidas como la intervención cambiaria para limitar la volatilidad excesiva en los mercados. Esto quizá requiera reforzar la credibilidad </w:t>
      </w:r>
      <w:r w:rsidRPr="009B1CF2">
        <w:rPr>
          <w:rFonts w:eastAsia="Calibri"/>
          <w:sz w:val="26"/>
          <w:szCs w:val="26"/>
          <w:lang w:eastAsia="en-US"/>
        </w:rPr>
        <w:lastRenderedPageBreak/>
        <w:t xml:space="preserve">del marco de política macroeconómica en algunos países, y el marco de política macroprudencial debe estar preparado para mantener en niveles manejables las exposiciones de los balances a los riesgos cambiarios (Indonesia, Malasia, Turquía). También será importante hacer cumplir o (de ser necesario) reforzar la regulación y la supervisión prudencial, así como los marcos macroprudenciales, en las economías donde la rápida expansión reciente del crédito y el aumento del apalancamiento del sector privado han hecho subir con fuerza las relaciones crédito/PIB y han agudizado las vulnerabilidades vinculadas al crédito (como Brasil, China, Tailandia y Turquía; véase también la gráfica </w:t>
      </w:r>
      <w:r w:rsidRPr="009B1CF2">
        <w:rPr>
          <w:rFonts w:eastAsia="Calibri"/>
          <w:i/>
          <w:sz w:val="26"/>
          <w:szCs w:val="26"/>
          <w:lang w:eastAsia="en-US"/>
        </w:rPr>
        <w:t>Políticas Monetarias y crédito en las economías de mercados emergente</w:t>
      </w:r>
      <w:r w:rsidRPr="009B1CF2">
        <w:rPr>
          <w:rFonts w:eastAsia="Calibri"/>
          <w:sz w:val="26"/>
          <w:szCs w:val="26"/>
          <w:lang w:eastAsia="en-US"/>
        </w:rPr>
        <w:t xml:space="preserve">s). </w:t>
      </w:r>
    </w:p>
    <w:p w14:paraId="367DDE9F" w14:textId="77777777" w:rsidR="009B1CF2" w:rsidRPr="009B1CF2" w:rsidRDefault="009B1CF2" w:rsidP="009B1CF2">
      <w:pPr>
        <w:spacing w:after="360" w:line="360" w:lineRule="auto"/>
        <w:ind w:left="357" w:right="-159"/>
        <w:jc w:val="both"/>
        <w:rPr>
          <w:rFonts w:eastAsia="Calibri"/>
          <w:sz w:val="26"/>
          <w:szCs w:val="26"/>
          <w:lang w:eastAsia="en-US"/>
        </w:rPr>
      </w:pPr>
      <w:r w:rsidRPr="009B1CF2">
        <w:rPr>
          <w:rFonts w:eastAsia="Calibri"/>
          <w:sz w:val="26"/>
          <w:szCs w:val="26"/>
          <w:lang w:eastAsia="en-US"/>
        </w:rPr>
        <w:t xml:space="preserve">En China, el reequilibramiento hacia la demanda interna ha estado hasta ahora principalmente impulsado por la rápida expansión de la inversión y el crédito, un patrón de crecimiento insostenible que ha desembocado en crecientes vulnerabilidades en los sectores empresarial, financiero y público. Para impedir que los riesgos concomitantes se agraven, será necesario calibrar con cuidado las políticas para contener las vulnerabilidades al mismo tiempo que se maneja la correspondiente desaceleración y se activan fuentes de crecimiento sostenibles. En este sentido, es crucial que se implementen las reformas estructurales de las autoridades a fin de otorgarles un papel más decisivo a los mecanismos de mercado, eliminar distorsiones y fortalecer las instituciones. Implementando estas reformas, se lograría un uso más eficiente de los recursos y, por lo tanto, se aceleraría el aumento de la productividad y se mejorarían los niveles de vida a lo ancho de todo el espectro de ingresos. Entre los ejemplos cabe mencionar reformas del sector financiero encaminadas a afianzar la regulación y la supervisión, liberalizar las tasas pasivas, recurrir con más frecuencia a las tasas de interés como instrumento de la política monetaria y eliminar las garantías implícitas generalizadas; reformas fiscales y de la seguridad social; y reformas de las empresas estatales, incluida una nivelación del campo de juego entre el sector público y el privado. </w:t>
      </w:r>
    </w:p>
    <w:p w14:paraId="15D25088" w14:textId="77777777" w:rsidR="009B1CF2" w:rsidRPr="009B1CF2" w:rsidRDefault="009B1CF2" w:rsidP="009B1CF2">
      <w:pPr>
        <w:spacing w:after="360" w:line="360" w:lineRule="auto"/>
        <w:ind w:left="357" w:right="-159"/>
        <w:jc w:val="both"/>
        <w:rPr>
          <w:rFonts w:eastAsia="Calibri"/>
          <w:sz w:val="26"/>
          <w:szCs w:val="26"/>
          <w:lang w:eastAsia="en-US"/>
        </w:rPr>
      </w:pPr>
      <w:r w:rsidRPr="009B1CF2">
        <w:rPr>
          <w:rFonts w:eastAsia="Calibri"/>
          <w:sz w:val="26"/>
          <w:szCs w:val="26"/>
          <w:lang w:eastAsia="en-US"/>
        </w:rPr>
        <w:lastRenderedPageBreak/>
        <w:t xml:space="preserve">El hecho de que hayan transcurrido varios años con menores perspectivas de crecimiento a mediano plazo lleva a pensar también que es hora de que las grandes economías de mercados emergentes emprendan importantes reformas estructurales para infundir un estímulo duradero a la productividad y al crecimiento. Aunque la desaceleración del aumento estimado de la productividad total de los factores en las grandes economías de mercados emergentes es en parte una implicación natural del reciente avance de la convergencia, como se explica en el Capítulo 3, lo que inquieta es la posibilidad de que el crecimiento del producto potencial ahora dependa excesivamente de la acumulación de factores en algunas economías. Naturalmente, el programa de reformas estructurales varía según el país, pero incluye la eliminación de estrangulamientos de infraestructura en el sector energético (India, Indonesia, Sudáfrica); la reducción de los límites al comercio y la inversión, y la mejora del clima empresarial (Indonesia, Rusia); y la ejecución de reformas de la educación y los mercados de trabajo y de productos para incrementar la competitividad y la productividad (Brasil, China, India, Sudáfrica) y la prestación de servicios públicos (Sudáfrica). En India, la recuperación de la confianza después de las elecciones y la caída de los precios del petróleo ofrecen una oportunidad para emprender estas reformas estructurales.  </w:t>
      </w:r>
    </w:p>
    <w:p w14:paraId="406831EB" w14:textId="77777777" w:rsidR="009B1CF2" w:rsidRPr="009B1CF2" w:rsidRDefault="009B1CF2" w:rsidP="009B1CF2">
      <w:pPr>
        <w:spacing w:after="360"/>
        <w:ind w:right="-159"/>
        <w:jc w:val="both"/>
        <w:rPr>
          <w:rFonts w:eastAsia="Calibri"/>
          <w:b/>
          <w:sz w:val="26"/>
          <w:szCs w:val="26"/>
          <w:lang w:eastAsia="en-US"/>
        </w:rPr>
      </w:pPr>
      <w:r w:rsidRPr="009B1CF2">
        <w:rPr>
          <w:rFonts w:eastAsia="Calibri"/>
          <w:b/>
          <w:sz w:val="26"/>
          <w:szCs w:val="26"/>
          <w:lang w:eastAsia="en-US"/>
        </w:rPr>
        <w:t xml:space="preserve">Sortear los riesgos que plantea la caída de los precios de las materias primas en los países de bajo ingreso </w:t>
      </w:r>
    </w:p>
    <w:p w14:paraId="784FED45"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crecimiento ha conservado el vigor en los países de bajo ingreso como grupo, al tiempo que se ha debilitado en las economías avanzadas y de mercados emergentes. Pero los retos para el crecimiento y las vulnerabilidades se han multiplicado como resultado de la retracción de la actividad en las economías avanzadas y de mercados emergentes y la caída de los precios de las materias primas. Además, la ampliación del acceso al financiamiento en mercados externos ha aumentado la exposición de algunos países de bajo ingreso a la volatilidad de los mercados financieros internacionales. </w:t>
      </w:r>
    </w:p>
    <w:p w14:paraId="2D4E554C" w14:textId="675AA52E"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En consecuencia, las perspectivas de crecimiento a corto plazo de los países de bajo ingreso como grupo ya fueron revisadas a la baja durante el último año, aunque no tanto como las de otros grupos de países. Entre </w:t>
      </w:r>
      <w:r w:rsidR="002B2982">
        <w:rPr>
          <w:rFonts w:eastAsia="Calibri"/>
          <w:sz w:val="26"/>
          <w:szCs w:val="26"/>
          <w:lang w:eastAsia="en-US"/>
        </w:rPr>
        <w:t>é</w:t>
      </w:r>
      <w:r w:rsidRPr="009B1CF2">
        <w:rPr>
          <w:rFonts w:eastAsia="Calibri"/>
          <w:sz w:val="26"/>
          <w:szCs w:val="26"/>
          <w:lang w:eastAsia="en-US"/>
        </w:rPr>
        <w:t xml:space="preserve">stos, los déficit fiscales y los coeficientes de deuda pública han aumentado en varios casos. El descenso drástico de los precios del petróleo ha aumentado los retos para el crecimiento de los países de bajo ingreso que son exportadores de petróleo. Mantener la solidez de las posiciones fiscal y externa será una tarea ahora más difícil, dada la tensión a la que se encuentran sometidos los ingresos presupuestarios y los beneficios en moneda extranjera. </w:t>
      </w:r>
    </w:p>
    <w:p w14:paraId="312B075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políticas deben responder a esta multiplicación de retos y vulnerabilidades. En algunos países, es necesario reforzar los saldos fiscales como respuesta a la caída del ingreso generado por las materias primas y otras exportaciones, y a la posibilidad de que el crecimiento se atenúe en cierta medida en el futuro. Las necesidades concretas varían según el país, pero entre las prioridades generales cabe mencionar la ampliación de la base de recaudación y el ajuste del gasto no esencial, a la vez que se mantiene la inversión esencial para eliminar lagunas en la infraestructura y el gasto social. En muchos países de bajo ingreso, la flexibilización del tipo de cambio contribuirá a adaptarse a la desmejora de las condiciones financieras y de la demanda externa. Sin embargo, dicha flexibilización quizá requiera la adopción de una política macroeconómica más restrictiva y el afianzamiento del marco de política monetaria a fin de limitar efectos de segunda ronda perjudiciales para los precios internos. Y en el caso de los países exportadores de petróleo con un limitado margen de protección, el ajuste fiscal será tanto inevitable como urgente. También será crítico manejar con cuidado las exposiciones de los balances a las monedas extranjeras. </w:t>
      </w:r>
    </w:p>
    <w:p w14:paraId="5AC69B4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países de bajo ingreso también tienen que avanzar hacia el logro de los Objetivos de Desarrollo Sostenible, que reemplazarán los Objetivos de Desarrollo del Milenio en septiembre de 2015. A pesar del vigoroso crecimiento de una mayoría de estos países, el progreso hacia los Objetivos de Desarrollo del Milenio ha sido desigual, y la crisis </w:t>
      </w:r>
      <w:r w:rsidRPr="009B1CF2">
        <w:rPr>
          <w:rFonts w:eastAsia="Calibri"/>
          <w:sz w:val="26"/>
          <w:szCs w:val="26"/>
          <w:lang w:eastAsia="en-US"/>
        </w:rPr>
        <w:lastRenderedPageBreak/>
        <w:t xml:space="preserve">financiera internacional en muchos casos asestó un revés a lo logrado con tanto esfuerzo. Los Estados más pobres, los Estados frágiles y los Estados afectados por conflictos continúan enfrentados a grandes dificultades para hacer realidad sus prioridades en materia de desarrollo. </w:t>
      </w:r>
    </w:p>
    <w:p w14:paraId="103FF5D9"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Las medidas destinadas a superar retos y vulnerabilidades propios del crecimiento serán cruciales para avanzar hacia las metas de desarrollo. Además, las políticas deberán centrarse en la movilización sostenible de los recursos para estimular el crecimiento. Las prioridades varían según el país, pero en términos generales incluyen medidas destinadas a afianzar el ingreso fiscal, promover la profundización financiera y atraer flujos de capital extranjero. La comunidad internacional —incluidas las economías avanzadas y las economías de mercados emergentes sistémicamente importantes— también tendrá que desempeñar un papel importante que sirva de respaldo para mantener un ambiente externo propicio. Entre las prioridades cabe mencionar una mayor liberalización del comercio internacional, la colaboración y asistencia técnica en temas de desarrollo, la finalización de los planes de reforma regulatoria internacional y la cooperación en asuntos de tributación internacional y cambio climático.</w:t>
      </w:r>
    </w:p>
    <w:p w14:paraId="00C72D6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La sección especial: Evolución y proyecciones de los mercados de materias primas, con especial atención a la inversión en una era de precios bajos del petróleo puede ser consultada en el documento original.</w:t>
      </w:r>
    </w:p>
    <w:p w14:paraId="56C51A49"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Capítulo 2</w:t>
      </w:r>
    </w:p>
    <w:p w14:paraId="628E4D71"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Perspectivas Nacionales y Regionales</w:t>
      </w:r>
    </w:p>
    <w:p w14:paraId="083DC99C"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pronósticos de crecimiento mundial son de 3.5% en 2015 y 3.8% en 2016, observándose perspectivas desiguales entre los principales países y regiones. El crecimiento en las economías de mercados emergentes se está enfriando, debido a un ajuste ante las perspectivas más moderadas de crecimiento a mediano plazo y a una </w:t>
      </w:r>
      <w:r w:rsidRPr="009B1CF2">
        <w:rPr>
          <w:rFonts w:eastAsia="Calibri"/>
          <w:sz w:val="26"/>
          <w:szCs w:val="26"/>
          <w:lang w:eastAsia="en-US"/>
        </w:rPr>
        <w:lastRenderedPageBreak/>
        <w:t xml:space="preserve">disminución de los ingresos derivados de las exportaciones de materias primas, así como a factores específicos de cada país. Las perspectivas para las economías avanzadas dan señales de mejora, debido al estímulo que recibe el ingreso disponible gracias al abaratamiento de los precios del petróleo, el continuo apoyo de la orientación acomodaticia de la política monetaria y un ajuste fiscal más moderado. La distribución de los riesgos a los que está expuesto el crecimiento mundial a corto plazo es ahora más equilibrada que en octubre de 2014, pero aún se inclina a la baja. El descenso de los precios del petróleo podría impulsar la actividad más de lo previsto. Las tensiones geopolíticas siguen planteando amenazas, y no se han disipado los riesgos de movimientos perturbadores en los precios de los activos. En algunas economías avanzadas, la inflación continuamente baja o la deflación también entrañan riesgos para la actividad. </w:t>
      </w:r>
    </w:p>
    <w:p w14:paraId="456C2C2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Durante la crisis financiera mundial y en los años posteriores, los principales </w:t>
      </w:r>
      <w:r w:rsidRPr="009B1CF2">
        <w:rPr>
          <w:rFonts w:eastAsia="Calibri"/>
          <w:i/>
          <w:sz w:val="26"/>
          <w:szCs w:val="26"/>
          <w:lang w:eastAsia="en-US"/>
        </w:rPr>
        <w:t>shocks</w:t>
      </w:r>
      <w:r w:rsidRPr="009B1CF2">
        <w:rPr>
          <w:rFonts w:eastAsia="Calibri"/>
          <w:sz w:val="26"/>
          <w:szCs w:val="26"/>
          <w:lang w:eastAsia="en-US"/>
        </w:rPr>
        <w:t xml:space="preserve"> mundiales —la crisis de las hipotecas de alto riesgo y Lehman Brothers en 2008–09 y la crisis de la zona del euro en 2011–12— tuvieron repercusiones similares en todas las regiones, si bien en distinta medida. No obstante, las fuerzas que actualmente determinan las perspectivas mundiales —en especial el descenso de los precios del petróleo y las materias primas— son de naturaleza más redistributiva: benefician a algunas regiones y perjudican a otras (gráfica </w:t>
      </w:r>
      <w:r w:rsidRPr="009B1CF2">
        <w:rPr>
          <w:rFonts w:eastAsia="Calibri"/>
          <w:i/>
          <w:sz w:val="26"/>
          <w:szCs w:val="26"/>
          <w:lang w:eastAsia="en-US"/>
        </w:rPr>
        <w:t>Proyecciones de crecimiento del PIB en 2015 y los efectos de un shock de la oferta de petróleo</w:t>
      </w:r>
      <w:r w:rsidRPr="009B1CF2">
        <w:rPr>
          <w:rFonts w:eastAsia="Calibri"/>
          <w:sz w:val="26"/>
          <w:szCs w:val="26"/>
          <w:lang w:eastAsia="en-US"/>
        </w:rPr>
        <w:t xml:space="preserve">). Las divergencias de crecimiento entre las principales economías, y los consiguientes ajustes cambiarios y de tasas de interés, repercuten de forma dispar en las distintas regiones. Estas fuerzas son el telón de fondo de las perspectivas regionales que se analizan en este Capítulo: </w:t>
      </w:r>
    </w:p>
    <w:p w14:paraId="61E7B7A0" w14:textId="276B855E" w:rsidR="009B1CF2" w:rsidRPr="009B1CF2" w:rsidRDefault="009B1CF2" w:rsidP="003518F4">
      <w:pPr>
        <w:numPr>
          <w:ilvl w:val="1"/>
          <w:numId w:val="15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 fuerte caída experimentada recientemente por los precios del petróleo (y, en menor medida, por los precios de las materias primas) ha sido en términos netos un factor positivo para la economía mundial y las regiones importadoras de dichos productos, pero un lastre para los países exportadores de materias primas </w:t>
      </w:r>
      <w:r w:rsidRPr="009B1CF2">
        <w:rPr>
          <w:rFonts w:eastAsia="Calibri"/>
          <w:sz w:val="26"/>
          <w:szCs w:val="26"/>
          <w:lang w:eastAsia="en-US"/>
        </w:rPr>
        <w:lastRenderedPageBreak/>
        <w:t xml:space="preserve">de América Latina y el Caribe, la Comunidad de Estados Independientes, Oriente Medio y Norte de África, y África </w:t>
      </w:r>
      <w:r w:rsidR="001611C8">
        <w:rPr>
          <w:rFonts w:eastAsia="Calibri"/>
          <w:sz w:val="26"/>
          <w:szCs w:val="26"/>
          <w:lang w:eastAsia="en-US"/>
        </w:rPr>
        <w:t>Subsahariana</w:t>
      </w:r>
      <w:r w:rsidRPr="009B1CF2">
        <w:rPr>
          <w:rFonts w:eastAsia="Calibri"/>
          <w:sz w:val="26"/>
          <w:szCs w:val="26"/>
          <w:lang w:eastAsia="en-US"/>
        </w:rPr>
        <w:t xml:space="preserve">. </w:t>
      </w:r>
    </w:p>
    <w:p w14:paraId="117C69F1" w14:textId="77777777" w:rsidR="009B1CF2" w:rsidRPr="009B1CF2" w:rsidRDefault="009B1CF2" w:rsidP="003518F4">
      <w:pPr>
        <w:numPr>
          <w:ilvl w:val="1"/>
          <w:numId w:val="15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Las trayectorias divergentes de las principales economías —crecimiento sólido en Estados Unidos de Norteamérica, la recuperación más débil que está en curso en la zona del euro y Japón y desaceleración del crecimiento en China— también tienen repercusiones distintas según la región y el país: impulsan a las regiones que presentan fuertes vínculos comerciales con Estados Unidos de Norteamérica pero perjudican a las que están relacionadas más estrechamente con las otras economías principales. </w:t>
      </w:r>
    </w:p>
    <w:p w14:paraId="6CF8FCD8" w14:textId="77777777" w:rsidR="009B1CF2" w:rsidRPr="009B1CF2" w:rsidRDefault="009B1CF2" w:rsidP="003518F4">
      <w:pPr>
        <w:numPr>
          <w:ilvl w:val="1"/>
          <w:numId w:val="156"/>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El fortalecimiento del dólar estadounidense y el debilitamiento del euro y el yen también tienen efectos redistributivos. Obviamente, son un buen estímulo para la floja recuperación en Japón y la zona del euro, así como un viento en contra (si bien manejable por el momento) para la recuperación en Estados Unidos de Norteamérica. No obstante, también generan tensiones entre estabilidad financiera y competitividad en las regiones y países que en los últimos años han registrado un incremento del endeudamiento denominado en dólares.</w:t>
      </w:r>
    </w:p>
    <w:p w14:paraId="2708D073"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Estados Unidos de Norteamérica y Canadá: Una recuperación sólida </w:t>
      </w:r>
    </w:p>
    <w:p w14:paraId="1831877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crecimiento se mantiene sólido en Estados Unidos y Canadá. Sin embargo, si bien el descenso de los precios de la energía ha impulsado el crecimiento en Estados Unidos de Norteamérica, dicho descenso plantea riesgos para la economía canadiense en vista del tamaño relativamente grande de su sector energético. En Estados Unidos de Norteamérica, los mercados laborales y la confianza de las empresas y los consumidores han mostrado una sólida mejora. Asimismo, por ahora, la economía ha resistido el debilitamiento de las condiciones externas y el fortalecimiento del dólar. El reto principal al que ahora deberán hacer frente las políticas es lograr una normalización fluida de la política monetaria. Además, seguirá siendo un desafío generar consenso </w:t>
      </w:r>
      <w:r w:rsidRPr="009B1CF2">
        <w:rPr>
          <w:rFonts w:eastAsia="Calibri"/>
          <w:sz w:val="26"/>
          <w:szCs w:val="26"/>
          <w:lang w:eastAsia="en-US"/>
        </w:rPr>
        <w:lastRenderedPageBreak/>
        <w:t>político en torno a una consolidación fiscal a mediano plazo y reformas por el lado de la oferta que estén encaminadas a impulsar el crecimiento a mediano plazo; entre dichas medidas cabe mencionar la simplificación del sistema tributario, la inversión en infraestructura y capital humano y la reforma de la política de inmigración. En Canadá, el mantenimiento de una política monetaria acomodaticia y una consolidación fiscal gradual ayudarían a alcanzar un crecimiento más equilibrado y de base más amplia.</w:t>
      </w:r>
    </w:p>
    <w:p w14:paraId="3F27E40F" w14:textId="77777777" w:rsidR="009B1CF2" w:rsidRPr="009B1CF2" w:rsidRDefault="009B1CF2" w:rsidP="009B1CF2">
      <w:pPr>
        <w:spacing w:after="160" w:line="259" w:lineRule="auto"/>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MONETARIO.pptx!267"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1B832C2A" wp14:editId="124202C1">
            <wp:extent cx="5140325" cy="3429000"/>
            <wp:effectExtent l="0" t="0" r="3175" b="0"/>
            <wp:docPr id="1855" name="Imagen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59" cstate="print">
                      <a:extLst>
                        <a:ext uri="{28A0092B-C50C-407E-A947-70E740481C1C}">
                          <a14:useLocalDpi xmlns:a14="http://schemas.microsoft.com/office/drawing/2010/main" val="0"/>
                        </a:ext>
                      </a:extLst>
                    </a:blip>
                    <a:srcRect l="7947" r="7518"/>
                    <a:stretch>
                      <a:fillRect/>
                    </a:stretch>
                  </pic:blipFill>
                  <pic:spPr bwMode="auto">
                    <a:xfrm>
                      <a:off x="0" y="0"/>
                      <a:ext cx="5140325" cy="342900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7864F3E1" w14:textId="77777777" w:rsidR="009B1CF2" w:rsidRPr="009B1CF2" w:rsidRDefault="009B1CF2" w:rsidP="009B1CF2">
      <w:pPr>
        <w:spacing w:after="160" w:line="259" w:lineRule="auto"/>
        <w:jc w:val="center"/>
        <w:rPr>
          <w:rFonts w:ascii="Calibri" w:eastAsia="Calibri" w:hAnsi="Calibri"/>
          <w:sz w:val="22"/>
          <w:szCs w:val="22"/>
          <w:lang w:eastAsia="en-US"/>
        </w:rPr>
      </w:pPr>
    </w:p>
    <w:p w14:paraId="53ECF62C" w14:textId="77777777" w:rsidR="009B1CF2" w:rsidRPr="009B1CF2" w:rsidRDefault="009B1CF2" w:rsidP="009B1CF2">
      <w:pPr>
        <w:spacing w:after="160" w:line="259" w:lineRule="auto"/>
        <w:jc w:val="center"/>
        <w:rPr>
          <w:rFonts w:ascii="Calibri" w:eastAsia="Calibri" w:hAnsi="Calibri"/>
          <w:sz w:val="22"/>
          <w:szCs w:val="22"/>
          <w:lang w:eastAsia="en-US"/>
        </w:rPr>
      </w:pPr>
    </w:p>
    <w:p w14:paraId="44ACE481" w14:textId="77777777" w:rsidR="009B1CF2" w:rsidRPr="009B1CF2" w:rsidRDefault="009B1CF2" w:rsidP="009B1CF2">
      <w:pPr>
        <w:spacing w:after="160" w:line="259" w:lineRule="auto"/>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MONETARIO.pptx!268"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09706222" wp14:editId="377178C9">
            <wp:extent cx="5183505" cy="3429000"/>
            <wp:effectExtent l="0" t="0" r="0" b="0"/>
            <wp:docPr id="1527" name="Imagen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60" cstate="print">
                      <a:extLst>
                        <a:ext uri="{28A0092B-C50C-407E-A947-70E740481C1C}">
                          <a14:useLocalDpi xmlns:a14="http://schemas.microsoft.com/office/drawing/2010/main" val="0"/>
                        </a:ext>
                      </a:extLst>
                    </a:blip>
                    <a:srcRect l="8374" r="6380"/>
                    <a:stretch>
                      <a:fillRect/>
                    </a:stretch>
                  </pic:blipFill>
                  <pic:spPr bwMode="auto">
                    <a:xfrm>
                      <a:off x="0" y="0"/>
                      <a:ext cx="5183505" cy="342900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37C6FFA2" w14:textId="77777777" w:rsidR="009B1CF2" w:rsidRPr="009B1CF2" w:rsidRDefault="009B1CF2" w:rsidP="009B1CF2">
      <w:pPr>
        <w:spacing w:after="160" w:line="259" w:lineRule="auto"/>
        <w:jc w:val="center"/>
        <w:rPr>
          <w:rFonts w:ascii="Calibri" w:eastAsia="Calibri" w:hAnsi="Calibri"/>
          <w:sz w:val="22"/>
          <w:szCs w:val="22"/>
          <w:lang w:eastAsia="en-US"/>
        </w:rPr>
      </w:pPr>
    </w:p>
    <w:p w14:paraId="6849AA5D"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Estados Unidos de Norteamérica, el crecimiento ha sido vigoroso, con un promedio anualizado de 3.9% en los tres últimos trimestres de 2014. El consumo —el motor principal del crecimiento— se ha visto beneficiado por la continua creación de empleo y el crecimiento del ingreso, el nivel bajo de los precios del petróleo y la mejora de la confianza de los consumidores. La tasa de desempleo se situó en 5.5% en febrero, 1.2 puntos porcentuales por debajo del nivel que registraba hace un año (gráfica siguiente). En general, la inversión no residencial ha respaldado el crecimiento, aunque el descenso de los precios del petróleo ha afectado negativamente a la inversión en el sector energético. </w:t>
      </w:r>
    </w:p>
    <w:p w14:paraId="1B7FBFBD" w14:textId="77777777" w:rsidR="002B2982" w:rsidRDefault="002B2982" w:rsidP="009B1CF2">
      <w:pPr>
        <w:spacing w:after="360" w:line="360" w:lineRule="auto"/>
        <w:ind w:right="-159"/>
        <w:jc w:val="both"/>
        <w:rPr>
          <w:rFonts w:eastAsia="Calibri"/>
          <w:sz w:val="26"/>
          <w:szCs w:val="26"/>
          <w:lang w:eastAsia="en-US"/>
        </w:rPr>
      </w:pPr>
    </w:p>
    <w:p w14:paraId="0EEB69F7" w14:textId="77777777" w:rsidR="002B2982" w:rsidRDefault="002B2982" w:rsidP="009B1CF2">
      <w:pPr>
        <w:spacing w:after="360" w:line="360" w:lineRule="auto"/>
        <w:ind w:right="-159"/>
        <w:jc w:val="both"/>
        <w:rPr>
          <w:rFonts w:eastAsia="Calibri"/>
          <w:sz w:val="26"/>
          <w:szCs w:val="26"/>
          <w:lang w:eastAsia="en-US"/>
        </w:rPr>
      </w:pPr>
    </w:p>
    <w:p w14:paraId="784CD3F6" w14:textId="77777777" w:rsidR="002B2982" w:rsidRDefault="002B2982" w:rsidP="009B1CF2">
      <w:pPr>
        <w:spacing w:after="360" w:line="360" w:lineRule="auto"/>
        <w:ind w:right="-159"/>
        <w:jc w:val="both"/>
        <w:rPr>
          <w:rFonts w:eastAsia="Calibri"/>
          <w:sz w:val="26"/>
          <w:szCs w:val="26"/>
          <w:lang w:eastAsia="en-US"/>
        </w:rPr>
      </w:pPr>
    </w:p>
    <w:p w14:paraId="188FCE5B"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lastRenderedPageBreak/>
        <w:t>ESTADOS UNIDOS DE NORTEAMÉRICA Y CANADÁ: UNA RECUPERACIÓN SÓLIDA</w:t>
      </w:r>
    </w:p>
    <w:p w14:paraId="5FEC2F61" w14:textId="10B1BA33" w:rsidR="009B1CF2" w:rsidRPr="009B1CF2" w:rsidRDefault="009B1CF2" w:rsidP="009B1CF2">
      <w:pPr>
        <w:spacing w:after="120"/>
        <w:ind w:left="1134" w:right="1134"/>
        <w:jc w:val="center"/>
        <w:rPr>
          <w:rFonts w:eastAsia="Calibri"/>
          <w:b/>
          <w:sz w:val="20"/>
          <w:szCs w:val="20"/>
          <w:lang w:eastAsia="en-US"/>
        </w:rPr>
      </w:pPr>
      <w:r w:rsidRPr="009B1CF2">
        <w:rPr>
          <w:rFonts w:eastAsia="Calibri"/>
          <w:b/>
          <w:sz w:val="20"/>
          <w:szCs w:val="20"/>
          <w:lang w:eastAsia="en-US"/>
        </w:rPr>
        <w:t xml:space="preserve">En Estados Unidos de Norteamérica el crecimiento subyacente es sólido. El consumo crece a buen ritmo porque los mercados laborales han registrado fuertes mejoras, pero la recuperación de la inversión sigue teniendo un margen de mejora considerable. Las presiones sobre salarios y precios siguen siendo moderadas, en parte debido al descenso de los precios de la energía. En Canadá, el crecimiento se desaceleró en el primer trimestre de 2014, pero repuntó con fuerza en los dos trimestres siguientes, y las exportaciones se beneficiaron de la recuperación en Estados Unidos de Norteamérica y el debilitamiento de la moneda. Los riesgos del mercado de la vivienda y los efectos derivados del </w:t>
      </w:r>
      <w:r w:rsidRPr="009B1CF2">
        <w:rPr>
          <w:rFonts w:eastAsia="Calibri"/>
          <w:b/>
          <w:i/>
          <w:sz w:val="20"/>
          <w:szCs w:val="20"/>
          <w:lang w:eastAsia="en-US"/>
        </w:rPr>
        <w:t>shock</w:t>
      </w:r>
      <w:r w:rsidRPr="009B1CF2">
        <w:rPr>
          <w:rFonts w:eastAsia="Calibri"/>
          <w:b/>
          <w:sz w:val="20"/>
          <w:szCs w:val="20"/>
          <w:lang w:eastAsia="en-US"/>
        </w:rPr>
        <w:t xml:space="preserve"> del petróleo exigen una continua vigilancia en Canadá</w:t>
      </w:r>
    </w:p>
    <w:p w14:paraId="73FCA7F5" w14:textId="0D40F5C5" w:rsidR="005C0560" w:rsidRDefault="00864AD3" w:rsidP="005C0560">
      <w:pPr>
        <w:jc w:val="center"/>
      </w:pPr>
      <w:r w:rsidRPr="00864AD3">
        <w:rPr>
          <w:rFonts w:eastAsia="Calibri"/>
          <w:b/>
          <w:noProof/>
          <w:sz w:val="20"/>
          <w:szCs w:val="20"/>
          <w:lang w:eastAsia="es-MX"/>
        </w:rPr>
        <mc:AlternateContent>
          <mc:Choice Requires="wps">
            <w:drawing>
              <wp:anchor distT="45720" distB="45720" distL="114300" distR="114300" simplePos="0" relativeHeight="251661312" behindDoc="0" locked="0" layoutInCell="1" allowOverlap="1" wp14:anchorId="713C9394" wp14:editId="70439F30">
                <wp:simplePos x="0" y="0"/>
                <wp:positionH relativeFrom="column">
                  <wp:posOffset>1218565</wp:posOffset>
                </wp:positionH>
                <wp:positionV relativeFrom="paragraph">
                  <wp:posOffset>8255</wp:posOffset>
                </wp:positionV>
                <wp:extent cx="2908300" cy="224790"/>
                <wp:effectExtent l="0" t="0" r="6350" b="3810"/>
                <wp:wrapNone/>
                <wp:docPr id="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8300" cy="224790"/>
                        </a:xfrm>
                        <a:prstGeom prst="rect">
                          <a:avLst/>
                        </a:prstGeom>
                        <a:solidFill>
                          <a:srgbClr val="FFFFFF"/>
                        </a:solidFill>
                        <a:ln w="9525">
                          <a:noFill/>
                          <a:miter lim="800000"/>
                          <a:headEnd/>
                          <a:tailEnd/>
                        </a:ln>
                      </wps:spPr>
                      <wps:txbx>
                        <w:txbxContent>
                          <w:p w14:paraId="3228A0CA" w14:textId="5FFFB46A" w:rsidR="00864AD3" w:rsidRDefault="00864AD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3C9394" id="_x0000_s1027" type="#_x0000_t202" style="position:absolute;left:0;text-align:left;margin-left:95.95pt;margin-top:.65pt;width:229pt;height:17.7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" stroked="f">
                <v:textbox>
                  <w:txbxContent>
                    <w:p w14:paraId="3228A0CA" w14:textId="5FFFB46A" w:rsidR="00864AD3" w:rsidRDefault="00864AD3"/>
                  </w:txbxContent>
                </v:textbox>
              </v:shape>
            </w:pict>
          </mc:Fallback>
        </mc:AlternateContent>
      </w:r>
      <w:r w:rsidR="005C0560">
        <w:fldChar w:fldCharType="begin"/>
      </w:r>
      <w:r w:rsidR="005C0560">
        <w:instrText xml:space="preserve"> LINK PowerPoint.Slide.8 "D:\\2015\\ABRIL\\DOCUMENTOS\\25.-GRÁFICAS  DEL FONDO MONETARIO.pptx!270" "" \a \p </w:instrText>
      </w:r>
      <w:r w:rsidR="005C0560">
        <w:fldChar w:fldCharType="separate"/>
      </w:r>
      <w:r w:rsidR="005C0560">
        <w:rPr>
          <w:noProof/>
          <w:lang w:eastAsia="es-MX"/>
        </w:rPr>
        <w:drawing>
          <wp:inline distT="0" distB="0" distL="0" distR="0" wp14:anchorId="0288ECD5" wp14:editId="59F26857">
            <wp:extent cx="3997325" cy="2502535"/>
            <wp:effectExtent l="0" t="0" r="317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61" cstate="print">
                      <a:extLst>
                        <a:ext uri="{28A0092B-C50C-407E-A947-70E740481C1C}">
                          <a14:useLocalDpi xmlns:a14="http://schemas.microsoft.com/office/drawing/2010/main" val="0"/>
                        </a:ext>
                      </a:extLst>
                    </a:blip>
                    <a:srcRect l="15881" r="15601" b="23679"/>
                    <a:stretch>
                      <a:fillRect/>
                    </a:stretch>
                  </pic:blipFill>
                  <pic:spPr bwMode="auto">
                    <a:xfrm>
                      <a:off x="0" y="0"/>
                      <a:ext cx="3997325" cy="2502535"/>
                    </a:xfrm>
                    <a:prstGeom prst="rect">
                      <a:avLst/>
                    </a:prstGeom>
                    <a:noFill/>
                    <a:ln>
                      <a:noFill/>
                    </a:ln>
                  </pic:spPr>
                </pic:pic>
              </a:graphicData>
            </a:graphic>
          </wp:inline>
        </w:drawing>
      </w:r>
      <w:r w:rsidR="005C0560">
        <w:fldChar w:fldCharType="end"/>
      </w:r>
    </w:p>
    <w:p w14:paraId="3EC4680D" w14:textId="77777777" w:rsidR="005C0560" w:rsidRDefault="005C0560" w:rsidP="005C0560">
      <w:pPr>
        <w:jc w:val="center"/>
      </w:pPr>
      <w:r>
        <w:fldChar w:fldCharType="begin"/>
      </w:r>
      <w:r>
        <w:instrText xml:space="preserve"> LINK PowerPoint.Slide.8 "D:\\2015\\ABRIL\\DOCUMENTOS\\25.-GRÁFICAS  DEL FONDO MONETARIO.pptx!271" "" \a \p </w:instrText>
      </w:r>
      <w:r>
        <w:fldChar w:fldCharType="separate"/>
      </w:r>
      <w:r>
        <w:rPr>
          <w:noProof/>
          <w:lang w:eastAsia="es-MX"/>
        </w:rPr>
        <w:drawing>
          <wp:inline distT="0" distB="0" distL="0" distR="0" wp14:anchorId="4399BDF4" wp14:editId="7C191D24">
            <wp:extent cx="4102735" cy="2304415"/>
            <wp:effectExtent l="0" t="0" r="0" b="63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62" cstate="print">
                      <a:extLst>
                        <a:ext uri="{28A0092B-C50C-407E-A947-70E740481C1C}">
                          <a14:useLocalDpi xmlns:a14="http://schemas.microsoft.com/office/drawing/2010/main" val="0"/>
                        </a:ext>
                      </a:extLst>
                    </a:blip>
                    <a:srcRect l="16173" r="16457" b="32747"/>
                    <a:stretch>
                      <a:fillRect/>
                    </a:stretch>
                  </pic:blipFill>
                  <pic:spPr bwMode="auto">
                    <a:xfrm>
                      <a:off x="0" y="0"/>
                      <a:ext cx="4102735" cy="2304415"/>
                    </a:xfrm>
                    <a:prstGeom prst="rect">
                      <a:avLst/>
                    </a:prstGeom>
                    <a:noFill/>
                    <a:ln>
                      <a:noFill/>
                    </a:ln>
                  </pic:spPr>
                </pic:pic>
              </a:graphicData>
            </a:graphic>
          </wp:inline>
        </w:drawing>
      </w:r>
      <w:r>
        <w:fldChar w:fldCharType="end"/>
      </w:r>
    </w:p>
    <w:p w14:paraId="6C743293" w14:textId="55BAFF07" w:rsidR="009B1CF2" w:rsidRPr="009B1CF2" w:rsidRDefault="005C0560" w:rsidP="005C0560">
      <w:pPr>
        <w:spacing w:after="360" w:line="360" w:lineRule="auto"/>
        <w:ind w:right="-159"/>
        <w:jc w:val="center"/>
        <w:rPr>
          <w:rFonts w:eastAsia="Calibri"/>
          <w:sz w:val="26"/>
          <w:szCs w:val="26"/>
          <w:lang w:eastAsia="en-US"/>
        </w:rPr>
      </w:pPr>
      <w:r>
        <w:lastRenderedPageBreak/>
        <w:fldChar w:fldCharType="begin"/>
      </w:r>
      <w:r>
        <w:instrText xml:space="preserve"> LINK PowerPoint.Slide.8 "D:\\2015\\ABRIL\\DOCUMENTOS\\25.-GRÁFICAS  DEL FONDO MONETARIO.pptx!272" "" \a \p </w:instrText>
      </w:r>
      <w:r>
        <w:fldChar w:fldCharType="separate"/>
      </w:r>
      <w:r>
        <w:rPr>
          <w:noProof/>
          <w:lang w:eastAsia="es-MX"/>
        </w:rPr>
        <w:drawing>
          <wp:inline distT="0" distB="0" distL="0" distR="0" wp14:anchorId="6A7FF6AC" wp14:editId="4A27036B">
            <wp:extent cx="4250690" cy="3348990"/>
            <wp:effectExtent l="0" t="0" r="0" b="381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63" cstate="print">
                      <a:extLst>
                        <a:ext uri="{28A0092B-C50C-407E-A947-70E740481C1C}">
                          <a14:useLocalDpi xmlns:a14="http://schemas.microsoft.com/office/drawing/2010/main" val="0"/>
                        </a:ext>
                      </a:extLst>
                    </a:blip>
                    <a:srcRect l="16737" r="11632"/>
                    <a:stretch>
                      <a:fillRect/>
                    </a:stretch>
                  </pic:blipFill>
                  <pic:spPr bwMode="auto">
                    <a:xfrm>
                      <a:off x="0" y="0"/>
                      <a:ext cx="4250690" cy="3348990"/>
                    </a:xfrm>
                    <a:prstGeom prst="rect">
                      <a:avLst/>
                    </a:prstGeom>
                    <a:noFill/>
                    <a:ln>
                      <a:noFill/>
                    </a:ln>
                  </pic:spPr>
                </pic:pic>
              </a:graphicData>
            </a:graphic>
          </wp:inline>
        </w:drawing>
      </w:r>
      <w:r>
        <w:fldChar w:fldCharType="end"/>
      </w:r>
    </w:p>
    <w:p w14:paraId="40C533E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A pesar de la recuperación, hay pocos indicios de presiones significativas sobre los precios y los salarios. En febrero, el principal índice de precios del gasto de consumo personal fue solo 1.4% superior al del año anterior, y el nivel general de inflación fue todavía menor, de 0.2%, lo que refleja en gran medida la caída de los precios de la energía. Los salarios reales crecieron menos de 1% en 2014, a pesar del fortalecimiento constante del mercado laboral. </w:t>
      </w:r>
    </w:p>
    <w:p w14:paraId="6865F51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Reserva Federal puso fin a su compra de activos en octubre de 2014, y para el tercer trimestre de este año se espera el despegue de las tasas de interés de política monetaria con respecto al límite cero. De todos modos, se prevé que las tasas de política monetaria solo aumenten con lentitud. La Reserva Federal ha hecho saber claramente que el momento elegido para ese despegue dependerá de los avances registrados en la consecución de sus objetivos de pleno empleo e inflación de 2%. Las tasas de interés a largo plazo han seguido disminuyendo, principalmente debido a la mayor debilidad de las condiciones externas, el exceso de la demanda de activos seguros y las expectativas de que el dólar se fortalezca. </w:t>
      </w:r>
    </w:p>
    <w:p w14:paraId="2A7980E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Las condiciones siguen siendo aptas para una sólida evolución económica en Estados Unidos de Norteamérica. El nivel notablemente bajo de los precios de la energía, una inflación controlada, la orientación acomodaticia de la política monetaria, las condiciones financieras favorables, el menor lastre fiscal, el fortalecimiento de los balances de los hogares, las empresas y los bancos y el afianzamiento del mercado de la vivienda tendrán un efecto combinado que permitirá mantener el ímpetu de fuerte crecimiento. Se espera que estas fuerzas compensen con creces el fortalecimiento del dólar. Se prevé que el crecimiento alcance 3.1% en 2015, como se había proyectado en la edición de octubre de 2014 de Perspectivas de la Economía Mundial, y que permanezca en 3.1% en 2016 (cuadro siguiente).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7"/>
        <w:gridCol w:w="540"/>
        <w:gridCol w:w="540"/>
        <w:gridCol w:w="540"/>
        <w:gridCol w:w="540"/>
        <w:gridCol w:w="608"/>
        <w:gridCol w:w="652"/>
        <w:gridCol w:w="540"/>
        <w:gridCol w:w="540"/>
        <w:gridCol w:w="540"/>
        <w:gridCol w:w="540"/>
        <w:gridCol w:w="540"/>
        <w:gridCol w:w="540"/>
      </w:tblGrid>
      <w:tr w:rsidR="009B1CF2" w:rsidRPr="004B5288" w14:paraId="08567E58" w14:textId="77777777" w:rsidTr="008B3DA6">
        <w:trPr>
          <w:jc w:val="center"/>
        </w:trPr>
        <w:tc>
          <w:tcPr>
            <w:tcW w:w="8637" w:type="dxa"/>
            <w:gridSpan w:val="13"/>
            <w:tcBorders>
              <w:top w:val="nil"/>
              <w:left w:val="nil"/>
              <w:right w:val="nil"/>
            </w:tcBorders>
          </w:tcPr>
          <w:p w14:paraId="4EA02FAD" w14:textId="77777777" w:rsidR="0098560F" w:rsidRDefault="009B1CF2" w:rsidP="009B1CF2">
            <w:pPr>
              <w:jc w:val="center"/>
              <w:rPr>
                <w:rFonts w:eastAsia="Times New Roman"/>
                <w:b/>
                <w:sz w:val="14"/>
                <w:szCs w:val="14"/>
                <w:lang w:val="es-ES"/>
              </w:rPr>
            </w:pPr>
            <w:r w:rsidRPr="004B5288">
              <w:rPr>
                <w:rFonts w:eastAsia="Times New Roman"/>
                <w:b/>
                <w:sz w:val="14"/>
                <w:szCs w:val="14"/>
                <w:lang w:val="es-ES"/>
              </w:rPr>
              <w:t xml:space="preserve">PIB REAL, PRECIOS AL CONSUMIDOR, SALDO EN CUENTA CORRIENTE Y DESEMPLEO </w:t>
            </w:r>
          </w:p>
          <w:p w14:paraId="1253D5B3" w14:textId="7251E67F" w:rsidR="009B1CF2" w:rsidRPr="004B5288" w:rsidRDefault="009B1CF2" w:rsidP="009B1CF2">
            <w:pPr>
              <w:jc w:val="center"/>
              <w:rPr>
                <w:rFonts w:eastAsia="Times New Roman"/>
                <w:b/>
                <w:sz w:val="14"/>
                <w:szCs w:val="14"/>
                <w:lang w:val="es-ES"/>
              </w:rPr>
            </w:pPr>
            <w:r w:rsidRPr="004B5288">
              <w:rPr>
                <w:rFonts w:eastAsia="Times New Roman"/>
                <w:b/>
                <w:sz w:val="14"/>
                <w:szCs w:val="14"/>
                <w:lang w:val="es-ES"/>
              </w:rPr>
              <w:t>EN ALGUNAS ECONOMÍAS AVANZADAS</w:t>
            </w:r>
          </w:p>
          <w:p w14:paraId="3539E016" w14:textId="77777777" w:rsidR="009B1CF2" w:rsidRPr="004B5288" w:rsidRDefault="009B1CF2" w:rsidP="009B1CF2">
            <w:pPr>
              <w:jc w:val="center"/>
              <w:rPr>
                <w:rFonts w:eastAsia="Times New Roman"/>
                <w:b/>
                <w:sz w:val="14"/>
                <w:szCs w:val="14"/>
                <w:lang w:val="es-ES"/>
              </w:rPr>
            </w:pPr>
            <w:r w:rsidRPr="004B5288">
              <w:rPr>
                <w:rFonts w:eastAsia="Times New Roman"/>
                <w:b/>
                <w:sz w:val="14"/>
                <w:szCs w:val="14"/>
                <w:lang w:val="es-ES"/>
              </w:rPr>
              <w:t>-Variación porcentual anual, salvo indicación en contrario-</w:t>
            </w:r>
          </w:p>
        </w:tc>
      </w:tr>
      <w:tr w:rsidR="009B1CF2" w:rsidRPr="009B1CF2" w14:paraId="7BDD6ACD" w14:textId="77777777" w:rsidTr="008B3DA6">
        <w:trPr>
          <w:jc w:val="center"/>
        </w:trPr>
        <w:tc>
          <w:tcPr>
            <w:tcW w:w="1977" w:type="dxa"/>
            <w:vMerge w:val="restart"/>
          </w:tcPr>
          <w:p w14:paraId="79399AFB" w14:textId="77777777" w:rsidR="009B1CF2" w:rsidRPr="004B5288" w:rsidRDefault="009B1CF2" w:rsidP="009B1CF2">
            <w:pPr>
              <w:rPr>
                <w:rFonts w:eastAsia="Times New Roman"/>
                <w:b/>
                <w:sz w:val="12"/>
                <w:szCs w:val="12"/>
                <w:lang w:val="es-ES"/>
              </w:rPr>
            </w:pPr>
          </w:p>
        </w:tc>
        <w:tc>
          <w:tcPr>
            <w:tcW w:w="1620" w:type="dxa"/>
            <w:gridSpan w:val="3"/>
            <w:shd w:val="clear" w:color="auto" w:fill="auto"/>
            <w:vAlign w:val="center"/>
          </w:tcPr>
          <w:p w14:paraId="31FB850C"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PIB real</w:t>
            </w:r>
          </w:p>
        </w:tc>
        <w:tc>
          <w:tcPr>
            <w:tcW w:w="1800" w:type="dxa"/>
            <w:gridSpan w:val="3"/>
            <w:shd w:val="clear" w:color="auto" w:fill="auto"/>
            <w:vAlign w:val="center"/>
          </w:tcPr>
          <w:p w14:paraId="192BEC90"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Precios al consumidor</w:t>
            </w:r>
            <w:r w:rsidRPr="004B5288">
              <w:rPr>
                <w:rFonts w:eastAsia="Times New Roman"/>
                <w:b/>
                <w:sz w:val="12"/>
                <w:szCs w:val="12"/>
                <w:u w:val="single"/>
                <w:vertAlign w:val="superscript"/>
                <w:lang w:val="es-ES"/>
              </w:rPr>
              <w:t>1</w:t>
            </w:r>
            <w:r w:rsidRPr="004B5288">
              <w:rPr>
                <w:rFonts w:eastAsia="Times New Roman"/>
                <w:b/>
                <w:sz w:val="12"/>
                <w:szCs w:val="12"/>
                <w:vertAlign w:val="superscript"/>
                <w:lang w:val="es-ES"/>
              </w:rPr>
              <w:t>/</w:t>
            </w:r>
          </w:p>
        </w:tc>
        <w:tc>
          <w:tcPr>
            <w:tcW w:w="1620" w:type="dxa"/>
            <w:gridSpan w:val="3"/>
            <w:vAlign w:val="center"/>
          </w:tcPr>
          <w:p w14:paraId="451F0390"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Saldo en cuenta corriente</w:t>
            </w:r>
            <w:r w:rsidRPr="004B5288">
              <w:rPr>
                <w:rFonts w:eastAsia="Times New Roman"/>
                <w:b/>
                <w:sz w:val="12"/>
                <w:szCs w:val="12"/>
                <w:u w:val="single"/>
                <w:vertAlign w:val="superscript"/>
                <w:lang w:val="es-ES"/>
              </w:rPr>
              <w:t>2</w:t>
            </w:r>
            <w:r w:rsidRPr="004B5288">
              <w:rPr>
                <w:rFonts w:eastAsia="Times New Roman"/>
                <w:b/>
                <w:sz w:val="12"/>
                <w:szCs w:val="12"/>
                <w:vertAlign w:val="superscript"/>
                <w:lang w:val="es-ES"/>
              </w:rPr>
              <w:t>/</w:t>
            </w:r>
          </w:p>
        </w:tc>
        <w:tc>
          <w:tcPr>
            <w:tcW w:w="1620" w:type="dxa"/>
            <w:gridSpan w:val="3"/>
            <w:vAlign w:val="center"/>
          </w:tcPr>
          <w:p w14:paraId="51D88E71"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Desempleo</w:t>
            </w:r>
            <w:r w:rsidRPr="004B5288">
              <w:rPr>
                <w:rFonts w:eastAsia="Times New Roman"/>
                <w:b/>
                <w:sz w:val="12"/>
                <w:szCs w:val="12"/>
                <w:u w:val="single"/>
                <w:vertAlign w:val="superscript"/>
                <w:lang w:val="es-ES"/>
              </w:rPr>
              <w:t>3</w:t>
            </w:r>
            <w:r w:rsidRPr="004B5288">
              <w:rPr>
                <w:rFonts w:eastAsia="Times New Roman"/>
                <w:b/>
                <w:sz w:val="12"/>
                <w:szCs w:val="12"/>
                <w:vertAlign w:val="superscript"/>
                <w:lang w:val="es-ES"/>
              </w:rPr>
              <w:t>/</w:t>
            </w:r>
          </w:p>
        </w:tc>
      </w:tr>
      <w:tr w:rsidR="009B1CF2" w:rsidRPr="009B1CF2" w14:paraId="5B327D0C" w14:textId="77777777" w:rsidTr="008B3DA6">
        <w:trPr>
          <w:jc w:val="center"/>
        </w:trPr>
        <w:tc>
          <w:tcPr>
            <w:tcW w:w="1977" w:type="dxa"/>
            <w:vMerge/>
          </w:tcPr>
          <w:p w14:paraId="78572DEF" w14:textId="77777777" w:rsidR="009B1CF2" w:rsidRPr="004B5288" w:rsidRDefault="009B1CF2" w:rsidP="009B1CF2">
            <w:pPr>
              <w:rPr>
                <w:rFonts w:eastAsia="Times New Roman"/>
                <w:b/>
                <w:sz w:val="12"/>
                <w:szCs w:val="12"/>
                <w:lang w:val="es-ES"/>
              </w:rPr>
            </w:pPr>
          </w:p>
        </w:tc>
        <w:tc>
          <w:tcPr>
            <w:tcW w:w="540" w:type="dxa"/>
            <w:vMerge w:val="restart"/>
            <w:shd w:val="clear" w:color="auto" w:fill="auto"/>
            <w:vAlign w:val="bottom"/>
          </w:tcPr>
          <w:p w14:paraId="438A2694"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2014</w:t>
            </w:r>
          </w:p>
        </w:tc>
        <w:tc>
          <w:tcPr>
            <w:tcW w:w="1080" w:type="dxa"/>
            <w:gridSpan w:val="2"/>
            <w:shd w:val="clear" w:color="auto" w:fill="auto"/>
            <w:vAlign w:val="center"/>
          </w:tcPr>
          <w:p w14:paraId="25F6E63E"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Proyecciones</w:t>
            </w:r>
          </w:p>
        </w:tc>
        <w:tc>
          <w:tcPr>
            <w:tcW w:w="540" w:type="dxa"/>
            <w:vMerge w:val="restart"/>
            <w:shd w:val="clear" w:color="auto" w:fill="auto"/>
            <w:vAlign w:val="bottom"/>
          </w:tcPr>
          <w:p w14:paraId="0BEB9046"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2014</w:t>
            </w:r>
          </w:p>
        </w:tc>
        <w:tc>
          <w:tcPr>
            <w:tcW w:w="1260" w:type="dxa"/>
            <w:gridSpan w:val="2"/>
            <w:shd w:val="clear" w:color="auto" w:fill="auto"/>
            <w:vAlign w:val="center"/>
          </w:tcPr>
          <w:p w14:paraId="670A864C"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Proyecciones</w:t>
            </w:r>
          </w:p>
        </w:tc>
        <w:tc>
          <w:tcPr>
            <w:tcW w:w="540" w:type="dxa"/>
            <w:vMerge w:val="restart"/>
            <w:vAlign w:val="bottom"/>
          </w:tcPr>
          <w:p w14:paraId="19CF0CA5"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2014</w:t>
            </w:r>
          </w:p>
        </w:tc>
        <w:tc>
          <w:tcPr>
            <w:tcW w:w="1080" w:type="dxa"/>
            <w:gridSpan w:val="2"/>
            <w:vAlign w:val="center"/>
          </w:tcPr>
          <w:p w14:paraId="3724D329"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Proyecciones</w:t>
            </w:r>
          </w:p>
        </w:tc>
        <w:tc>
          <w:tcPr>
            <w:tcW w:w="540" w:type="dxa"/>
            <w:vMerge w:val="restart"/>
            <w:vAlign w:val="bottom"/>
          </w:tcPr>
          <w:p w14:paraId="1AC58EBC"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2014</w:t>
            </w:r>
          </w:p>
        </w:tc>
        <w:tc>
          <w:tcPr>
            <w:tcW w:w="1080" w:type="dxa"/>
            <w:gridSpan w:val="2"/>
            <w:vAlign w:val="center"/>
          </w:tcPr>
          <w:p w14:paraId="280176AC"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Proyecciones</w:t>
            </w:r>
          </w:p>
        </w:tc>
      </w:tr>
      <w:tr w:rsidR="009B1CF2" w:rsidRPr="009B1CF2" w14:paraId="75D2ECB3" w14:textId="77777777" w:rsidTr="008B3DA6">
        <w:trPr>
          <w:jc w:val="center"/>
        </w:trPr>
        <w:tc>
          <w:tcPr>
            <w:tcW w:w="1977" w:type="dxa"/>
            <w:vMerge/>
          </w:tcPr>
          <w:p w14:paraId="3AF42A06" w14:textId="77777777" w:rsidR="009B1CF2" w:rsidRPr="004B5288" w:rsidRDefault="009B1CF2" w:rsidP="009B1CF2">
            <w:pPr>
              <w:rPr>
                <w:rFonts w:eastAsia="Times New Roman"/>
                <w:b/>
                <w:sz w:val="12"/>
                <w:szCs w:val="12"/>
                <w:lang w:val="es-ES"/>
              </w:rPr>
            </w:pPr>
          </w:p>
        </w:tc>
        <w:tc>
          <w:tcPr>
            <w:tcW w:w="540" w:type="dxa"/>
            <w:vMerge/>
          </w:tcPr>
          <w:p w14:paraId="43FCFAE7" w14:textId="77777777" w:rsidR="009B1CF2" w:rsidRPr="004B5288" w:rsidRDefault="009B1CF2" w:rsidP="009B1CF2">
            <w:pPr>
              <w:ind w:right="57"/>
              <w:jc w:val="center"/>
              <w:rPr>
                <w:rFonts w:eastAsia="Times New Roman"/>
                <w:b/>
                <w:sz w:val="12"/>
                <w:szCs w:val="12"/>
                <w:lang w:val="es-ES"/>
              </w:rPr>
            </w:pPr>
          </w:p>
        </w:tc>
        <w:tc>
          <w:tcPr>
            <w:tcW w:w="540" w:type="dxa"/>
          </w:tcPr>
          <w:p w14:paraId="5B3237C6"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2015</w:t>
            </w:r>
          </w:p>
        </w:tc>
        <w:tc>
          <w:tcPr>
            <w:tcW w:w="540" w:type="dxa"/>
          </w:tcPr>
          <w:p w14:paraId="30928830"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2016</w:t>
            </w:r>
          </w:p>
        </w:tc>
        <w:tc>
          <w:tcPr>
            <w:tcW w:w="540" w:type="dxa"/>
            <w:vMerge/>
          </w:tcPr>
          <w:p w14:paraId="007F6A70" w14:textId="77777777" w:rsidR="009B1CF2" w:rsidRPr="004B5288" w:rsidRDefault="009B1CF2" w:rsidP="009B1CF2">
            <w:pPr>
              <w:ind w:right="57"/>
              <w:jc w:val="center"/>
              <w:rPr>
                <w:rFonts w:eastAsia="Times New Roman"/>
                <w:b/>
                <w:sz w:val="12"/>
                <w:szCs w:val="12"/>
                <w:lang w:val="es-ES"/>
              </w:rPr>
            </w:pPr>
          </w:p>
        </w:tc>
        <w:tc>
          <w:tcPr>
            <w:tcW w:w="608" w:type="dxa"/>
          </w:tcPr>
          <w:p w14:paraId="33230BBA"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2015</w:t>
            </w:r>
          </w:p>
        </w:tc>
        <w:tc>
          <w:tcPr>
            <w:tcW w:w="652" w:type="dxa"/>
          </w:tcPr>
          <w:p w14:paraId="6285AB85"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2016</w:t>
            </w:r>
          </w:p>
        </w:tc>
        <w:tc>
          <w:tcPr>
            <w:tcW w:w="540" w:type="dxa"/>
            <w:vMerge/>
          </w:tcPr>
          <w:p w14:paraId="3D120790" w14:textId="77777777" w:rsidR="009B1CF2" w:rsidRPr="004B5288" w:rsidRDefault="009B1CF2" w:rsidP="009B1CF2">
            <w:pPr>
              <w:ind w:right="113"/>
              <w:jc w:val="center"/>
              <w:rPr>
                <w:rFonts w:eastAsia="Times New Roman"/>
                <w:b/>
                <w:sz w:val="12"/>
                <w:szCs w:val="12"/>
                <w:lang w:val="es-ES"/>
              </w:rPr>
            </w:pPr>
          </w:p>
        </w:tc>
        <w:tc>
          <w:tcPr>
            <w:tcW w:w="540" w:type="dxa"/>
          </w:tcPr>
          <w:p w14:paraId="77B8F33B"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2015</w:t>
            </w:r>
          </w:p>
        </w:tc>
        <w:tc>
          <w:tcPr>
            <w:tcW w:w="540" w:type="dxa"/>
          </w:tcPr>
          <w:p w14:paraId="0D58090F"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2016</w:t>
            </w:r>
          </w:p>
        </w:tc>
        <w:tc>
          <w:tcPr>
            <w:tcW w:w="540" w:type="dxa"/>
            <w:vMerge/>
          </w:tcPr>
          <w:p w14:paraId="05604A36" w14:textId="77777777" w:rsidR="009B1CF2" w:rsidRPr="004B5288" w:rsidRDefault="009B1CF2" w:rsidP="009B1CF2">
            <w:pPr>
              <w:ind w:right="113"/>
              <w:jc w:val="center"/>
              <w:rPr>
                <w:rFonts w:eastAsia="Times New Roman"/>
                <w:b/>
                <w:sz w:val="12"/>
                <w:szCs w:val="12"/>
                <w:lang w:val="es-ES"/>
              </w:rPr>
            </w:pPr>
          </w:p>
        </w:tc>
        <w:tc>
          <w:tcPr>
            <w:tcW w:w="540" w:type="dxa"/>
          </w:tcPr>
          <w:p w14:paraId="5A0BB136"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2015</w:t>
            </w:r>
          </w:p>
        </w:tc>
        <w:tc>
          <w:tcPr>
            <w:tcW w:w="540" w:type="dxa"/>
          </w:tcPr>
          <w:p w14:paraId="0D9A5C48" w14:textId="77777777" w:rsidR="009B1CF2" w:rsidRPr="004B5288" w:rsidRDefault="009B1CF2" w:rsidP="009B1CF2">
            <w:pPr>
              <w:jc w:val="center"/>
              <w:rPr>
                <w:rFonts w:eastAsia="Times New Roman"/>
                <w:b/>
                <w:sz w:val="12"/>
                <w:szCs w:val="12"/>
                <w:lang w:val="es-ES"/>
              </w:rPr>
            </w:pPr>
            <w:r w:rsidRPr="004B5288">
              <w:rPr>
                <w:rFonts w:eastAsia="Times New Roman"/>
                <w:b/>
                <w:sz w:val="12"/>
                <w:szCs w:val="12"/>
                <w:lang w:val="es-ES"/>
              </w:rPr>
              <w:t>2016</w:t>
            </w:r>
          </w:p>
        </w:tc>
      </w:tr>
      <w:tr w:rsidR="009B1CF2" w:rsidRPr="009B1CF2" w14:paraId="21782066" w14:textId="77777777" w:rsidTr="004B5288">
        <w:trPr>
          <w:jc w:val="center"/>
        </w:trPr>
        <w:tc>
          <w:tcPr>
            <w:tcW w:w="1977" w:type="dxa"/>
            <w:tcBorders>
              <w:bottom w:val="nil"/>
            </w:tcBorders>
          </w:tcPr>
          <w:p w14:paraId="37CF9839" w14:textId="77777777" w:rsidR="009B1CF2" w:rsidRPr="004B5288" w:rsidRDefault="009B1CF2" w:rsidP="009B1CF2">
            <w:pPr>
              <w:ind w:left="170"/>
              <w:rPr>
                <w:rFonts w:eastAsia="Times New Roman"/>
                <w:b/>
                <w:sz w:val="12"/>
                <w:szCs w:val="12"/>
                <w:lang w:val="es-ES"/>
              </w:rPr>
            </w:pPr>
            <w:r w:rsidRPr="004B5288">
              <w:rPr>
                <w:rFonts w:eastAsia="Times New Roman"/>
                <w:b/>
                <w:sz w:val="12"/>
                <w:szCs w:val="12"/>
                <w:lang w:val="es-ES"/>
              </w:rPr>
              <w:t>Economías avanzadas</w:t>
            </w:r>
          </w:p>
        </w:tc>
        <w:tc>
          <w:tcPr>
            <w:tcW w:w="540" w:type="dxa"/>
            <w:tcBorders>
              <w:bottom w:val="nil"/>
            </w:tcBorders>
          </w:tcPr>
          <w:p w14:paraId="320F8CAA"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1.8</w:t>
            </w:r>
          </w:p>
        </w:tc>
        <w:tc>
          <w:tcPr>
            <w:tcW w:w="540" w:type="dxa"/>
            <w:tcBorders>
              <w:bottom w:val="nil"/>
            </w:tcBorders>
          </w:tcPr>
          <w:p w14:paraId="199413F3"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2.4</w:t>
            </w:r>
          </w:p>
        </w:tc>
        <w:tc>
          <w:tcPr>
            <w:tcW w:w="540" w:type="dxa"/>
            <w:tcBorders>
              <w:bottom w:val="nil"/>
            </w:tcBorders>
          </w:tcPr>
          <w:p w14:paraId="60CE21F9"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2.4</w:t>
            </w:r>
          </w:p>
        </w:tc>
        <w:tc>
          <w:tcPr>
            <w:tcW w:w="540" w:type="dxa"/>
            <w:tcBorders>
              <w:bottom w:val="nil"/>
            </w:tcBorders>
          </w:tcPr>
          <w:p w14:paraId="5EFA3F59"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1.4</w:t>
            </w:r>
          </w:p>
        </w:tc>
        <w:tc>
          <w:tcPr>
            <w:tcW w:w="608" w:type="dxa"/>
            <w:tcBorders>
              <w:bottom w:val="nil"/>
            </w:tcBorders>
          </w:tcPr>
          <w:p w14:paraId="415D16C5"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0.4</w:t>
            </w:r>
          </w:p>
        </w:tc>
        <w:tc>
          <w:tcPr>
            <w:tcW w:w="652" w:type="dxa"/>
            <w:tcBorders>
              <w:bottom w:val="nil"/>
            </w:tcBorders>
          </w:tcPr>
          <w:p w14:paraId="2B3F4A73" w14:textId="77777777" w:rsidR="009B1CF2" w:rsidRPr="004B5288" w:rsidRDefault="009B1CF2" w:rsidP="009B1CF2">
            <w:pPr>
              <w:ind w:right="170"/>
              <w:jc w:val="right"/>
              <w:rPr>
                <w:rFonts w:eastAsia="Times New Roman"/>
                <w:b/>
                <w:sz w:val="12"/>
                <w:szCs w:val="12"/>
                <w:lang w:val="es-ES"/>
              </w:rPr>
            </w:pPr>
            <w:r w:rsidRPr="004B5288">
              <w:rPr>
                <w:rFonts w:eastAsia="Times New Roman"/>
                <w:b/>
                <w:sz w:val="12"/>
                <w:szCs w:val="12"/>
                <w:lang w:val="es-ES"/>
              </w:rPr>
              <w:t>1.4</w:t>
            </w:r>
          </w:p>
        </w:tc>
        <w:tc>
          <w:tcPr>
            <w:tcW w:w="540" w:type="dxa"/>
            <w:tcBorders>
              <w:bottom w:val="nil"/>
            </w:tcBorders>
          </w:tcPr>
          <w:p w14:paraId="3617F12C"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0.4</w:t>
            </w:r>
          </w:p>
        </w:tc>
        <w:tc>
          <w:tcPr>
            <w:tcW w:w="540" w:type="dxa"/>
            <w:tcBorders>
              <w:bottom w:val="nil"/>
            </w:tcBorders>
          </w:tcPr>
          <w:p w14:paraId="4F8C0531"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0.6</w:t>
            </w:r>
          </w:p>
        </w:tc>
        <w:tc>
          <w:tcPr>
            <w:tcW w:w="540" w:type="dxa"/>
            <w:tcBorders>
              <w:bottom w:val="nil"/>
            </w:tcBorders>
          </w:tcPr>
          <w:p w14:paraId="49B00B55"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0.4</w:t>
            </w:r>
          </w:p>
        </w:tc>
        <w:tc>
          <w:tcPr>
            <w:tcW w:w="540" w:type="dxa"/>
            <w:tcBorders>
              <w:bottom w:val="nil"/>
            </w:tcBorders>
          </w:tcPr>
          <w:p w14:paraId="01AF9041"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7.3</w:t>
            </w:r>
          </w:p>
        </w:tc>
        <w:tc>
          <w:tcPr>
            <w:tcW w:w="540" w:type="dxa"/>
            <w:tcBorders>
              <w:bottom w:val="nil"/>
            </w:tcBorders>
          </w:tcPr>
          <w:p w14:paraId="473DAEF5"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6.9</w:t>
            </w:r>
          </w:p>
        </w:tc>
        <w:tc>
          <w:tcPr>
            <w:tcW w:w="540" w:type="dxa"/>
            <w:tcBorders>
              <w:bottom w:val="nil"/>
            </w:tcBorders>
          </w:tcPr>
          <w:p w14:paraId="246DC054" w14:textId="77777777" w:rsidR="009B1CF2" w:rsidRPr="004B5288" w:rsidRDefault="009B1CF2" w:rsidP="009B1CF2">
            <w:pPr>
              <w:ind w:right="113"/>
              <w:jc w:val="right"/>
              <w:rPr>
                <w:rFonts w:eastAsia="Times New Roman"/>
                <w:b/>
                <w:sz w:val="12"/>
                <w:szCs w:val="12"/>
                <w:lang w:val="es-ES"/>
              </w:rPr>
            </w:pPr>
            <w:r w:rsidRPr="004B5288">
              <w:rPr>
                <w:rFonts w:eastAsia="Times New Roman"/>
                <w:b/>
                <w:sz w:val="12"/>
                <w:szCs w:val="12"/>
                <w:lang w:val="es-ES"/>
              </w:rPr>
              <w:t>6.6</w:t>
            </w:r>
          </w:p>
        </w:tc>
      </w:tr>
      <w:tr w:rsidR="009B1CF2" w:rsidRPr="009B1CF2" w14:paraId="26EA0D07" w14:textId="77777777" w:rsidTr="004B5288">
        <w:trPr>
          <w:jc w:val="center"/>
        </w:trPr>
        <w:tc>
          <w:tcPr>
            <w:tcW w:w="1977" w:type="dxa"/>
            <w:tcBorders>
              <w:top w:val="nil"/>
              <w:bottom w:val="nil"/>
            </w:tcBorders>
          </w:tcPr>
          <w:p w14:paraId="187FA048" w14:textId="77777777" w:rsidR="009B1CF2" w:rsidRPr="004B5288" w:rsidRDefault="009B1CF2" w:rsidP="009B1CF2">
            <w:pPr>
              <w:ind w:left="170"/>
              <w:rPr>
                <w:rFonts w:eastAsia="Times New Roman"/>
                <w:sz w:val="12"/>
                <w:szCs w:val="12"/>
                <w:lang w:val="es-ES"/>
              </w:rPr>
            </w:pPr>
            <w:r w:rsidRPr="004B5288">
              <w:rPr>
                <w:rFonts w:eastAsia="Times New Roman"/>
                <w:sz w:val="12"/>
                <w:szCs w:val="12"/>
                <w:lang w:val="es-ES"/>
              </w:rPr>
              <w:t>Estados Unidos de Norteamérica</w:t>
            </w:r>
          </w:p>
        </w:tc>
        <w:tc>
          <w:tcPr>
            <w:tcW w:w="540" w:type="dxa"/>
            <w:tcBorders>
              <w:top w:val="nil"/>
              <w:bottom w:val="nil"/>
            </w:tcBorders>
          </w:tcPr>
          <w:p w14:paraId="7334989C"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2.4</w:t>
            </w:r>
          </w:p>
        </w:tc>
        <w:tc>
          <w:tcPr>
            <w:tcW w:w="540" w:type="dxa"/>
            <w:tcBorders>
              <w:top w:val="nil"/>
              <w:bottom w:val="nil"/>
            </w:tcBorders>
          </w:tcPr>
          <w:p w14:paraId="43CF8A30"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3.1</w:t>
            </w:r>
          </w:p>
        </w:tc>
        <w:tc>
          <w:tcPr>
            <w:tcW w:w="540" w:type="dxa"/>
            <w:tcBorders>
              <w:top w:val="nil"/>
              <w:bottom w:val="nil"/>
            </w:tcBorders>
          </w:tcPr>
          <w:p w14:paraId="0BF53479"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3.1</w:t>
            </w:r>
          </w:p>
        </w:tc>
        <w:tc>
          <w:tcPr>
            <w:tcW w:w="540" w:type="dxa"/>
            <w:tcBorders>
              <w:top w:val="nil"/>
              <w:bottom w:val="nil"/>
            </w:tcBorders>
          </w:tcPr>
          <w:p w14:paraId="58EAC20C"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1.6</w:t>
            </w:r>
          </w:p>
        </w:tc>
        <w:tc>
          <w:tcPr>
            <w:tcW w:w="608" w:type="dxa"/>
            <w:tcBorders>
              <w:top w:val="nil"/>
              <w:bottom w:val="nil"/>
            </w:tcBorders>
          </w:tcPr>
          <w:p w14:paraId="41233A20"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0.1</w:t>
            </w:r>
          </w:p>
        </w:tc>
        <w:tc>
          <w:tcPr>
            <w:tcW w:w="652" w:type="dxa"/>
            <w:tcBorders>
              <w:top w:val="nil"/>
              <w:bottom w:val="nil"/>
            </w:tcBorders>
          </w:tcPr>
          <w:p w14:paraId="7F79A973" w14:textId="77777777" w:rsidR="009B1CF2" w:rsidRPr="004B5288" w:rsidRDefault="009B1CF2" w:rsidP="009B1CF2">
            <w:pPr>
              <w:ind w:right="170"/>
              <w:jc w:val="right"/>
              <w:rPr>
                <w:rFonts w:eastAsia="Times New Roman"/>
                <w:sz w:val="12"/>
                <w:szCs w:val="12"/>
                <w:lang w:val="es-ES"/>
              </w:rPr>
            </w:pPr>
            <w:r w:rsidRPr="004B5288">
              <w:rPr>
                <w:rFonts w:eastAsia="Times New Roman"/>
                <w:sz w:val="12"/>
                <w:szCs w:val="12"/>
                <w:lang w:val="es-ES"/>
              </w:rPr>
              <w:t>1.5</w:t>
            </w:r>
          </w:p>
        </w:tc>
        <w:tc>
          <w:tcPr>
            <w:tcW w:w="540" w:type="dxa"/>
            <w:tcBorders>
              <w:top w:val="nil"/>
              <w:bottom w:val="nil"/>
            </w:tcBorders>
          </w:tcPr>
          <w:p w14:paraId="79669A1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-2.4</w:t>
            </w:r>
          </w:p>
        </w:tc>
        <w:tc>
          <w:tcPr>
            <w:tcW w:w="540" w:type="dxa"/>
            <w:tcBorders>
              <w:top w:val="nil"/>
              <w:bottom w:val="nil"/>
            </w:tcBorders>
          </w:tcPr>
          <w:p w14:paraId="70321AD3"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-2.3</w:t>
            </w:r>
          </w:p>
        </w:tc>
        <w:tc>
          <w:tcPr>
            <w:tcW w:w="540" w:type="dxa"/>
            <w:tcBorders>
              <w:top w:val="nil"/>
              <w:bottom w:val="nil"/>
            </w:tcBorders>
          </w:tcPr>
          <w:p w14:paraId="4D3C12F4"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-2.4</w:t>
            </w:r>
          </w:p>
        </w:tc>
        <w:tc>
          <w:tcPr>
            <w:tcW w:w="540" w:type="dxa"/>
            <w:tcBorders>
              <w:top w:val="nil"/>
              <w:bottom w:val="nil"/>
            </w:tcBorders>
          </w:tcPr>
          <w:p w14:paraId="14AFEFB0"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6.2</w:t>
            </w:r>
          </w:p>
        </w:tc>
        <w:tc>
          <w:tcPr>
            <w:tcW w:w="540" w:type="dxa"/>
            <w:tcBorders>
              <w:top w:val="nil"/>
              <w:bottom w:val="nil"/>
            </w:tcBorders>
          </w:tcPr>
          <w:p w14:paraId="3C8AECA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5.5</w:t>
            </w:r>
          </w:p>
        </w:tc>
        <w:tc>
          <w:tcPr>
            <w:tcW w:w="540" w:type="dxa"/>
            <w:tcBorders>
              <w:top w:val="nil"/>
              <w:bottom w:val="nil"/>
            </w:tcBorders>
          </w:tcPr>
          <w:p w14:paraId="38A4D77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5.1</w:t>
            </w:r>
          </w:p>
        </w:tc>
      </w:tr>
      <w:tr w:rsidR="009B1CF2" w:rsidRPr="009B1CF2" w14:paraId="3F3AE9A1" w14:textId="77777777" w:rsidTr="004B5288">
        <w:trPr>
          <w:jc w:val="center"/>
        </w:trPr>
        <w:tc>
          <w:tcPr>
            <w:tcW w:w="1977" w:type="dxa"/>
            <w:tcBorders>
              <w:top w:val="nil"/>
              <w:bottom w:val="nil"/>
            </w:tcBorders>
          </w:tcPr>
          <w:p w14:paraId="7C028C7F" w14:textId="77777777" w:rsidR="009B1CF2" w:rsidRPr="004B5288" w:rsidRDefault="009B1CF2" w:rsidP="009B1CF2">
            <w:pPr>
              <w:ind w:left="170"/>
              <w:rPr>
                <w:rFonts w:eastAsia="Times New Roman"/>
                <w:sz w:val="12"/>
                <w:szCs w:val="12"/>
                <w:lang w:val="es-ES"/>
              </w:rPr>
            </w:pPr>
            <w:r w:rsidRPr="004B5288">
              <w:rPr>
                <w:rFonts w:eastAsia="Times New Roman"/>
                <w:sz w:val="12"/>
                <w:szCs w:val="12"/>
                <w:lang w:val="es-ES"/>
              </w:rPr>
              <w:t>Zona del euro</w:t>
            </w:r>
            <w:r w:rsidRPr="004B5288">
              <w:rPr>
                <w:rFonts w:eastAsia="Times New Roman"/>
                <w:sz w:val="12"/>
                <w:szCs w:val="12"/>
                <w:u w:val="single"/>
                <w:vertAlign w:val="superscript"/>
                <w:lang w:val="es-ES"/>
              </w:rPr>
              <w:t>4</w:t>
            </w:r>
            <w:r w:rsidRPr="004B5288">
              <w:rPr>
                <w:rFonts w:eastAsia="Times New Roman"/>
                <w:sz w:val="12"/>
                <w:szCs w:val="12"/>
                <w:vertAlign w:val="superscript"/>
                <w:lang w:val="es-ES"/>
              </w:rPr>
              <w:t>/,</w:t>
            </w:r>
            <w:r w:rsidRPr="004B5288">
              <w:rPr>
                <w:rFonts w:eastAsia="Times New Roman"/>
                <w:sz w:val="12"/>
                <w:szCs w:val="12"/>
                <w:u w:val="single"/>
                <w:vertAlign w:val="superscript"/>
                <w:lang w:val="es-ES"/>
              </w:rPr>
              <w:t>5</w:t>
            </w:r>
            <w:r w:rsidRPr="004B5288">
              <w:rPr>
                <w:rFonts w:eastAsia="Times New Roman"/>
                <w:sz w:val="12"/>
                <w:szCs w:val="12"/>
                <w:vertAlign w:val="superscript"/>
                <w:lang w:val="es-ES"/>
              </w:rPr>
              <w:t>/</w:t>
            </w:r>
          </w:p>
        </w:tc>
        <w:tc>
          <w:tcPr>
            <w:tcW w:w="540" w:type="dxa"/>
            <w:tcBorders>
              <w:top w:val="nil"/>
              <w:bottom w:val="nil"/>
            </w:tcBorders>
          </w:tcPr>
          <w:p w14:paraId="08D4E4DE"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0.9</w:t>
            </w:r>
          </w:p>
        </w:tc>
        <w:tc>
          <w:tcPr>
            <w:tcW w:w="540" w:type="dxa"/>
            <w:tcBorders>
              <w:top w:val="nil"/>
              <w:bottom w:val="nil"/>
            </w:tcBorders>
          </w:tcPr>
          <w:p w14:paraId="6A5CCE8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1.5</w:t>
            </w:r>
          </w:p>
        </w:tc>
        <w:tc>
          <w:tcPr>
            <w:tcW w:w="540" w:type="dxa"/>
            <w:tcBorders>
              <w:top w:val="nil"/>
              <w:bottom w:val="nil"/>
            </w:tcBorders>
          </w:tcPr>
          <w:p w14:paraId="056BB52A"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1.6</w:t>
            </w:r>
          </w:p>
        </w:tc>
        <w:tc>
          <w:tcPr>
            <w:tcW w:w="540" w:type="dxa"/>
            <w:tcBorders>
              <w:top w:val="nil"/>
              <w:bottom w:val="nil"/>
            </w:tcBorders>
          </w:tcPr>
          <w:p w14:paraId="1011AE81"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0.4</w:t>
            </w:r>
          </w:p>
        </w:tc>
        <w:tc>
          <w:tcPr>
            <w:tcW w:w="608" w:type="dxa"/>
            <w:tcBorders>
              <w:top w:val="nil"/>
              <w:bottom w:val="nil"/>
            </w:tcBorders>
          </w:tcPr>
          <w:p w14:paraId="11603EB8"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0.1</w:t>
            </w:r>
          </w:p>
        </w:tc>
        <w:tc>
          <w:tcPr>
            <w:tcW w:w="652" w:type="dxa"/>
            <w:tcBorders>
              <w:top w:val="nil"/>
              <w:bottom w:val="nil"/>
            </w:tcBorders>
          </w:tcPr>
          <w:p w14:paraId="3452C0A2" w14:textId="77777777" w:rsidR="009B1CF2" w:rsidRPr="004B5288" w:rsidRDefault="009B1CF2" w:rsidP="009B1CF2">
            <w:pPr>
              <w:ind w:right="170"/>
              <w:jc w:val="right"/>
              <w:rPr>
                <w:rFonts w:eastAsia="Times New Roman"/>
                <w:sz w:val="12"/>
                <w:szCs w:val="12"/>
                <w:lang w:val="es-ES"/>
              </w:rPr>
            </w:pPr>
            <w:r w:rsidRPr="004B5288">
              <w:rPr>
                <w:rFonts w:eastAsia="Times New Roman"/>
                <w:sz w:val="12"/>
                <w:szCs w:val="12"/>
                <w:lang w:val="es-ES"/>
              </w:rPr>
              <w:t>1.0</w:t>
            </w:r>
          </w:p>
        </w:tc>
        <w:tc>
          <w:tcPr>
            <w:tcW w:w="540" w:type="dxa"/>
            <w:tcBorders>
              <w:top w:val="nil"/>
              <w:bottom w:val="nil"/>
            </w:tcBorders>
          </w:tcPr>
          <w:p w14:paraId="65B4CBA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2.3</w:t>
            </w:r>
          </w:p>
        </w:tc>
        <w:tc>
          <w:tcPr>
            <w:tcW w:w="540" w:type="dxa"/>
            <w:tcBorders>
              <w:top w:val="nil"/>
              <w:bottom w:val="nil"/>
            </w:tcBorders>
          </w:tcPr>
          <w:p w14:paraId="63F4FC50"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3.3</w:t>
            </w:r>
          </w:p>
        </w:tc>
        <w:tc>
          <w:tcPr>
            <w:tcW w:w="540" w:type="dxa"/>
            <w:tcBorders>
              <w:top w:val="nil"/>
              <w:bottom w:val="nil"/>
            </w:tcBorders>
          </w:tcPr>
          <w:p w14:paraId="4880699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3.1</w:t>
            </w:r>
          </w:p>
        </w:tc>
        <w:tc>
          <w:tcPr>
            <w:tcW w:w="540" w:type="dxa"/>
            <w:tcBorders>
              <w:top w:val="nil"/>
              <w:bottom w:val="nil"/>
            </w:tcBorders>
          </w:tcPr>
          <w:p w14:paraId="015EDE1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11.6</w:t>
            </w:r>
          </w:p>
        </w:tc>
        <w:tc>
          <w:tcPr>
            <w:tcW w:w="540" w:type="dxa"/>
            <w:tcBorders>
              <w:top w:val="nil"/>
              <w:bottom w:val="nil"/>
            </w:tcBorders>
          </w:tcPr>
          <w:p w14:paraId="2F7A8F84"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11.1</w:t>
            </w:r>
          </w:p>
        </w:tc>
        <w:tc>
          <w:tcPr>
            <w:tcW w:w="540" w:type="dxa"/>
            <w:tcBorders>
              <w:top w:val="nil"/>
              <w:bottom w:val="nil"/>
            </w:tcBorders>
          </w:tcPr>
          <w:p w14:paraId="0BE0842A"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10.6</w:t>
            </w:r>
          </w:p>
        </w:tc>
      </w:tr>
      <w:tr w:rsidR="009B1CF2" w:rsidRPr="009B1CF2" w14:paraId="6E8997C3" w14:textId="77777777" w:rsidTr="004B5288">
        <w:trPr>
          <w:jc w:val="center"/>
        </w:trPr>
        <w:tc>
          <w:tcPr>
            <w:tcW w:w="1977" w:type="dxa"/>
            <w:tcBorders>
              <w:top w:val="nil"/>
              <w:bottom w:val="nil"/>
            </w:tcBorders>
          </w:tcPr>
          <w:p w14:paraId="5221A7AE" w14:textId="77777777" w:rsidR="009B1CF2" w:rsidRPr="004B5288" w:rsidRDefault="009B1CF2" w:rsidP="009B1CF2">
            <w:pPr>
              <w:ind w:left="170"/>
              <w:rPr>
                <w:rFonts w:eastAsia="Times New Roman"/>
                <w:sz w:val="12"/>
                <w:szCs w:val="12"/>
                <w:lang w:val="es-ES"/>
              </w:rPr>
            </w:pPr>
            <w:r w:rsidRPr="004B5288">
              <w:rPr>
                <w:rFonts w:eastAsia="Times New Roman"/>
                <w:sz w:val="12"/>
                <w:szCs w:val="12"/>
                <w:lang w:val="es-ES"/>
              </w:rPr>
              <w:t>Japón</w:t>
            </w:r>
          </w:p>
        </w:tc>
        <w:tc>
          <w:tcPr>
            <w:tcW w:w="540" w:type="dxa"/>
            <w:tcBorders>
              <w:top w:val="nil"/>
              <w:bottom w:val="nil"/>
            </w:tcBorders>
          </w:tcPr>
          <w:p w14:paraId="702AACCD"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-0.1</w:t>
            </w:r>
          </w:p>
        </w:tc>
        <w:tc>
          <w:tcPr>
            <w:tcW w:w="540" w:type="dxa"/>
            <w:tcBorders>
              <w:top w:val="nil"/>
              <w:bottom w:val="nil"/>
            </w:tcBorders>
          </w:tcPr>
          <w:p w14:paraId="30343893"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1.0</w:t>
            </w:r>
          </w:p>
        </w:tc>
        <w:tc>
          <w:tcPr>
            <w:tcW w:w="540" w:type="dxa"/>
            <w:tcBorders>
              <w:top w:val="nil"/>
              <w:bottom w:val="nil"/>
            </w:tcBorders>
          </w:tcPr>
          <w:p w14:paraId="5E6B1BDE"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1.2</w:t>
            </w:r>
          </w:p>
        </w:tc>
        <w:tc>
          <w:tcPr>
            <w:tcW w:w="540" w:type="dxa"/>
            <w:tcBorders>
              <w:top w:val="nil"/>
              <w:bottom w:val="nil"/>
            </w:tcBorders>
          </w:tcPr>
          <w:p w14:paraId="4E1903E4"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2.7</w:t>
            </w:r>
          </w:p>
        </w:tc>
        <w:tc>
          <w:tcPr>
            <w:tcW w:w="608" w:type="dxa"/>
            <w:tcBorders>
              <w:top w:val="nil"/>
              <w:bottom w:val="nil"/>
            </w:tcBorders>
          </w:tcPr>
          <w:p w14:paraId="30B71F6A"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1.0</w:t>
            </w:r>
          </w:p>
        </w:tc>
        <w:tc>
          <w:tcPr>
            <w:tcW w:w="652" w:type="dxa"/>
            <w:tcBorders>
              <w:top w:val="nil"/>
              <w:bottom w:val="nil"/>
            </w:tcBorders>
          </w:tcPr>
          <w:p w14:paraId="7C3CFA53" w14:textId="77777777" w:rsidR="009B1CF2" w:rsidRPr="004B5288" w:rsidRDefault="009B1CF2" w:rsidP="009B1CF2">
            <w:pPr>
              <w:ind w:right="170"/>
              <w:jc w:val="right"/>
              <w:rPr>
                <w:rFonts w:eastAsia="Times New Roman"/>
                <w:sz w:val="12"/>
                <w:szCs w:val="12"/>
                <w:lang w:val="es-ES"/>
              </w:rPr>
            </w:pPr>
            <w:r w:rsidRPr="004B5288">
              <w:rPr>
                <w:rFonts w:eastAsia="Times New Roman"/>
                <w:sz w:val="12"/>
                <w:szCs w:val="12"/>
                <w:lang w:val="es-ES"/>
              </w:rPr>
              <w:t>0.9</w:t>
            </w:r>
          </w:p>
        </w:tc>
        <w:tc>
          <w:tcPr>
            <w:tcW w:w="540" w:type="dxa"/>
            <w:tcBorders>
              <w:top w:val="nil"/>
              <w:bottom w:val="nil"/>
            </w:tcBorders>
          </w:tcPr>
          <w:p w14:paraId="4A5C33AB"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0.5</w:t>
            </w:r>
          </w:p>
        </w:tc>
        <w:tc>
          <w:tcPr>
            <w:tcW w:w="540" w:type="dxa"/>
            <w:tcBorders>
              <w:top w:val="nil"/>
              <w:bottom w:val="nil"/>
            </w:tcBorders>
          </w:tcPr>
          <w:p w14:paraId="4E370827"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1.9</w:t>
            </w:r>
          </w:p>
        </w:tc>
        <w:tc>
          <w:tcPr>
            <w:tcW w:w="540" w:type="dxa"/>
            <w:tcBorders>
              <w:top w:val="nil"/>
              <w:bottom w:val="nil"/>
            </w:tcBorders>
          </w:tcPr>
          <w:p w14:paraId="3040A2A0"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2.0</w:t>
            </w:r>
          </w:p>
        </w:tc>
        <w:tc>
          <w:tcPr>
            <w:tcW w:w="540" w:type="dxa"/>
            <w:tcBorders>
              <w:top w:val="nil"/>
              <w:bottom w:val="nil"/>
            </w:tcBorders>
          </w:tcPr>
          <w:p w14:paraId="3AABA187"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3.6</w:t>
            </w:r>
          </w:p>
        </w:tc>
        <w:tc>
          <w:tcPr>
            <w:tcW w:w="540" w:type="dxa"/>
            <w:tcBorders>
              <w:top w:val="nil"/>
              <w:bottom w:val="nil"/>
            </w:tcBorders>
          </w:tcPr>
          <w:p w14:paraId="656083DE"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3.7</w:t>
            </w:r>
          </w:p>
        </w:tc>
        <w:tc>
          <w:tcPr>
            <w:tcW w:w="540" w:type="dxa"/>
            <w:tcBorders>
              <w:top w:val="nil"/>
              <w:bottom w:val="nil"/>
            </w:tcBorders>
          </w:tcPr>
          <w:p w14:paraId="42AFD4F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3.7</w:t>
            </w:r>
          </w:p>
        </w:tc>
      </w:tr>
      <w:tr w:rsidR="009B1CF2" w:rsidRPr="009B1CF2" w14:paraId="1F681F9B" w14:textId="77777777" w:rsidTr="004B5288">
        <w:trPr>
          <w:jc w:val="center"/>
        </w:trPr>
        <w:tc>
          <w:tcPr>
            <w:tcW w:w="1977" w:type="dxa"/>
            <w:tcBorders>
              <w:top w:val="nil"/>
              <w:bottom w:val="nil"/>
            </w:tcBorders>
          </w:tcPr>
          <w:p w14:paraId="2F900F19" w14:textId="77777777" w:rsidR="009B1CF2" w:rsidRPr="004B5288" w:rsidRDefault="009B1CF2" w:rsidP="009B1CF2">
            <w:pPr>
              <w:ind w:left="170"/>
              <w:rPr>
                <w:rFonts w:eastAsia="Times New Roman"/>
                <w:sz w:val="12"/>
                <w:szCs w:val="12"/>
                <w:lang w:val="es-ES"/>
              </w:rPr>
            </w:pPr>
            <w:r w:rsidRPr="004B5288">
              <w:rPr>
                <w:rFonts w:eastAsia="Times New Roman"/>
                <w:sz w:val="12"/>
                <w:szCs w:val="12"/>
                <w:lang w:val="es-ES"/>
              </w:rPr>
              <w:t>Reino Unido</w:t>
            </w:r>
            <w:r w:rsidRPr="004B5288">
              <w:rPr>
                <w:rFonts w:eastAsia="Times New Roman"/>
                <w:b/>
                <w:sz w:val="12"/>
                <w:szCs w:val="12"/>
                <w:u w:val="single"/>
                <w:vertAlign w:val="superscript"/>
                <w:lang w:val="es-ES"/>
              </w:rPr>
              <w:t>4</w:t>
            </w:r>
          </w:p>
        </w:tc>
        <w:tc>
          <w:tcPr>
            <w:tcW w:w="540" w:type="dxa"/>
            <w:tcBorders>
              <w:top w:val="nil"/>
              <w:bottom w:val="nil"/>
            </w:tcBorders>
          </w:tcPr>
          <w:p w14:paraId="44A00447"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2.6</w:t>
            </w:r>
          </w:p>
        </w:tc>
        <w:tc>
          <w:tcPr>
            <w:tcW w:w="540" w:type="dxa"/>
            <w:tcBorders>
              <w:top w:val="nil"/>
              <w:bottom w:val="nil"/>
            </w:tcBorders>
          </w:tcPr>
          <w:p w14:paraId="49D0FB99"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2.7</w:t>
            </w:r>
          </w:p>
        </w:tc>
        <w:tc>
          <w:tcPr>
            <w:tcW w:w="540" w:type="dxa"/>
            <w:tcBorders>
              <w:top w:val="nil"/>
              <w:bottom w:val="nil"/>
            </w:tcBorders>
          </w:tcPr>
          <w:p w14:paraId="7150F45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2.3</w:t>
            </w:r>
          </w:p>
        </w:tc>
        <w:tc>
          <w:tcPr>
            <w:tcW w:w="540" w:type="dxa"/>
            <w:tcBorders>
              <w:top w:val="nil"/>
              <w:bottom w:val="nil"/>
            </w:tcBorders>
          </w:tcPr>
          <w:p w14:paraId="49B9E287"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1.5</w:t>
            </w:r>
          </w:p>
        </w:tc>
        <w:tc>
          <w:tcPr>
            <w:tcW w:w="608" w:type="dxa"/>
            <w:tcBorders>
              <w:top w:val="nil"/>
              <w:bottom w:val="nil"/>
            </w:tcBorders>
          </w:tcPr>
          <w:p w14:paraId="7B342EE1"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0.1</w:t>
            </w:r>
          </w:p>
        </w:tc>
        <w:tc>
          <w:tcPr>
            <w:tcW w:w="652" w:type="dxa"/>
            <w:tcBorders>
              <w:top w:val="nil"/>
              <w:bottom w:val="nil"/>
            </w:tcBorders>
          </w:tcPr>
          <w:p w14:paraId="1BF765C7" w14:textId="77777777" w:rsidR="009B1CF2" w:rsidRPr="004B5288" w:rsidRDefault="009B1CF2" w:rsidP="009B1CF2">
            <w:pPr>
              <w:ind w:right="170"/>
              <w:jc w:val="right"/>
              <w:rPr>
                <w:rFonts w:eastAsia="Times New Roman"/>
                <w:sz w:val="12"/>
                <w:szCs w:val="12"/>
                <w:lang w:val="es-ES"/>
              </w:rPr>
            </w:pPr>
            <w:r w:rsidRPr="004B5288">
              <w:rPr>
                <w:rFonts w:eastAsia="Times New Roman"/>
                <w:sz w:val="12"/>
                <w:szCs w:val="12"/>
                <w:lang w:val="es-ES"/>
              </w:rPr>
              <w:t>1.7</w:t>
            </w:r>
          </w:p>
        </w:tc>
        <w:tc>
          <w:tcPr>
            <w:tcW w:w="540" w:type="dxa"/>
            <w:tcBorders>
              <w:top w:val="nil"/>
              <w:bottom w:val="nil"/>
            </w:tcBorders>
          </w:tcPr>
          <w:p w14:paraId="7D083677"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-5.5</w:t>
            </w:r>
          </w:p>
        </w:tc>
        <w:tc>
          <w:tcPr>
            <w:tcW w:w="540" w:type="dxa"/>
            <w:tcBorders>
              <w:top w:val="nil"/>
              <w:bottom w:val="nil"/>
            </w:tcBorders>
          </w:tcPr>
          <w:p w14:paraId="3F1E75C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-4.8</w:t>
            </w:r>
          </w:p>
        </w:tc>
        <w:tc>
          <w:tcPr>
            <w:tcW w:w="540" w:type="dxa"/>
            <w:tcBorders>
              <w:top w:val="nil"/>
              <w:bottom w:val="nil"/>
            </w:tcBorders>
          </w:tcPr>
          <w:p w14:paraId="0E985724"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-4.6</w:t>
            </w:r>
          </w:p>
        </w:tc>
        <w:tc>
          <w:tcPr>
            <w:tcW w:w="540" w:type="dxa"/>
            <w:tcBorders>
              <w:top w:val="nil"/>
              <w:bottom w:val="nil"/>
            </w:tcBorders>
          </w:tcPr>
          <w:p w14:paraId="0553B46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6.2</w:t>
            </w:r>
          </w:p>
        </w:tc>
        <w:tc>
          <w:tcPr>
            <w:tcW w:w="540" w:type="dxa"/>
            <w:tcBorders>
              <w:top w:val="nil"/>
              <w:bottom w:val="nil"/>
            </w:tcBorders>
          </w:tcPr>
          <w:p w14:paraId="773BBED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5.4</w:t>
            </w:r>
          </w:p>
        </w:tc>
        <w:tc>
          <w:tcPr>
            <w:tcW w:w="540" w:type="dxa"/>
            <w:tcBorders>
              <w:top w:val="nil"/>
              <w:bottom w:val="nil"/>
            </w:tcBorders>
          </w:tcPr>
          <w:p w14:paraId="4A14EA2A"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5.4</w:t>
            </w:r>
          </w:p>
        </w:tc>
      </w:tr>
      <w:tr w:rsidR="009B1CF2" w:rsidRPr="009B1CF2" w14:paraId="5EFA5D30" w14:textId="77777777" w:rsidTr="004B5288">
        <w:trPr>
          <w:jc w:val="center"/>
        </w:trPr>
        <w:tc>
          <w:tcPr>
            <w:tcW w:w="1977" w:type="dxa"/>
            <w:tcBorders>
              <w:top w:val="nil"/>
              <w:bottom w:val="nil"/>
            </w:tcBorders>
          </w:tcPr>
          <w:p w14:paraId="789148AF" w14:textId="77777777" w:rsidR="009B1CF2" w:rsidRPr="004B5288" w:rsidRDefault="009B1CF2" w:rsidP="009B1CF2">
            <w:pPr>
              <w:ind w:left="170"/>
              <w:rPr>
                <w:rFonts w:eastAsia="Times New Roman"/>
                <w:sz w:val="12"/>
                <w:szCs w:val="12"/>
                <w:lang w:val="es-ES"/>
              </w:rPr>
            </w:pPr>
            <w:r w:rsidRPr="004B5288">
              <w:rPr>
                <w:rFonts w:eastAsia="Times New Roman"/>
                <w:sz w:val="12"/>
                <w:szCs w:val="12"/>
                <w:lang w:val="es-ES"/>
              </w:rPr>
              <w:t>Canadá</w:t>
            </w:r>
          </w:p>
        </w:tc>
        <w:tc>
          <w:tcPr>
            <w:tcW w:w="540" w:type="dxa"/>
            <w:tcBorders>
              <w:top w:val="nil"/>
              <w:bottom w:val="nil"/>
            </w:tcBorders>
          </w:tcPr>
          <w:p w14:paraId="789E576F"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2.5</w:t>
            </w:r>
          </w:p>
        </w:tc>
        <w:tc>
          <w:tcPr>
            <w:tcW w:w="540" w:type="dxa"/>
            <w:tcBorders>
              <w:top w:val="nil"/>
              <w:bottom w:val="nil"/>
            </w:tcBorders>
          </w:tcPr>
          <w:p w14:paraId="6D8D32E2"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2.2</w:t>
            </w:r>
          </w:p>
        </w:tc>
        <w:tc>
          <w:tcPr>
            <w:tcW w:w="540" w:type="dxa"/>
            <w:tcBorders>
              <w:top w:val="nil"/>
              <w:bottom w:val="nil"/>
            </w:tcBorders>
          </w:tcPr>
          <w:p w14:paraId="5CE60827"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2.0</w:t>
            </w:r>
          </w:p>
        </w:tc>
        <w:tc>
          <w:tcPr>
            <w:tcW w:w="540" w:type="dxa"/>
            <w:tcBorders>
              <w:top w:val="nil"/>
              <w:bottom w:val="nil"/>
            </w:tcBorders>
          </w:tcPr>
          <w:p w14:paraId="7FD3AA56"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1.9</w:t>
            </w:r>
          </w:p>
        </w:tc>
        <w:tc>
          <w:tcPr>
            <w:tcW w:w="608" w:type="dxa"/>
            <w:tcBorders>
              <w:top w:val="nil"/>
              <w:bottom w:val="nil"/>
            </w:tcBorders>
          </w:tcPr>
          <w:p w14:paraId="763AB434"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0.9</w:t>
            </w:r>
          </w:p>
        </w:tc>
        <w:tc>
          <w:tcPr>
            <w:tcW w:w="652" w:type="dxa"/>
            <w:tcBorders>
              <w:top w:val="nil"/>
              <w:bottom w:val="nil"/>
            </w:tcBorders>
          </w:tcPr>
          <w:p w14:paraId="45201E9C" w14:textId="77777777" w:rsidR="009B1CF2" w:rsidRPr="004B5288" w:rsidRDefault="009B1CF2" w:rsidP="009B1CF2">
            <w:pPr>
              <w:ind w:right="170"/>
              <w:jc w:val="right"/>
              <w:rPr>
                <w:rFonts w:eastAsia="Times New Roman"/>
                <w:sz w:val="12"/>
                <w:szCs w:val="12"/>
                <w:lang w:val="es-ES"/>
              </w:rPr>
            </w:pPr>
            <w:r w:rsidRPr="004B5288">
              <w:rPr>
                <w:rFonts w:eastAsia="Times New Roman"/>
                <w:sz w:val="12"/>
                <w:szCs w:val="12"/>
                <w:lang w:val="es-ES"/>
              </w:rPr>
              <w:t>2.0</w:t>
            </w:r>
          </w:p>
        </w:tc>
        <w:tc>
          <w:tcPr>
            <w:tcW w:w="540" w:type="dxa"/>
            <w:tcBorders>
              <w:top w:val="nil"/>
              <w:bottom w:val="nil"/>
            </w:tcBorders>
          </w:tcPr>
          <w:p w14:paraId="7C4319EA"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-2.2</w:t>
            </w:r>
          </w:p>
        </w:tc>
        <w:tc>
          <w:tcPr>
            <w:tcW w:w="540" w:type="dxa"/>
            <w:tcBorders>
              <w:top w:val="nil"/>
              <w:bottom w:val="nil"/>
            </w:tcBorders>
          </w:tcPr>
          <w:p w14:paraId="35461EA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-2.6</w:t>
            </w:r>
          </w:p>
        </w:tc>
        <w:tc>
          <w:tcPr>
            <w:tcW w:w="540" w:type="dxa"/>
            <w:tcBorders>
              <w:top w:val="nil"/>
              <w:bottom w:val="nil"/>
            </w:tcBorders>
          </w:tcPr>
          <w:p w14:paraId="5E126480"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-2.3</w:t>
            </w:r>
          </w:p>
        </w:tc>
        <w:tc>
          <w:tcPr>
            <w:tcW w:w="540" w:type="dxa"/>
            <w:tcBorders>
              <w:top w:val="nil"/>
              <w:bottom w:val="nil"/>
            </w:tcBorders>
          </w:tcPr>
          <w:p w14:paraId="02A66410"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6.9</w:t>
            </w:r>
          </w:p>
        </w:tc>
        <w:tc>
          <w:tcPr>
            <w:tcW w:w="540" w:type="dxa"/>
            <w:tcBorders>
              <w:top w:val="nil"/>
              <w:bottom w:val="nil"/>
            </w:tcBorders>
          </w:tcPr>
          <w:p w14:paraId="445959F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7.0</w:t>
            </w:r>
          </w:p>
        </w:tc>
        <w:tc>
          <w:tcPr>
            <w:tcW w:w="540" w:type="dxa"/>
            <w:tcBorders>
              <w:top w:val="nil"/>
              <w:bottom w:val="nil"/>
            </w:tcBorders>
          </w:tcPr>
          <w:p w14:paraId="32DCE2ED"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6.9</w:t>
            </w:r>
          </w:p>
        </w:tc>
      </w:tr>
      <w:tr w:rsidR="009B1CF2" w:rsidRPr="009B1CF2" w14:paraId="5C6EE688" w14:textId="77777777" w:rsidTr="004B5288">
        <w:trPr>
          <w:jc w:val="center"/>
        </w:trPr>
        <w:tc>
          <w:tcPr>
            <w:tcW w:w="1977" w:type="dxa"/>
            <w:tcBorders>
              <w:top w:val="nil"/>
            </w:tcBorders>
          </w:tcPr>
          <w:p w14:paraId="45D5D207" w14:textId="77777777" w:rsidR="009B1CF2" w:rsidRPr="004B5288" w:rsidRDefault="009B1CF2" w:rsidP="009B1CF2">
            <w:pPr>
              <w:ind w:left="170"/>
              <w:rPr>
                <w:rFonts w:eastAsia="Times New Roman"/>
                <w:sz w:val="12"/>
                <w:szCs w:val="12"/>
                <w:lang w:val="es-ES"/>
              </w:rPr>
            </w:pPr>
            <w:r w:rsidRPr="004B5288">
              <w:rPr>
                <w:rFonts w:eastAsia="Times New Roman"/>
                <w:sz w:val="12"/>
                <w:szCs w:val="12"/>
                <w:lang w:val="es-ES"/>
              </w:rPr>
              <w:t>Otras economías avanzadas</w:t>
            </w:r>
            <w:r w:rsidRPr="004B5288">
              <w:rPr>
                <w:rFonts w:eastAsia="Times New Roman"/>
                <w:sz w:val="12"/>
                <w:szCs w:val="12"/>
                <w:u w:val="single"/>
                <w:vertAlign w:val="superscript"/>
                <w:lang w:val="es-ES"/>
              </w:rPr>
              <w:t>6</w:t>
            </w:r>
            <w:r w:rsidRPr="004B5288">
              <w:rPr>
                <w:rFonts w:eastAsia="Times New Roman"/>
                <w:sz w:val="12"/>
                <w:szCs w:val="12"/>
                <w:vertAlign w:val="superscript"/>
                <w:lang w:val="es-ES"/>
              </w:rPr>
              <w:t>/</w:t>
            </w:r>
          </w:p>
        </w:tc>
        <w:tc>
          <w:tcPr>
            <w:tcW w:w="540" w:type="dxa"/>
            <w:tcBorders>
              <w:top w:val="nil"/>
            </w:tcBorders>
          </w:tcPr>
          <w:p w14:paraId="36E73D58"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2.8</w:t>
            </w:r>
          </w:p>
        </w:tc>
        <w:tc>
          <w:tcPr>
            <w:tcW w:w="540" w:type="dxa"/>
            <w:tcBorders>
              <w:top w:val="nil"/>
            </w:tcBorders>
          </w:tcPr>
          <w:p w14:paraId="60293AE6"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2.8</w:t>
            </w:r>
          </w:p>
        </w:tc>
        <w:tc>
          <w:tcPr>
            <w:tcW w:w="540" w:type="dxa"/>
            <w:tcBorders>
              <w:top w:val="nil"/>
            </w:tcBorders>
          </w:tcPr>
          <w:p w14:paraId="28C572E8"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3.1</w:t>
            </w:r>
          </w:p>
        </w:tc>
        <w:tc>
          <w:tcPr>
            <w:tcW w:w="540" w:type="dxa"/>
            <w:tcBorders>
              <w:top w:val="nil"/>
            </w:tcBorders>
          </w:tcPr>
          <w:p w14:paraId="39D5F098"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1.4</w:t>
            </w:r>
          </w:p>
        </w:tc>
        <w:tc>
          <w:tcPr>
            <w:tcW w:w="608" w:type="dxa"/>
            <w:tcBorders>
              <w:top w:val="nil"/>
            </w:tcBorders>
          </w:tcPr>
          <w:p w14:paraId="5F7BC78A"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1.1</w:t>
            </w:r>
          </w:p>
        </w:tc>
        <w:tc>
          <w:tcPr>
            <w:tcW w:w="652" w:type="dxa"/>
            <w:tcBorders>
              <w:top w:val="nil"/>
            </w:tcBorders>
          </w:tcPr>
          <w:p w14:paraId="2AA2EE8C" w14:textId="77777777" w:rsidR="009B1CF2" w:rsidRPr="004B5288" w:rsidRDefault="009B1CF2" w:rsidP="009B1CF2">
            <w:pPr>
              <w:ind w:right="170"/>
              <w:jc w:val="right"/>
              <w:rPr>
                <w:rFonts w:eastAsia="Times New Roman"/>
                <w:sz w:val="12"/>
                <w:szCs w:val="12"/>
                <w:lang w:val="es-ES"/>
              </w:rPr>
            </w:pPr>
            <w:r w:rsidRPr="004B5288">
              <w:rPr>
                <w:rFonts w:eastAsia="Times New Roman"/>
                <w:sz w:val="12"/>
                <w:szCs w:val="12"/>
                <w:lang w:val="es-ES"/>
              </w:rPr>
              <w:t>1.9</w:t>
            </w:r>
          </w:p>
        </w:tc>
        <w:tc>
          <w:tcPr>
            <w:tcW w:w="540" w:type="dxa"/>
            <w:tcBorders>
              <w:top w:val="nil"/>
            </w:tcBorders>
          </w:tcPr>
          <w:p w14:paraId="47A63C89"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4.8</w:t>
            </w:r>
          </w:p>
        </w:tc>
        <w:tc>
          <w:tcPr>
            <w:tcW w:w="540" w:type="dxa"/>
            <w:tcBorders>
              <w:top w:val="nil"/>
            </w:tcBorders>
          </w:tcPr>
          <w:p w14:paraId="4F6D3F24"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4.9</w:t>
            </w:r>
          </w:p>
        </w:tc>
        <w:tc>
          <w:tcPr>
            <w:tcW w:w="540" w:type="dxa"/>
            <w:tcBorders>
              <w:top w:val="nil"/>
            </w:tcBorders>
          </w:tcPr>
          <w:p w14:paraId="2D1C2D15"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4.3</w:t>
            </w:r>
          </w:p>
        </w:tc>
        <w:tc>
          <w:tcPr>
            <w:tcW w:w="540" w:type="dxa"/>
            <w:tcBorders>
              <w:top w:val="nil"/>
            </w:tcBorders>
          </w:tcPr>
          <w:p w14:paraId="2CFA52C6"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4.7</w:t>
            </w:r>
          </w:p>
        </w:tc>
        <w:tc>
          <w:tcPr>
            <w:tcW w:w="540" w:type="dxa"/>
            <w:tcBorders>
              <w:top w:val="nil"/>
            </w:tcBorders>
          </w:tcPr>
          <w:p w14:paraId="1A464F19"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4.7</w:t>
            </w:r>
          </w:p>
        </w:tc>
        <w:tc>
          <w:tcPr>
            <w:tcW w:w="540" w:type="dxa"/>
            <w:tcBorders>
              <w:top w:val="nil"/>
            </w:tcBorders>
          </w:tcPr>
          <w:p w14:paraId="16552B68" w14:textId="77777777" w:rsidR="009B1CF2" w:rsidRPr="004B5288" w:rsidRDefault="009B1CF2" w:rsidP="009B1CF2">
            <w:pPr>
              <w:ind w:right="113"/>
              <w:jc w:val="right"/>
              <w:rPr>
                <w:rFonts w:eastAsia="Times New Roman"/>
                <w:sz w:val="12"/>
                <w:szCs w:val="12"/>
                <w:lang w:val="es-ES"/>
              </w:rPr>
            </w:pPr>
            <w:r w:rsidRPr="004B5288">
              <w:rPr>
                <w:rFonts w:eastAsia="Times New Roman"/>
                <w:sz w:val="12"/>
                <w:szCs w:val="12"/>
                <w:lang w:val="es-ES"/>
              </w:rPr>
              <w:t>4.6</w:t>
            </w:r>
          </w:p>
        </w:tc>
      </w:tr>
      <w:tr w:rsidR="009B1CF2" w:rsidRPr="009B1CF2" w14:paraId="1A51B80C" w14:textId="77777777" w:rsidTr="008B3DA6">
        <w:trPr>
          <w:jc w:val="center"/>
        </w:trPr>
        <w:tc>
          <w:tcPr>
            <w:tcW w:w="8637" w:type="dxa"/>
            <w:gridSpan w:val="13"/>
            <w:tcBorders>
              <w:left w:val="nil"/>
              <w:bottom w:val="nil"/>
              <w:right w:val="nil"/>
            </w:tcBorders>
          </w:tcPr>
          <w:p w14:paraId="258EE0A0" w14:textId="317DD3BC" w:rsidR="009B1CF2" w:rsidRPr="004B5288" w:rsidRDefault="009B1CF2" w:rsidP="004B5288">
            <w:pPr>
              <w:ind w:left="284" w:hanging="284"/>
              <w:jc w:val="both"/>
              <w:rPr>
                <w:rFonts w:eastAsia="Times New Roman"/>
                <w:sz w:val="12"/>
                <w:szCs w:val="12"/>
                <w:lang w:val="es-ES"/>
              </w:rPr>
            </w:pPr>
            <w:r w:rsidRPr="004B5288">
              <w:rPr>
                <w:rFonts w:eastAsia="Times New Roman"/>
                <w:sz w:val="12"/>
                <w:szCs w:val="12"/>
                <w:lang w:val="es-ES"/>
              </w:rPr>
              <w:t>Nota: Los datos correspondientes a algunos países se basan en el ejercicio fiscal. Véase en el cuadro F del apéndice estadístico</w:t>
            </w:r>
            <w:r w:rsidR="0098560F">
              <w:rPr>
                <w:rFonts w:eastAsia="Times New Roman"/>
                <w:sz w:val="12"/>
                <w:szCs w:val="12"/>
                <w:lang w:val="es-ES"/>
              </w:rPr>
              <w:t xml:space="preserve"> del documento original</w:t>
            </w:r>
            <w:r w:rsidRPr="004B5288">
              <w:rPr>
                <w:rFonts w:eastAsia="Times New Roman"/>
                <w:sz w:val="12"/>
                <w:szCs w:val="12"/>
                <w:lang w:val="es-ES"/>
              </w:rPr>
              <w:t xml:space="preserve"> la lista de economías con períodos de declaración excepcionales.</w:t>
            </w:r>
          </w:p>
          <w:p w14:paraId="754C1F35" w14:textId="445FF642" w:rsidR="009B1CF2" w:rsidRPr="004B5288" w:rsidRDefault="009B1CF2" w:rsidP="004B5288">
            <w:pPr>
              <w:ind w:left="125" w:right="57" w:hanging="125"/>
              <w:jc w:val="both"/>
              <w:rPr>
                <w:rFonts w:eastAsia="Times New Roman"/>
                <w:sz w:val="12"/>
                <w:szCs w:val="12"/>
                <w:lang w:val="es-ES"/>
              </w:rPr>
            </w:pPr>
            <w:r w:rsidRPr="004B5288">
              <w:rPr>
                <w:rFonts w:eastAsia="Times New Roman"/>
                <w:sz w:val="12"/>
                <w:szCs w:val="12"/>
                <w:u w:val="single"/>
                <w:lang w:val="es-ES"/>
              </w:rPr>
              <w:t>1</w:t>
            </w:r>
            <w:r w:rsidRPr="004B5288">
              <w:rPr>
                <w:rFonts w:eastAsia="Times New Roman"/>
                <w:sz w:val="12"/>
                <w:szCs w:val="12"/>
                <w:lang w:val="es-ES"/>
              </w:rPr>
              <w:t>/ La variación de los precios al consumidor se indica como promedio anual. Las variaciones de diciembre a diciembre pueden encontrarse en los cuadros A6 del apéndice estadístico</w:t>
            </w:r>
            <w:r w:rsidR="004B5288">
              <w:rPr>
                <w:rFonts w:eastAsia="Times New Roman"/>
                <w:sz w:val="12"/>
                <w:szCs w:val="12"/>
                <w:lang w:val="es-ES"/>
              </w:rPr>
              <w:t xml:space="preserve"> del documento original</w:t>
            </w:r>
            <w:r w:rsidRPr="004B5288">
              <w:rPr>
                <w:rFonts w:eastAsia="Times New Roman"/>
                <w:sz w:val="12"/>
                <w:szCs w:val="12"/>
                <w:lang w:val="es-ES"/>
              </w:rPr>
              <w:t>.</w:t>
            </w:r>
          </w:p>
          <w:p w14:paraId="0456203B" w14:textId="77777777" w:rsidR="009B1CF2" w:rsidRPr="004B5288" w:rsidRDefault="009B1CF2" w:rsidP="009B1CF2">
            <w:pPr>
              <w:ind w:right="57"/>
              <w:jc w:val="both"/>
              <w:rPr>
                <w:rFonts w:eastAsia="Times New Roman"/>
                <w:sz w:val="12"/>
                <w:szCs w:val="12"/>
                <w:lang w:val="es-ES"/>
              </w:rPr>
            </w:pPr>
            <w:r w:rsidRPr="004B5288">
              <w:rPr>
                <w:rFonts w:eastAsia="Times New Roman"/>
                <w:sz w:val="12"/>
                <w:szCs w:val="12"/>
                <w:u w:val="single"/>
                <w:lang w:val="es-ES"/>
              </w:rPr>
              <w:t>2</w:t>
            </w:r>
            <w:r w:rsidRPr="004B5288">
              <w:rPr>
                <w:rFonts w:eastAsia="Times New Roman"/>
                <w:sz w:val="12"/>
                <w:szCs w:val="12"/>
                <w:lang w:val="es-ES"/>
              </w:rPr>
              <w:t>/ Porcentaje del PIB.</w:t>
            </w:r>
          </w:p>
          <w:p w14:paraId="771F212A" w14:textId="77777777" w:rsidR="009B1CF2" w:rsidRPr="004B5288" w:rsidRDefault="009B1CF2" w:rsidP="009B1CF2">
            <w:pPr>
              <w:ind w:right="57"/>
              <w:jc w:val="both"/>
              <w:rPr>
                <w:rFonts w:eastAsia="Times New Roman"/>
                <w:sz w:val="12"/>
                <w:szCs w:val="12"/>
                <w:lang w:val="es-ES"/>
              </w:rPr>
            </w:pPr>
            <w:r w:rsidRPr="004B5288">
              <w:rPr>
                <w:rFonts w:eastAsia="Times New Roman"/>
                <w:sz w:val="12"/>
                <w:szCs w:val="12"/>
                <w:u w:val="single"/>
                <w:lang w:val="es-ES"/>
              </w:rPr>
              <w:t>3</w:t>
            </w:r>
            <w:r w:rsidRPr="004B5288">
              <w:rPr>
                <w:rFonts w:eastAsia="Times New Roman"/>
                <w:sz w:val="12"/>
                <w:szCs w:val="12"/>
                <w:lang w:val="es-ES"/>
              </w:rPr>
              <w:t>/ Porcentaje. Las definiciones nacionales de desempleo pueden variar.</w:t>
            </w:r>
          </w:p>
          <w:p w14:paraId="00484F22" w14:textId="77777777" w:rsidR="009B1CF2" w:rsidRPr="004B5288" w:rsidRDefault="009B1CF2" w:rsidP="009B1CF2">
            <w:pPr>
              <w:ind w:right="57"/>
              <w:jc w:val="both"/>
              <w:rPr>
                <w:rFonts w:eastAsia="Times New Roman"/>
                <w:sz w:val="12"/>
                <w:szCs w:val="12"/>
                <w:lang w:val="es-ES"/>
              </w:rPr>
            </w:pPr>
            <w:r w:rsidRPr="004B5288">
              <w:rPr>
                <w:rFonts w:eastAsia="Times New Roman"/>
                <w:sz w:val="12"/>
                <w:szCs w:val="12"/>
                <w:u w:val="single"/>
                <w:lang w:val="es-ES"/>
              </w:rPr>
              <w:t>4</w:t>
            </w:r>
            <w:r w:rsidRPr="004B5288">
              <w:rPr>
                <w:rFonts w:eastAsia="Times New Roman"/>
                <w:sz w:val="12"/>
                <w:szCs w:val="12"/>
                <w:lang w:val="es-ES"/>
              </w:rPr>
              <w:t>/ Basado en el índice armonizado de precios al consumidor de Eurostat.</w:t>
            </w:r>
          </w:p>
          <w:p w14:paraId="71107D07" w14:textId="77777777" w:rsidR="009B1CF2" w:rsidRPr="004B5288" w:rsidRDefault="009B1CF2" w:rsidP="009B1CF2">
            <w:pPr>
              <w:ind w:right="57"/>
              <w:jc w:val="both"/>
              <w:rPr>
                <w:rFonts w:eastAsia="Times New Roman"/>
                <w:sz w:val="12"/>
                <w:szCs w:val="12"/>
                <w:lang w:val="es-ES"/>
              </w:rPr>
            </w:pPr>
            <w:r w:rsidRPr="004B5288">
              <w:rPr>
                <w:rFonts w:eastAsia="Times New Roman"/>
                <w:sz w:val="12"/>
                <w:szCs w:val="12"/>
                <w:u w:val="single"/>
                <w:lang w:val="es-ES"/>
              </w:rPr>
              <w:t>5</w:t>
            </w:r>
            <w:r w:rsidRPr="004B5288">
              <w:rPr>
                <w:rFonts w:eastAsia="Times New Roman"/>
                <w:sz w:val="12"/>
                <w:szCs w:val="12"/>
                <w:lang w:val="es-ES"/>
              </w:rPr>
              <w:t>/ Excluye Lituania. Saldo en cuenta corriente con corrección de discrepancias en las declaraciones sobre transacciones dentro de la zona euro.</w:t>
            </w:r>
          </w:p>
          <w:p w14:paraId="20995FCC" w14:textId="06D3D66E" w:rsidR="009B1CF2" w:rsidRPr="004B5288" w:rsidRDefault="009B1CF2" w:rsidP="00A9237C">
            <w:pPr>
              <w:ind w:left="144" w:right="57" w:hanging="140"/>
              <w:jc w:val="both"/>
              <w:rPr>
                <w:rFonts w:eastAsia="Times New Roman"/>
                <w:sz w:val="12"/>
                <w:szCs w:val="12"/>
                <w:lang w:val="es-ES"/>
              </w:rPr>
            </w:pPr>
            <w:r w:rsidRPr="004B5288">
              <w:rPr>
                <w:rFonts w:eastAsia="Times New Roman"/>
                <w:sz w:val="12"/>
                <w:szCs w:val="12"/>
                <w:u w:val="single"/>
                <w:lang w:val="es-ES"/>
              </w:rPr>
              <w:t>6</w:t>
            </w:r>
            <w:r w:rsidRPr="004B5288">
              <w:rPr>
                <w:rFonts w:eastAsia="Times New Roman"/>
                <w:sz w:val="12"/>
                <w:szCs w:val="12"/>
                <w:lang w:val="es-ES"/>
              </w:rPr>
              <w:t>/ Excluye las economías del G-7 (Alemania, Canadá, Estados Unidos</w:t>
            </w:r>
            <w:r w:rsidR="0098560F">
              <w:rPr>
                <w:rFonts w:eastAsia="Times New Roman"/>
                <w:sz w:val="12"/>
                <w:szCs w:val="12"/>
                <w:lang w:val="es-ES"/>
              </w:rPr>
              <w:t xml:space="preserve"> de Norteamérica</w:t>
            </w:r>
            <w:r w:rsidRPr="004B5288">
              <w:rPr>
                <w:rFonts w:eastAsia="Times New Roman"/>
                <w:sz w:val="12"/>
                <w:szCs w:val="12"/>
                <w:lang w:val="es-ES"/>
              </w:rPr>
              <w:t xml:space="preserve">, Francia, Italia, Japón y el </w:t>
            </w:r>
            <w:r w:rsidR="0098560F">
              <w:rPr>
                <w:rFonts w:eastAsia="Times New Roman"/>
                <w:sz w:val="12"/>
                <w:szCs w:val="12"/>
                <w:lang w:val="es-ES"/>
              </w:rPr>
              <w:t>R</w:t>
            </w:r>
            <w:r w:rsidRPr="004B5288">
              <w:rPr>
                <w:rFonts w:eastAsia="Times New Roman"/>
                <w:sz w:val="12"/>
                <w:szCs w:val="12"/>
                <w:lang w:val="es-ES"/>
              </w:rPr>
              <w:t>eino Unido) y los países de la zona del euro pero incluye Lituania.</w:t>
            </w:r>
          </w:p>
          <w:p w14:paraId="36FCC657" w14:textId="77777777" w:rsidR="009B1CF2" w:rsidRPr="004B5288" w:rsidRDefault="009B1CF2" w:rsidP="009B1CF2">
            <w:pPr>
              <w:ind w:right="57"/>
              <w:jc w:val="both"/>
              <w:rPr>
                <w:rFonts w:eastAsia="Times New Roman"/>
                <w:sz w:val="12"/>
                <w:szCs w:val="12"/>
                <w:lang w:val="es-ES"/>
              </w:rPr>
            </w:pPr>
            <w:r w:rsidRPr="004B5288">
              <w:rPr>
                <w:rFonts w:eastAsia="Times New Roman"/>
                <w:sz w:val="12"/>
                <w:szCs w:val="12"/>
                <w:lang w:val="es-ES"/>
              </w:rPr>
              <w:t>FUENTE: FMI.</w:t>
            </w:r>
          </w:p>
        </w:tc>
      </w:tr>
    </w:tbl>
    <w:p w14:paraId="4C0E5FED" w14:textId="77777777" w:rsidR="009B1CF2" w:rsidRPr="009B1CF2" w:rsidRDefault="009B1CF2" w:rsidP="009B1CF2">
      <w:pPr>
        <w:rPr>
          <w:rFonts w:eastAsia="Times New Roman"/>
          <w:lang w:val="es-ES"/>
        </w:rPr>
      </w:pPr>
    </w:p>
    <w:p w14:paraId="5E82F07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Sin embargo, el panorama a más largo plazo no es tan alentador. Se estima que el crecimiento potencial será solo de 2.0%, aproximadamente, debido a los lastres del envejecimiento de la población y la debilidad de la innovación y del crecimiento de la productividad (véase el Capítulo 3). </w:t>
      </w:r>
    </w:p>
    <w:p w14:paraId="604F2E1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Para abordar el problema del crecimiento potencial será necesario aplicar un amplio programa de políticas por el lado de la oferta en un entorno político imprevisible. Es una prioridad absoluta forjar acuerdos sobre un plan de consolidación fiscal a mediano plazo creíble, para garantizar que la deuda no vuelva a aumentar debido a los costos fiscales relacionados con el envejecimiento. A fin de mantener la deuda bajo control se </w:t>
      </w:r>
      <w:r w:rsidRPr="009B1CF2">
        <w:rPr>
          <w:rFonts w:eastAsia="Calibri"/>
          <w:sz w:val="26"/>
          <w:szCs w:val="26"/>
          <w:lang w:eastAsia="en-US"/>
        </w:rPr>
        <w:lastRenderedPageBreak/>
        <w:t xml:space="preserve">requerirán esfuerzos para reducir el crecimiento de los costos de atención de la salud, reformar la seguridad social e incrementar los ingresos tributarios. Asimismo, las políticas deberían estar orientadas a aumentar la participación en la fuerza laboral (incluida la eliminación de desincentivos en el sistema fiscal, la oferta de servicios de cuidado infantil y la aprobación de una reforma de la política de inmigración basada en las aptitudes), fomentar la innovación, fortalecer la productividad y resolver el problema de la pobreza y el desempleo de larga duración. En la edición de octubre de 2014 del informe WEO se insistió en que en Estados Unidos de Norteamérica podían realizarse inversiones clave en infraestructuras con costos a corto plazo relativamente reducidos, pero con importantes beneficios para el producto a largo plazo. </w:t>
      </w:r>
    </w:p>
    <w:p w14:paraId="58A7F8A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En general, los riesgos para las perspectivas a corto plazo están equilibrados. Por el lado negativo, un dólar más fuerte podría contener las exportaciones, y los precios más bajos del petróleo podrían moderar la inversión en el sector petrolero en mayor medida de lo que se proyecta actualmente. Asimismo, la reciente compresión de las primas a plazo podría relajarse, lo que endurecería las condiciones crediticias y pondría en peligro la recuperación del mercado de la vivienda. La incertidumbre en torno a las perspectivas fiscales, vinculada a posturas políticas arriesgadas en relación con el límite de la deuda o el presupuesto para 2016, podría minar también la confianza y perjudicar el crecimiento. Por el lado positivo, las repercusiones de los precios más bajos de la energía en el consumo o la inversión de empresas no petroleras podrían ser mayores de lo que se prevé actualmente. Además, los mercados laborales podrían recuperarse a un ritmo más rápido, lo que impulsaría los ingresos y la confianza de los hogares. Por último, la mejora de la disponibilidad de hipotecas gracias a los recientes esfuerzos en materia de política podría catalizar una recuperación rápida del mercado de la vivienda.</w:t>
      </w:r>
    </w:p>
    <w:p w14:paraId="3EFBFA4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crecimiento en Canadá ha tenido una sólida evolución recientemente, en paralelo con una recuperación más pujante en Estados Unidos de Norteamérica, la depreciación del tipo de cambio y una fuerte demanda de energía. Estos factores han propiciado un </w:t>
      </w:r>
      <w:r w:rsidRPr="009B1CF2">
        <w:rPr>
          <w:rFonts w:eastAsia="Calibri"/>
          <w:sz w:val="26"/>
          <w:szCs w:val="26"/>
          <w:lang w:eastAsia="en-US"/>
        </w:rPr>
        <w:lastRenderedPageBreak/>
        <w:t xml:space="preserve">favorable repunte de las exportaciones, si bien este todavía debe traducirse en un fortalecimiento de la inversión y la contratación. Se prevé que la economía crezca 2.2% en 2015 (sin grandes variaciones respecto a las previsiones del informe WEO de octubre), respaldada por el fortalecimiento de la economía estadounidense. Sin embargo, los riesgos apuntan a la baja, porque la caída inusualmente fuerte de los precios del petróleo podría debilitar todavía más la inversión empresarial en el sector energético y reducir el crecimiento del empleo. </w:t>
      </w:r>
    </w:p>
    <w:p w14:paraId="63BCA804"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Como medida preventiva, el Banco de Canadá rebajó su tasa de política monetaria en 25 puntos básicos en enero, como seguro frente a los efectos adversos del </w:t>
      </w:r>
      <w:r w:rsidRPr="009B1CF2">
        <w:rPr>
          <w:rFonts w:eastAsia="Calibri"/>
          <w:i/>
          <w:sz w:val="26"/>
          <w:szCs w:val="26"/>
          <w:lang w:eastAsia="en-US"/>
        </w:rPr>
        <w:t>shock</w:t>
      </w:r>
      <w:r w:rsidRPr="009B1CF2">
        <w:rPr>
          <w:rFonts w:eastAsia="Calibri"/>
          <w:sz w:val="26"/>
          <w:szCs w:val="26"/>
          <w:lang w:eastAsia="en-US"/>
        </w:rPr>
        <w:t xml:space="preserve"> del precio del petróleo sobre la economía. En conjunto, a fin de lograr una recuperación más amplia y duradera, sería propicio mantener una política monetaria acomodaticia, sumada a una consolidación fiscal gradual a nivel del gobierno general, para reequilibrar el crecimiento, de modo que se base más en la inversión empresarial y menos en el consumo de los hogares. La adopción de políticas macroprudenciales focalizadas resultaría útil para abordar las importantes vulnerabilidades del sector de la vivienda.</w:t>
      </w:r>
    </w:p>
    <w:p w14:paraId="57868CD3"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Europa </w:t>
      </w:r>
    </w:p>
    <w:p w14:paraId="5FD55FA7" w14:textId="77777777" w:rsidR="009B1CF2" w:rsidRPr="009B1CF2" w:rsidRDefault="009B1CF2" w:rsidP="009B1CF2">
      <w:pPr>
        <w:spacing w:after="360"/>
        <w:ind w:right="-159"/>
        <w:jc w:val="both"/>
        <w:rPr>
          <w:rFonts w:eastAsia="Calibri"/>
          <w:b/>
          <w:sz w:val="26"/>
          <w:szCs w:val="26"/>
          <w:lang w:eastAsia="en-US"/>
        </w:rPr>
      </w:pPr>
      <w:r w:rsidRPr="009B1CF2">
        <w:rPr>
          <w:rFonts w:eastAsia="Calibri"/>
          <w:b/>
          <w:sz w:val="26"/>
          <w:szCs w:val="26"/>
          <w:lang w:eastAsia="en-US"/>
        </w:rPr>
        <w:t xml:space="preserve">Economías avanzadas de Europa: Efectos derivados de la frágil recuperación en la zona del euro </w:t>
      </w:r>
    </w:p>
    <w:p w14:paraId="17C3842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aprecian indicios de un repunte y cierto dinamismo positivo en la zona del euro, impulsados por la disminución de los precios del petróleo y por condiciones financieras favorables, pero persisten los riesgos derivados de un crecimiento y una inflación continuamente bajos. Es prioritario impulsar el crecimiento y la inflación mediante un planteamiento integral que, además de la expansión cuantitativa, incluya también el uso del margen de maniobra fiscal existente, en especial para la inversión; reformas estructurales que mejoren la productividad, y las medidas necesarias para fortalecer los </w:t>
      </w:r>
      <w:r w:rsidRPr="009B1CF2">
        <w:rPr>
          <w:rFonts w:eastAsia="Calibri"/>
          <w:sz w:val="26"/>
          <w:szCs w:val="26"/>
          <w:lang w:eastAsia="en-US"/>
        </w:rPr>
        <w:lastRenderedPageBreak/>
        <w:t xml:space="preserve">balances bancarios. El crecimiento es más sólido en las economías avanzadas de Europa no pertenecientes a la zona del euro, si bien algunas de ellas quizá deban endurecer sus políticas macroprudenciales si no disminuyen los riesgos relacionados con la vivienda.  </w:t>
      </w:r>
    </w:p>
    <w:p w14:paraId="42B28B8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la zona del euro, la actividad se mantuvo más débil de lo previsto a mediados de 2014, debido a la atonía de la inversión privada, excepto en Irlanda, España y Alemania. El crecimiento fue más fuerte de lo esperado en el cuarto trimestre, aunque fue desigual entre los países. La desaceleración de la inversión es consecuencia de la persistencia de la capacidad económica ociosa, el descenso de las expectativas de crecimiento, la actual incertidumbre política y sobre políticas, las tensiones geopolíticas y las condiciones crediticias restrictivas. En cambio, el menor lastre fiscal y la mejora del consumo han beneficiado al crecimiento, igual que las exportaciones netas. </w:t>
      </w:r>
    </w:p>
    <w:p w14:paraId="569F0046"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BCE anunció un decidido programa de compra de activos, que incluía la compra de bonos soberanos, para abordar la inflación persistentemente baja en la zona del euro. Tanto la inflación básica como la inflación general han estado durante algún tiempo muy por debajo del objetivo de estabilidad de precios a mediano plazo del BCE (gráfica siguiente), y la inflación general se tornó negativa en diciembre de 2014. El programa de compra de activos del BCE, más importante de lo previsto, contribuyó a la depreciación del euro, sobre todo frente al dólar estadounidense. En términos efectivos reales, el tipo de cambio se ha depreciado más de 5% desde octubre. Las indicaciones preliminares señalan que las medidas adoptadas por el BCE han frenado el descenso de las expectativas de inflación y han contribuido a que las condiciones financieras sean más favorables. </w:t>
      </w:r>
    </w:p>
    <w:p w14:paraId="6D3EDBC3" w14:textId="77777777" w:rsidR="00864AD3" w:rsidRDefault="00864AD3" w:rsidP="009B1CF2">
      <w:pPr>
        <w:spacing w:after="360" w:line="360" w:lineRule="auto"/>
        <w:ind w:right="-159"/>
        <w:jc w:val="both"/>
        <w:rPr>
          <w:rFonts w:eastAsia="Calibri"/>
          <w:sz w:val="26"/>
          <w:szCs w:val="26"/>
          <w:lang w:eastAsia="en-US"/>
        </w:rPr>
      </w:pPr>
    </w:p>
    <w:p w14:paraId="1F81B443" w14:textId="77777777" w:rsidR="00864AD3" w:rsidRDefault="00864AD3" w:rsidP="009B1CF2">
      <w:pPr>
        <w:spacing w:after="360" w:line="360" w:lineRule="auto"/>
        <w:ind w:right="-159"/>
        <w:jc w:val="both"/>
        <w:rPr>
          <w:rFonts w:eastAsia="Calibri"/>
          <w:sz w:val="26"/>
          <w:szCs w:val="26"/>
          <w:lang w:eastAsia="en-US"/>
        </w:rPr>
      </w:pPr>
    </w:p>
    <w:p w14:paraId="031F449A" w14:textId="77777777" w:rsidR="00B23EA2" w:rsidRPr="009B1CF2" w:rsidRDefault="00B23EA2" w:rsidP="009B1CF2">
      <w:pPr>
        <w:spacing w:after="360" w:line="360" w:lineRule="auto"/>
        <w:ind w:right="-159"/>
        <w:jc w:val="both"/>
        <w:rPr>
          <w:rFonts w:eastAsia="Calibri"/>
          <w:sz w:val="26"/>
          <w:szCs w:val="26"/>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7"/>
        <w:gridCol w:w="540"/>
        <w:gridCol w:w="540"/>
        <w:gridCol w:w="540"/>
        <w:gridCol w:w="540"/>
        <w:gridCol w:w="540"/>
        <w:gridCol w:w="720"/>
        <w:gridCol w:w="540"/>
        <w:gridCol w:w="540"/>
        <w:gridCol w:w="540"/>
        <w:gridCol w:w="540"/>
        <w:gridCol w:w="540"/>
        <w:gridCol w:w="540"/>
      </w:tblGrid>
      <w:tr w:rsidR="009B1CF2" w:rsidRPr="00A808BF" w14:paraId="025EF78C" w14:textId="77777777" w:rsidTr="008B3DA6">
        <w:trPr>
          <w:jc w:val="center"/>
        </w:trPr>
        <w:tc>
          <w:tcPr>
            <w:tcW w:w="8667" w:type="dxa"/>
            <w:gridSpan w:val="13"/>
            <w:tcBorders>
              <w:top w:val="nil"/>
              <w:left w:val="nil"/>
              <w:right w:val="nil"/>
            </w:tcBorders>
          </w:tcPr>
          <w:p w14:paraId="4CD87F90"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lastRenderedPageBreak/>
              <w:t>PIB REAL, PRECIOS AL CONSUMIDOR, SALDO EN CUENTA CORRIENTE Y DESEMPLEO EN ALGUNAS ECONOMÍAS DE EUROPA</w:t>
            </w:r>
          </w:p>
          <w:p w14:paraId="28A2A349"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-Variación porcentual anual, salvo indicación en contrario-</w:t>
            </w:r>
          </w:p>
        </w:tc>
      </w:tr>
      <w:tr w:rsidR="009B1CF2" w:rsidRPr="009B1CF2" w14:paraId="15E6C440" w14:textId="77777777" w:rsidTr="008B3DA6">
        <w:trPr>
          <w:jc w:val="center"/>
        </w:trPr>
        <w:tc>
          <w:tcPr>
            <w:tcW w:w="2007" w:type="dxa"/>
            <w:vMerge w:val="restart"/>
          </w:tcPr>
          <w:p w14:paraId="104B690A" w14:textId="77777777" w:rsidR="009B1CF2" w:rsidRPr="00A808BF" w:rsidRDefault="009B1CF2" w:rsidP="009B1CF2">
            <w:pPr>
              <w:rPr>
                <w:rFonts w:eastAsia="Times New Roman"/>
                <w:b/>
                <w:sz w:val="12"/>
                <w:szCs w:val="12"/>
                <w:lang w:val="es-ES"/>
              </w:rPr>
            </w:pPr>
          </w:p>
        </w:tc>
        <w:tc>
          <w:tcPr>
            <w:tcW w:w="1620" w:type="dxa"/>
            <w:gridSpan w:val="3"/>
            <w:shd w:val="clear" w:color="auto" w:fill="auto"/>
            <w:vAlign w:val="center"/>
          </w:tcPr>
          <w:p w14:paraId="38095A6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PIB real</w:t>
            </w:r>
          </w:p>
        </w:tc>
        <w:tc>
          <w:tcPr>
            <w:tcW w:w="1800" w:type="dxa"/>
            <w:gridSpan w:val="3"/>
            <w:shd w:val="clear" w:color="auto" w:fill="auto"/>
            <w:vAlign w:val="center"/>
          </w:tcPr>
          <w:p w14:paraId="59DF2ED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Precios al consumidor</w:t>
            </w:r>
            <w:r w:rsidRPr="00A808BF">
              <w:rPr>
                <w:rFonts w:eastAsia="Times New Roman"/>
                <w:b/>
                <w:sz w:val="12"/>
                <w:szCs w:val="12"/>
                <w:u w:val="single"/>
                <w:vertAlign w:val="superscript"/>
                <w:lang w:val="es-ES"/>
              </w:rPr>
              <w:t>1</w:t>
            </w:r>
            <w:r w:rsidRPr="00A808BF">
              <w:rPr>
                <w:rFonts w:eastAsia="Times New Roman"/>
                <w:b/>
                <w:sz w:val="12"/>
                <w:szCs w:val="12"/>
                <w:vertAlign w:val="superscript"/>
                <w:lang w:val="es-ES"/>
              </w:rPr>
              <w:t>/</w:t>
            </w:r>
          </w:p>
        </w:tc>
        <w:tc>
          <w:tcPr>
            <w:tcW w:w="1620" w:type="dxa"/>
            <w:gridSpan w:val="3"/>
            <w:vAlign w:val="center"/>
          </w:tcPr>
          <w:p w14:paraId="6214B1C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Saldo en cuenta corriente</w:t>
            </w:r>
            <w:r w:rsidRPr="00A808BF">
              <w:rPr>
                <w:rFonts w:eastAsia="Times New Roman"/>
                <w:b/>
                <w:sz w:val="12"/>
                <w:szCs w:val="12"/>
                <w:u w:val="single"/>
                <w:vertAlign w:val="superscript"/>
                <w:lang w:val="es-ES"/>
              </w:rPr>
              <w:t>2</w:t>
            </w:r>
            <w:r w:rsidRPr="00A808BF">
              <w:rPr>
                <w:rFonts w:eastAsia="Times New Roman"/>
                <w:b/>
                <w:sz w:val="12"/>
                <w:szCs w:val="12"/>
                <w:vertAlign w:val="superscript"/>
                <w:lang w:val="es-ES"/>
              </w:rPr>
              <w:t>/</w:t>
            </w:r>
          </w:p>
        </w:tc>
        <w:tc>
          <w:tcPr>
            <w:tcW w:w="1620" w:type="dxa"/>
            <w:gridSpan w:val="3"/>
            <w:vAlign w:val="center"/>
          </w:tcPr>
          <w:p w14:paraId="4EF486D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Desempleo</w:t>
            </w:r>
            <w:r w:rsidRPr="00A808BF">
              <w:rPr>
                <w:rFonts w:eastAsia="Times New Roman"/>
                <w:b/>
                <w:sz w:val="12"/>
                <w:szCs w:val="12"/>
                <w:u w:val="single"/>
                <w:vertAlign w:val="superscript"/>
                <w:lang w:val="es-ES"/>
              </w:rPr>
              <w:t>3</w:t>
            </w:r>
            <w:r w:rsidRPr="00A808BF">
              <w:rPr>
                <w:rFonts w:eastAsia="Times New Roman"/>
                <w:b/>
                <w:sz w:val="12"/>
                <w:szCs w:val="12"/>
                <w:vertAlign w:val="superscript"/>
                <w:lang w:val="es-ES"/>
              </w:rPr>
              <w:t>/</w:t>
            </w:r>
          </w:p>
        </w:tc>
      </w:tr>
      <w:tr w:rsidR="009B1CF2" w:rsidRPr="009B1CF2" w14:paraId="598F926E" w14:textId="77777777" w:rsidTr="008B3DA6">
        <w:trPr>
          <w:jc w:val="center"/>
        </w:trPr>
        <w:tc>
          <w:tcPr>
            <w:tcW w:w="2007" w:type="dxa"/>
            <w:vMerge/>
          </w:tcPr>
          <w:p w14:paraId="5103774F" w14:textId="77777777" w:rsidR="009B1CF2" w:rsidRPr="00A808BF" w:rsidRDefault="009B1CF2" w:rsidP="009B1CF2">
            <w:pPr>
              <w:rPr>
                <w:rFonts w:eastAsia="Times New Roman"/>
                <w:b/>
                <w:sz w:val="12"/>
                <w:szCs w:val="12"/>
                <w:lang w:val="es-ES"/>
              </w:rPr>
            </w:pPr>
          </w:p>
        </w:tc>
        <w:tc>
          <w:tcPr>
            <w:tcW w:w="540" w:type="dxa"/>
            <w:vMerge w:val="restart"/>
            <w:shd w:val="clear" w:color="auto" w:fill="auto"/>
            <w:vAlign w:val="bottom"/>
          </w:tcPr>
          <w:p w14:paraId="0D04E40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shd w:val="clear" w:color="auto" w:fill="auto"/>
            <w:vAlign w:val="center"/>
          </w:tcPr>
          <w:p w14:paraId="0FAD6BB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shd w:val="clear" w:color="auto" w:fill="auto"/>
            <w:vAlign w:val="bottom"/>
          </w:tcPr>
          <w:p w14:paraId="0B0B012A"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260" w:type="dxa"/>
            <w:gridSpan w:val="2"/>
            <w:shd w:val="clear" w:color="auto" w:fill="auto"/>
            <w:vAlign w:val="center"/>
          </w:tcPr>
          <w:p w14:paraId="40385105"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vAlign w:val="bottom"/>
          </w:tcPr>
          <w:p w14:paraId="4B88FF7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vAlign w:val="center"/>
          </w:tcPr>
          <w:p w14:paraId="61BD391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vAlign w:val="bottom"/>
          </w:tcPr>
          <w:p w14:paraId="33451947"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vAlign w:val="center"/>
          </w:tcPr>
          <w:p w14:paraId="7CE7896A"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r>
      <w:tr w:rsidR="009B1CF2" w:rsidRPr="009B1CF2" w14:paraId="39541CCF" w14:textId="77777777" w:rsidTr="008B3DA6">
        <w:trPr>
          <w:jc w:val="center"/>
        </w:trPr>
        <w:tc>
          <w:tcPr>
            <w:tcW w:w="2007" w:type="dxa"/>
            <w:vMerge/>
          </w:tcPr>
          <w:p w14:paraId="73F16797" w14:textId="77777777" w:rsidR="009B1CF2" w:rsidRPr="00A808BF" w:rsidRDefault="009B1CF2" w:rsidP="009B1CF2">
            <w:pPr>
              <w:rPr>
                <w:rFonts w:eastAsia="Times New Roman"/>
                <w:b/>
                <w:sz w:val="12"/>
                <w:szCs w:val="12"/>
                <w:lang w:val="es-ES"/>
              </w:rPr>
            </w:pPr>
          </w:p>
        </w:tc>
        <w:tc>
          <w:tcPr>
            <w:tcW w:w="540" w:type="dxa"/>
            <w:vMerge/>
          </w:tcPr>
          <w:p w14:paraId="0F1FFFB3" w14:textId="77777777" w:rsidR="009B1CF2" w:rsidRPr="00A808BF" w:rsidRDefault="009B1CF2" w:rsidP="009B1CF2">
            <w:pPr>
              <w:ind w:right="57"/>
              <w:jc w:val="center"/>
              <w:rPr>
                <w:rFonts w:eastAsia="Times New Roman"/>
                <w:b/>
                <w:sz w:val="12"/>
                <w:szCs w:val="12"/>
                <w:lang w:val="es-ES"/>
              </w:rPr>
            </w:pPr>
          </w:p>
        </w:tc>
        <w:tc>
          <w:tcPr>
            <w:tcW w:w="540" w:type="dxa"/>
          </w:tcPr>
          <w:p w14:paraId="59A1229C"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15B9977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0BF35239" w14:textId="77777777" w:rsidR="009B1CF2" w:rsidRPr="00A808BF" w:rsidRDefault="009B1CF2" w:rsidP="009B1CF2">
            <w:pPr>
              <w:ind w:right="57"/>
              <w:jc w:val="center"/>
              <w:rPr>
                <w:rFonts w:eastAsia="Times New Roman"/>
                <w:b/>
                <w:sz w:val="12"/>
                <w:szCs w:val="12"/>
                <w:lang w:val="es-ES"/>
              </w:rPr>
            </w:pPr>
          </w:p>
        </w:tc>
        <w:tc>
          <w:tcPr>
            <w:tcW w:w="540" w:type="dxa"/>
          </w:tcPr>
          <w:p w14:paraId="10A60078"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720" w:type="dxa"/>
          </w:tcPr>
          <w:p w14:paraId="4B6CB21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23F8120A" w14:textId="77777777" w:rsidR="009B1CF2" w:rsidRPr="00A808BF" w:rsidRDefault="009B1CF2" w:rsidP="009B1CF2">
            <w:pPr>
              <w:ind w:right="113"/>
              <w:jc w:val="center"/>
              <w:rPr>
                <w:rFonts w:eastAsia="Times New Roman"/>
                <w:b/>
                <w:sz w:val="12"/>
                <w:szCs w:val="12"/>
                <w:lang w:val="es-ES"/>
              </w:rPr>
            </w:pPr>
          </w:p>
        </w:tc>
        <w:tc>
          <w:tcPr>
            <w:tcW w:w="540" w:type="dxa"/>
          </w:tcPr>
          <w:p w14:paraId="7ED8D7A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5FD53F1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12E12128" w14:textId="77777777" w:rsidR="009B1CF2" w:rsidRPr="00A808BF" w:rsidRDefault="009B1CF2" w:rsidP="009B1CF2">
            <w:pPr>
              <w:ind w:right="113"/>
              <w:jc w:val="center"/>
              <w:rPr>
                <w:rFonts w:eastAsia="Times New Roman"/>
                <w:b/>
                <w:sz w:val="12"/>
                <w:szCs w:val="12"/>
                <w:lang w:val="es-ES"/>
              </w:rPr>
            </w:pPr>
          </w:p>
        </w:tc>
        <w:tc>
          <w:tcPr>
            <w:tcW w:w="540" w:type="dxa"/>
          </w:tcPr>
          <w:p w14:paraId="61C1B4E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5F46C72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r>
      <w:tr w:rsidR="009B1CF2" w:rsidRPr="009B1CF2" w14:paraId="067AF7EA" w14:textId="77777777" w:rsidTr="00A808BF">
        <w:trPr>
          <w:jc w:val="center"/>
        </w:trPr>
        <w:tc>
          <w:tcPr>
            <w:tcW w:w="2007" w:type="dxa"/>
            <w:tcBorders>
              <w:bottom w:val="nil"/>
            </w:tcBorders>
          </w:tcPr>
          <w:p w14:paraId="6AE1F6A8" w14:textId="77777777" w:rsidR="009B1CF2" w:rsidRPr="00A808BF" w:rsidRDefault="009B1CF2" w:rsidP="009B1CF2">
            <w:pPr>
              <w:jc w:val="both"/>
              <w:rPr>
                <w:rFonts w:eastAsia="Times New Roman"/>
                <w:b/>
                <w:sz w:val="12"/>
                <w:szCs w:val="12"/>
                <w:lang w:val="es-ES"/>
              </w:rPr>
            </w:pPr>
            <w:r w:rsidRPr="00A808BF">
              <w:rPr>
                <w:rFonts w:eastAsia="Times New Roman"/>
                <w:b/>
                <w:sz w:val="12"/>
                <w:szCs w:val="12"/>
                <w:lang w:val="es-ES"/>
              </w:rPr>
              <w:t>Europa</w:t>
            </w:r>
          </w:p>
        </w:tc>
        <w:tc>
          <w:tcPr>
            <w:tcW w:w="540" w:type="dxa"/>
            <w:tcBorders>
              <w:bottom w:val="nil"/>
            </w:tcBorders>
          </w:tcPr>
          <w:p w14:paraId="79C0737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1.5</w:t>
            </w:r>
          </w:p>
        </w:tc>
        <w:tc>
          <w:tcPr>
            <w:tcW w:w="540" w:type="dxa"/>
            <w:tcBorders>
              <w:bottom w:val="nil"/>
            </w:tcBorders>
          </w:tcPr>
          <w:p w14:paraId="671B179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1.9</w:t>
            </w:r>
          </w:p>
        </w:tc>
        <w:tc>
          <w:tcPr>
            <w:tcW w:w="540" w:type="dxa"/>
            <w:tcBorders>
              <w:bottom w:val="nil"/>
            </w:tcBorders>
          </w:tcPr>
          <w:p w14:paraId="1565CB7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2.1</w:t>
            </w:r>
          </w:p>
        </w:tc>
        <w:tc>
          <w:tcPr>
            <w:tcW w:w="540" w:type="dxa"/>
            <w:tcBorders>
              <w:bottom w:val="nil"/>
            </w:tcBorders>
          </w:tcPr>
          <w:p w14:paraId="7D3B372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1.1</w:t>
            </w:r>
          </w:p>
        </w:tc>
        <w:tc>
          <w:tcPr>
            <w:tcW w:w="540" w:type="dxa"/>
            <w:tcBorders>
              <w:bottom w:val="nil"/>
            </w:tcBorders>
          </w:tcPr>
          <w:p w14:paraId="63BF790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0.5</w:t>
            </w:r>
          </w:p>
        </w:tc>
        <w:tc>
          <w:tcPr>
            <w:tcW w:w="720" w:type="dxa"/>
            <w:tcBorders>
              <w:bottom w:val="nil"/>
            </w:tcBorders>
          </w:tcPr>
          <w:p w14:paraId="4392113A" w14:textId="77777777" w:rsidR="009B1CF2" w:rsidRPr="00A808BF" w:rsidRDefault="009B1CF2" w:rsidP="009B1CF2">
            <w:pPr>
              <w:ind w:right="170"/>
              <w:jc w:val="right"/>
              <w:rPr>
                <w:rFonts w:eastAsia="Times New Roman"/>
                <w:b/>
                <w:sz w:val="12"/>
                <w:szCs w:val="12"/>
                <w:lang w:val="es-ES"/>
              </w:rPr>
            </w:pPr>
            <w:r w:rsidRPr="00A808BF">
              <w:rPr>
                <w:rFonts w:eastAsia="Times New Roman"/>
                <w:b/>
                <w:sz w:val="12"/>
                <w:szCs w:val="12"/>
                <w:lang w:val="es-ES"/>
              </w:rPr>
              <w:t>1.6</w:t>
            </w:r>
          </w:p>
        </w:tc>
        <w:tc>
          <w:tcPr>
            <w:tcW w:w="540" w:type="dxa"/>
            <w:tcBorders>
              <w:bottom w:val="nil"/>
            </w:tcBorders>
          </w:tcPr>
          <w:p w14:paraId="55ABAD3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1.8</w:t>
            </w:r>
          </w:p>
        </w:tc>
        <w:tc>
          <w:tcPr>
            <w:tcW w:w="540" w:type="dxa"/>
            <w:tcBorders>
              <w:bottom w:val="nil"/>
            </w:tcBorders>
          </w:tcPr>
          <w:p w14:paraId="362029D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2.2</w:t>
            </w:r>
          </w:p>
        </w:tc>
        <w:tc>
          <w:tcPr>
            <w:tcW w:w="540" w:type="dxa"/>
            <w:tcBorders>
              <w:bottom w:val="nil"/>
            </w:tcBorders>
          </w:tcPr>
          <w:p w14:paraId="0AF0D17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1.9</w:t>
            </w:r>
          </w:p>
        </w:tc>
        <w:tc>
          <w:tcPr>
            <w:tcW w:w="540" w:type="dxa"/>
            <w:tcBorders>
              <w:bottom w:val="nil"/>
            </w:tcBorders>
          </w:tcPr>
          <w:p w14:paraId="53A00E2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3E4BE52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00A2F41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44ACE750" w14:textId="77777777" w:rsidTr="00A808BF">
        <w:trPr>
          <w:jc w:val="center"/>
        </w:trPr>
        <w:tc>
          <w:tcPr>
            <w:tcW w:w="2007" w:type="dxa"/>
            <w:tcBorders>
              <w:top w:val="nil"/>
              <w:bottom w:val="nil"/>
              <w:right w:val="single" w:sz="4" w:space="0" w:color="auto"/>
            </w:tcBorders>
          </w:tcPr>
          <w:p w14:paraId="36859284"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Economías avanzadas</w:t>
            </w:r>
          </w:p>
        </w:tc>
        <w:tc>
          <w:tcPr>
            <w:tcW w:w="540" w:type="dxa"/>
            <w:tcBorders>
              <w:top w:val="nil"/>
              <w:left w:val="single" w:sz="4" w:space="0" w:color="auto"/>
              <w:bottom w:val="nil"/>
              <w:right w:val="single" w:sz="4" w:space="0" w:color="auto"/>
            </w:tcBorders>
          </w:tcPr>
          <w:p w14:paraId="3D52B45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1.3</w:t>
            </w:r>
          </w:p>
        </w:tc>
        <w:tc>
          <w:tcPr>
            <w:tcW w:w="540" w:type="dxa"/>
            <w:tcBorders>
              <w:top w:val="nil"/>
              <w:left w:val="single" w:sz="4" w:space="0" w:color="auto"/>
              <w:bottom w:val="nil"/>
              <w:right w:val="single" w:sz="4" w:space="0" w:color="auto"/>
            </w:tcBorders>
          </w:tcPr>
          <w:p w14:paraId="28DE4FA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1.7</w:t>
            </w:r>
          </w:p>
        </w:tc>
        <w:tc>
          <w:tcPr>
            <w:tcW w:w="540" w:type="dxa"/>
            <w:tcBorders>
              <w:top w:val="nil"/>
              <w:left w:val="single" w:sz="4" w:space="0" w:color="auto"/>
              <w:bottom w:val="nil"/>
              <w:right w:val="single" w:sz="4" w:space="0" w:color="auto"/>
            </w:tcBorders>
          </w:tcPr>
          <w:p w14:paraId="73A22A1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1.8</w:t>
            </w:r>
          </w:p>
        </w:tc>
        <w:tc>
          <w:tcPr>
            <w:tcW w:w="540" w:type="dxa"/>
            <w:tcBorders>
              <w:top w:val="nil"/>
              <w:left w:val="single" w:sz="4" w:space="0" w:color="auto"/>
              <w:bottom w:val="nil"/>
              <w:right w:val="single" w:sz="4" w:space="0" w:color="auto"/>
            </w:tcBorders>
          </w:tcPr>
          <w:p w14:paraId="2F3549D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0.6</w:t>
            </w:r>
          </w:p>
        </w:tc>
        <w:tc>
          <w:tcPr>
            <w:tcW w:w="540" w:type="dxa"/>
            <w:tcBorders>
              <w:top w:val="nil"/>
              <w:left w:val="single" w:sz="4" w:space="0" w:color="auto"/>
              <w:bottom w:val="nil"/>
              <w:right w:val="single" w:sz="4" w:space="0" w:color="auto"/>
            </w:tcBorders>
          </w:tcPr>
          <w:p w14:paraId="2A5F5BD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0.1</w:t>
            </w:r>
          </w:p>
        </w:tc>
        <w:tc>
          <w:tcPr>
            <w:tcW w:w="720" w:type="dxa"/>
            <w:tcBorders>
              <w:top w:val="nil"/>
              <w:left w:val="single" w:sz="4" w:space="0" w:color="auto"/>
              <w:bottom w:val="nil"/>
              <w:right w:val="single" w:sz="4" w:space="0" w:color="auto"/>
            </w:tcBorders>
          </w:tcPr>
          <w:p w14:paraId="2753BFB8" w14:textId="77777777" w:rsidR="009B1CF2" w:rsidRPr="00A808BF" w:rsidRDefault="009B1CF2" w:rsidP="009B1CF2">
            <w:pPr>
              <w:ind w:right="170"/>
              <w:jc w:val="right"/>
              <w:rPr>
                <w:rFonts w:eastAsia="Times New Roman"/>
                <w:b/>
                <w:sz w:val="12"/>
                <w:szCs w:val="12"/>
                <w:lang w:val="es-ES"/>
              </w:rPr>
            </w:pPr>
            <w:r w:rsidRPr="00A808BF">
              <w:rPr>
                <w:rFonts w:eastAsia="Times New Roman"/>
                <w:b/>
                <w:sz w:val="12"/>
                <w:szCs w:val="12"/>
                <w:lang w:val="es-ES"/>
              </w:rPr>
              <w:t>1.1</w:t>
            </w:r>
          </w:p>
        </w:tc>
        <w:tc>
          <w:tcPr>
            <w:tcW w:w="540" w:type="dxa"/>
            <w:tcBorders>
              <w:top w:val="nil"/>
              <w:left w:val="single" w:sz="4" w:space="0" w:color="auto"/>
              <w:bottom w:val="nil"/>
              <w:right w:val="single" w:sz="4" w:space="0" w:color="auto"/>
            </w:tcBorders>
          </w:tcPr>
          <w:p w14:paraId="52EEC38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2.2</w:t>
            </w:r>
          </w:p>
        </w:tc>
        <w:tc>
          <w:tcPr>
            <w:tcW w:w="540" w:type="dxa"/>
            <w:tcBorders>
              <w:top w:val="nil"/>
              <w:left w:val="single" w:sz="4" w:space="0" w:color="auto"/>
              <w:bottom w:val="nil"/>
              <w:right w:val="single" w:sz="4" w:space="0" w:color="auto"/>
            </w:tcBorders>
          </w:tcPr>
          <w:p w14:paraId="2CD0933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2.6</w:t>
            </w:r>
          </w:p>
        </w:tc>
        <w:tc>
          <w:tcPr>
            <w:tcW w:w="540" w:type="dxa"/>
            <w:tcBorders>
              <w:top w:val="nil"/>
              <w:left w:val="single" w:sz="4" w:space="0" w:color="auto"/>
              <w:bottom w:val="nil"/>
              <w:right w:val="single" w:sz="4" w:space="0" w:color="auto"/>
            </w:tcBorders>
          </w:tcPr>
          <w:p w14:paraId="58ABCDF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40" w:type="dxa"/>
            <w:tcBorders>
              <w:top w:val="nil"/>
              <w:left w:val="single" w:sz="4" w:space="0" w:color="auto"/>
              <w:bottom w:val="nil"/>
              <w:right w:val="single" w:sz="4" w:space="0" w:color="auto"/>
            </w:tcBorders>
          </w:tcPr>
          <w:p w14:paraId="520A412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10.2</w:t>
            </w:r>
          </w:p>
        </w:tc>
        <w:tc>
          <w:tcPr>
            <w:tcW w:w="540" w:type="dxa"/>
            <w:tcBorders>
              <w:top w:val="nil"/>
              <w:left w:val="single" w:sz="4" w:space="0" w:color="auto"/>
              <w:bottom w:val="nil"/>
              <w:right w:val="single" w:sz="4" w:space="0" w:color="auto"/>
            </w:tcBorders>
          </w:tcPr>
          <w:p w14:paraId="6E72FBC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9.7</w:t>
            </w:r>
          </w:p>
        </w:tc>
        <w:tc>
          <w:tcPr>
            <w:tcW w:w="540" w:type="dxa"/>
            <w:tcBorders>
              <w:top w:val="nil"/>
              <w:left w:val="single" w:sz="4" w:space="0" w:color="auto"/>
              <w:bottom w:val="nil"/>
            </w:tcBorders>
          </w:tcPr>
          <w:p w14:paraId="4C32672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9.3</w:t>
            </w:r>
          </w:p>
        </w:tc>
      </w:tr>
      <w:tr w:rsidR="009B1CF2" w:rsidRPr="009B1CF2" w14:paraId="2526B31E" w14:textId="77777777" w:rsidTr="00A808BF">
        <w:trPr>
          <w:jc w:val="center"/>
        </w:trPr>
        <w:tc>
          <w:tcPr>
            <w:tcW w:w="2007" w:type="dxa"/>
            <w:tcBorders>
              <w:top w:val="nil"/>
              <w:bottom w:val="nil"/>
              <w:right w:val="single" w:sz="4" w:space="0" w:color="auto"/>
            </w:tcBorders>
          </w:tcPr>
          <w:p w14:paraId="3832CA38"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Zona del euro</w:t>
            </w:r>
            <w:r w:rsidRPr="00A808BF">
              <w:rPr>
                <w:rFonts w:eastAsia="Times New Roman"/>
                <w:sz w:val="12"/>
                <w:szCs w:val="12"/>
                <w:u w:val="single"/>
                <w:vertAlign w:val="superscript"/>
                <w:lang w:val="es-ES"/>
              </w:rPr>
              <w:t>4</w:t>
            </w:r>
            <w:r w:rsidRPr="00A808BF">
              <w:rPr>
                <w:rFonts w:eastAsia="Times New Roman"/>
                <w:sz w:val="12"/>
                <w:szCs w:val="12"/>
                <w:vertAlign w:val="superscript"/>
                <w:lang w:val="es-ES"/>
              </w:rPr>
              <w:t>/,</w:t>
            </w:r>
            <w:r w:rsidRPr="00A808BF">
              <w:rPr>
                <w:rFonts w:eastAsia="Times New Roman"/>
                <w:sz w:val="12"/>
                <w:szCs w:val="12"/>
                <w:u w:val="single"/>
                <w:vertAlign w:val="superscript"/>
                <w:lang w:val="es-ES"/>
              </w:rPr>
              <w:t>5</w:t>
            </w:r>
            <w:r w:rsidRPr="00A808BF">
              <w:rPr>
                <w:rFonts w:eastAsia="Times New Roman"/>
                <w:sz w:val="12"/>
                <w:szCs w:val="12"/>
                <w:vertAlign w:val="superscript"/>
                <w:lang w:val="es-ES"/>
              </w:rPr>
              <w:t>/</w:t>
            </w:r>
          </w:p>
        </w:tc>
        <w:tc>
          <w:tcPr>
            <w:tcW w:w="540" w:type="dxa"/>
            <w:tcBorders>
              <w:top w:val="nil"/>
              <w:left w:val="single" w:sz="4" w:space="0" w:color="auto"/>
              <w:bottom w:val="nil"/>
              <w:right w:val="single" w:sz="4" w:space="0" w:color="auto"/>
            </w:tcBorders>
          </w:tcPr>
          <w:p w14:paraId="0F849E3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6DB7401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2A23439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25E5EF5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tcPr>
          <w:p w14:paraId="011AFE5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720" w:type="dxa"/>
            <w:tcBorders>
              <w:top w:val="nil"/>
              <w:left w:val="single" w:sz="4" w:space="0" w:color="auto"/>
              <w:bottom w:val="nil"/>
              <w:right w:val="single" w:sz="4" w:space="0" w:color="auto"/>
            </w:tcBorders>
          </w:tcPr>
          <w:p w14:paraId="039C62D8"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1.0</w:t>
            </w:r>
          </w:p>
        </w:tc>
        <w:tc>
          <w:tcPr>
            <w:tcW w:w="540" w:type="dxa"/>
            <w:tcBorders>
              <w:top w:val="nil"/>
              <w:left w:val="single" w:sz="4" w:space="0" w:color="auto"/>
              <w:bottom w:val="nil"/>
              <w:right w:val="single" w:sz="4" w:space="0" w:color="auto"/>
            </w:tcBorders>
          </w:tcPr>
          <w:p w14:paraId="2188A90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12C9252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left w:val="single" w:sz="4" w:space="0" w:color="auto"/>
              <w:bottom w:val="nil"/>
              <w:right w:val="single" w:sz="4" w:space="0" w:color="auto"/>
            </w:tcBorders>
          </w:tcPr>
          <w:p w14:paraId="49A2244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left w:val="single" w:sz="4" w:space="0" w:color="auto"/>
              <w:bottom w:val="nil"/>
              <w:right w:val="single" w:sz="4" w:space="0" w:color="auto"/>
            </w:tcBorders>
          </w:tcPr>
          <w:p w14:paraId="6C56FD0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11.6</w:t>
            </w:r>
          </w:p>
        </w:tc>
        <w:tc>
          <w:tcPr>
            <w:tcW w:w="540" w:type="dxa"/>
            <w:tcBorders>
              <w:top w:val="nil"/>
              <w:left w:val="single" w:sz="4" w:space="0" w:color="auto"/>
              <w:bottom w:val="nil"/>
              <w:right w:val="single" w:sz="4" w:space="0" w:color="auto"/>
            </w:tcBorders>
          </w:tcPr>
          <w:p w14:paraId="60365C2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11.1</w:t>
            </w:r>
          </w:p>
        </w:tc>
        <w:tc>
          <w:tcPr>
            <w:tcW w:w="540" w:type="dxa"/>
            <w:tcBorders>
              <w:top w:val="nil"/>
              <w:left w:val="single" w:sz="4" w:space="0" w:color="auto"/>
              <w:bottom w:val="nil"/>
            </w:tcBorders>
          </w:tcPr>
          <w:p w14:paraId="207AE16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10.6</w:t>
            </w:r>
          </w:p>
        </w:tc>
      </w:tr>
      <w:tr w:rsidR="009B1CF2" w:rsidRPr="009B1CF2" w14:paraId="34679A6F" w14:textId="77777777" w:rsidTr="00A808BF">
        <w:trPr>
          <w:jc w:val="center"/>
        </w:trPr>
        <w:tc>
          <w:tcPr>
            <w:tcW w:w="2007" w:type="dxa"/>
            <w:tcBorders>
              <w:top w:val="nil"/>
              <w:bottom w:val="nil"/>
              <w:right w:val="single" w:sz="4" w:space="0" w:color="auto"/>
            </w:tcBorders>
          </w:tcPr>
          <w:p w14:paraId="58B2594B"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Alemania</w:t>
            </w:r>
          </w:p>
        </w:tc>
        <w:tc>
          <w:tcPr>
            <w:tcW w:w="540" w:type="dxa"/>
            <w:tcBorders>
              <w:top w:val="nil"/>
              <w:left w:val="single" w:sz="4" w:space="0" w:color="auto"/>
              <w:bottom w:val="nil"/>
              <w:right w:val="single" w:sz="4" w:space="0" w:color="auto"/>
            </w:tcBorders>
          </w:tcPr>
          <w:p w14:paraId="4D18727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3DEBAEA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1598D0D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w:t>
            </w:r>
          </w:p>
        </w:tc>
        <w:tc>
          <w:tcPr>
            <w:tcW w:w="540" w:type="dxa"/>
            <w:tcBorders>
              <w:top w:val="nil"/>
              <w:left w:val="single" w:sz="4" w:space="0" w:color="auto"/>
              <w:bottom w:val="nil"/>
              <w:right w:val="single" w:sz="4" w:space="0" w:color="auto"/>
            </w:tcBorders>
          </w:tcPr>
          <w:p w14:paraId="2291294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tcPr>
          <w:p w14:paraId="35E8E90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720" w:type="dxa"/>
            <w:tcBorders>
              <w:top w:val="nil"/>
              <w:left w:val="single" w:sz="4" w:space="0" w:color="auto"/>
              <w:bottom w:val="nil"/>
              <w:right w:val="single" w:sz="4" w:space="0" w:color="auto"/>
            </w:tcBorders>
          </w:tcPr>
          <w:p w14:paraId="4340646B"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1.3</w:t>
            </w:r>
          </w:p>
        </w:tc>
        <w:tc>
          <w:tcPr>
            <w:tcW w:w="540" w:type="dxa"/>
            <w:tcBorders>
              <w:top w:val="nil"/>
              <w:left w:val="single" w:sz="4" w:space="0" w:color="auto"/>
              <w:bottom w:val="nil"/>
              <w:right w:val="single" w:sz="4" w:space="0" w:color="auto"/>
            </w:tcBorders>
          </w:tcPr>
          <w:p w14:paraId="1859438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7.5</w:t>
            </w:r>
          </w:p>
        </w:tc>
        <w:tc>
          <w:tcPr>
            <w:tcW w:w="540" w:type="dxa"/>
            <w:tcBorders>
              <w:top w:val="nil"/>
              <w:left w:val="single" w:sz="4" w:space="0" w:color="auto"/>
              <w:bottom w:val="nil"/>
              <w:right w:val="single" w:sz="4" w:space="0" w:color="auto"/>
            </w:tcBorders>
          </w:tcPr>
          <w:p w14:paraId="33803FA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8.4</w:t>
            </w:r>
          </w:p>
        </w:tc>
        <w:tc>
          <w:tcPr>
            <w:tcW w:w="540" w:type="dxa"/>
            <w:tcBorders>
              <w:top w:val="nil"/>
              <w:left w:val="single" w:sz="4" w:space="0" w:color="auto"/>
              <w:bottom w:val="nil"/>
              <w:right w:val="single" w:sz="4" w:space="0" w:color="auto"/>
            </w:tcBorders>
          </w:tcPr>
          <w:p w14:paraId="5A179B1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7.9</w:t>
            </w:r>
          </w:p>
        </w:tc>
        <w:tc>
          <w:tcPr>
            <w:tcW w:w="540" w:type="dxa"/>
            <w:tcBorders>
              <w:top w:val="nil"/>
              <w:left w:val="single" w:sz="4" w:space="0" w:color="auto"/>
              <w:bottom w:val="nil"/>
              <w:right w:val="single" w:sz="4" w:space="0" w:color="auto"/>
            </w:tcBorders>
          </w:tcPr>
          <w:p w14:paraId="56A50FD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left w:val="single" w:sz="4" w:space="0" w:color="auto"/>
              <w:bottom w:val="nil"/>
              <w:right w:val="single" w:sz="4" w:space="0" w:color="auto"/>
            </w:tcBorders>
          </w:tcPr>
          <w:p w14:paraId="155D0F6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40" w:type="dxa"/>
            <w:tcBorders>
              <w:top w:val="nil"/>
              <w:left w:val="single" w:sz="4" w:space="0" w:color="auto"/>
              <w:bottom w:val="nil"/>
            </w:tcBorders>
          </w:tcPr>
          <w:p w14:paraId="2E23F48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r>
      <w:tr w:rsidR="009B1CF2" w:rsidRPr="009B1CF2" w14:paraId="744A68E7" w14:textId="77777777" w:rsidTr="00A808BF">
        <w:trPr>
          <w:jc w:val="center"/>
        </w:trPr>
        <w:tc>
          <w:tcPr>
            <w:tcW w:w="2007" w:type="dxa"/>
            <w:tcBorders>
              <w:top w:val="nil"/>
              <w:bottom w:val="nil"/>
              <w:right w:val="single" w:sz="4" w:space="0" w:color="auto"/>
            </w:tcBorders>
          </w:tcPr>
          <w:p w14:paraId="059C5631"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Francia</w:t>
            </w:r>
          </w:p>
        </w:tc>
        <w:tc>
          <w:tcPr>
            <w:tcW w:w="540" w:type="dxa"/>
            <w:tcBorders>
              <w:top w:val="nil"/>
              <w:left w:val="single" w:sz="4" w:space="0" w:color="auto"/>
              <w:bottom w:val="nil"/>
              <w:right w:val="single" w:sz="4" w:space="0" w:color="auto"/>
            </w:tcBorders>
          </w:tcPr>
          <w:p w14:paraId="59A33C5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tcPr>
          <w:p w14:paraId="664DB0D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left w:val="single" w:sz="4" w:space="0" w:color="auto"/>
              <w:bottom w:val="nil"/>
              <w:right w:val="single" w:sz="4" w:space="0" w:color="auto"/>
            </w:tcBorders>
          </w:tcPr>
          <w:p w14:paraId="4D85F18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268FEEE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left w:val="single" w:sz="4" w:space="0" w:color="auto"/>
              <w:bottom w:val="nil"/>
              <w:right w:val="single" w:sz="4" w:space="0" w:color="auto"/>
            </w:tcBorders>
          </w:tcPr>
          <w:p w14:paraId="7ACD27D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720" w:type="dxa"/>
            <w:tcBorders>
              <w:top w:val="nil"/>
              <w:left w:val="single" w:sz="4" w:space="0" w:color="auto"/>
              <w:bottom w:val="nil"/>
              <w:right w:val="single" w:sz="4" w:space="0" w:color="auto"/>
            </w:tcBorders>
          </w:tcPr>
          <w:p w14:paraId="2B7DB8EC"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tcPr>
          <w:p w14:paraId="112C058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tcPr>
          <w:p w14:paraId="60DD1D6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40" w:type="dxa"/>
            <w:tcBorders>
              <w:top w:val="nil"/>
              <w:left w:val="single" w:sz="4" w:space="0" w:color="auto"/>
              <w:bottom w:val="nil"/>
              <w:right w:val="single" w:sz="4" w:space="0" w:color="auto"/>
            </w:tcBorders>
          </w:tcPr>
          <w:p w14:paraId="1DBDE0F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tcPr>
          <w:p w14:paraId="186B664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10.2</w:t>
            </w:r>
          </w:p>
        </w:tc>
        <w:tc>
          <w:tcPr>
            <w:tcW w:w="540" w:type="dxa"/>
            <w:tcBorders>
              <w:top w:val="nil"/>
              <w:left w:val="single" w:sz="4" w:space="0" w:color="auto"/>
              <w:bottom w:val="nil"/>
              <w:right w:val="single" w:sz="4" w:space="0" w:color="auto"/>
            </w:tcBorders>
          </w:tcPr>
          <w:p w14:paraId="6B406F4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10.1</w:t>
            </w:r>
          </w:p>
        </w:tc>
        <w:tc>
          <w:tcPr>
            <w:tcW w:w="540" w:type="dxa"/>
            <w:tcBorders>
              <w:top w:val="nil"/>
              <w:left w:val="single" w:sz="4" w:space="0" w:color="auto"/>
              <w:bottom w:val="nil"/>
            </w:tcBorders>
          </w:tcPr>
          <w:p w14:paraId="21F94EA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9.9</w:t>
            </w:r>
          </w:p>
        </w:tc>
      </w:tr>
      <w:tr w:rsidR="009B1CF2" w:rsidRPr="009B1CF2" w14:paraId="5235BC0E" w14:textId="77777777" w:rsidTr="00A808BF">
        <w:trPr>
          <w:jc w:val="center"/>
        </w:trPr>
        <w:tc>
          <w:tcPr>
            <w:tcW w:w="2007" w:type="dxa"/>
            <w:tcBorders>
              <w:top w:val="nil"/>
              <w:bottom w:val="nil"/>
              <w:right w:val="single" w:sz="4" w:space="0" w:color="auto"/>
            </w:tcBorders>
          </w:tcPr>
          <w:p w14:paraId="65A74DC4"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Italia</w:t>
            </w:r>
          </w:p>
        </w:tc>
        <w:tc>
          <w:tcPr>
            <w:tcW w:w="540" w:type="dxa"/>
            <w:tcBorders>
              <w:top w:val="nil"/>
              <w:left w:val="single" w:sz="4" w:space="0" w:color="auto"/>
              <w:bottom w:val="nil"/>
              <w:right w:val="single" w:sz="4" w:space="0" w:color="auto"/>
            </w:tcBorders>
            <w:vAlign w:val="bottom"/>
          </w:tcPr>
          <w:p w14:paraId="5E5F4F1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vAlign w:val="bottom"/>
          </w:tcPr>
          <w:p w14:paraId="096AEF7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left w:val="single" w:sz="4" w:space="0" w:color="auto"/>
              <w:bottom w:val="nil"/>
              <w:right w:val="single" w:sz="4" w:space="0" w:color="auto"/>
            </w:tcBorders>
            <w:vAlign w:val="bottom"/>
          </w:tcPr>
          <w:p w14:paraId="6672741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vAlign w:val="bottom"/>
          </w:tcPr>
          <w:p w14:paraId="4FDC5C7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vAlign w:val="bottom"/>
          </w:tcPr>
          <w:p w14:paraId="53D501D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0.0</w:t>
            </w:r>
          </w:p>
        </w:tc>
        <w:tc>
          <w:tcPr>
            <w:tcW w:w="720" w:type="dxa"/>
            <w:tcBorders>
              <w:top w:val="nil"/>
              <w:left w:val="single" w:sz="4" w:space="0" w:color="auto"/>
              <w:bottom w:val="nil"/>
              <w:right w:val="single" w:sz="4" w:space="0" w:color="auto"/>
            </w:tcBorders>
            <w:vAlign w:val="bottom"/>
          </w:tcPr>
          <w:p w14:paraId="2DB4C4E4"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vAlign w:val="bottom"/>
          </w:tcPr>
          <w:p w14:paraId="0AF2174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40" w:type="dxa"/>
            <w:tcBorders>
              <w:top w:val="nil"/>
              <w:left w:val="single" w:sz="4" w:space="0" w:color="auto"/>
              <w:bottom w:val="nil"/>
              <w:right w:val="single" w:sz="4" w:space="0" w:color="auto"/>
            </w:tcBorders>
            <w:vAlign w:val="bottom"/>
          </w:tcPr>
          <w:p w14:paraId="0472C37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2.6</w:t>
            </w:r>
          </w:p>
        </w:tc>
        <w:tc>
          <w:tcPr>
            <w:tcW w:w="540" w:type="dxa"/>
            <w:tcBorders>
              <w:top w:val="nil"/>
              <w:left w:val="single" w:sz="4" w:space="0" w:color="auto"/>
              <w:bottom w:val="nil"/>
              <w:right w:val="single" w:sz="4" w:space="0" w:color="auto"/>
            </w:tcBorders>
            <w:vAlign w:val="bottom"/>
          </w:tcPr>
          <w:p w14:paraId="41C1CE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left w:val="single" w:sz="4" w:space="0" w:color="auto"/>
              <w:bottom w:val="nil"/>
              <w:right w:val="single" w:sz="4" w:space="0" w:color="auto"/>
            </w:tcBorders>
            <w:vAlign w:val="bottom"/>
          </w:tcPr>
          <w:p w14:paraId="432B348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12.8</w:t>
            </w:r>
          </w:p>
        </w:tc>
        <w:tc>
          <w:tcPr>
            <w:tcW w:w="540" w:type="dxa"/>
            <w:tcBorders>
              <w:top w:val="nil"/>
              <w:left w:val="single" w:sz="4" w:space="0" w:color="auto"/>
              <w:bottom w:val="nil"/>
              <w:right w:val="single" w:sz="4" w:space="0" w:color="auto"/>
            </w:tcBorders>
            <w:vAlign w:val="bottom"/>
          </w:tcPr>
          <w:p w14:paraId="6B8A28B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12.6</w:t>
            </w:r>
          </w:p>
        </w:tc>
        <w:tc>
          <w:tcPr>
            <w:tcW w:w="540" w:type="dxa"/>
            <w:tcBorders>
              <w:top w:val="nil"/>
              <w:left w:val="single" w:sz="4" w:space="0" w:color="auto"/>
              <w:bottom w:val="nil"/>
            </w:tcBorders>
            <w:vAlign w:val="bottom"/>
          </w:tcPr>
          <w:p w14:paraId="2E496F0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12.3</w:t>
            </w:r>
          </w:p>
        </w:tc>
      </w:tr>
      <w:tr w:rsidR="009B1CF2" w:rsidRPr="009B1CF2" w14:paraId="6EDAAA17" w14:textId="77777777" w:rsidTr="00A808BF">
        <w:trPr>
          <w:jc w:val="center"/>
        </w:trPr>
        <w:tc>
          <w:tcPr>
            <w:tcW w:w="2007" w:type="dxa"/>
            <w:tcBorders>
              <w:top w:val="nil"/>
              <w:bottom w:val="nil"/>
              <w:right w:val="single" w:sz="4" w:space="0" w:color="auto"/>
            </w:tcBorders>
          </w:tcPr>
          <w:p w14:paraId="727C54BA"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España</w:t>
            </w:r>
          </w:p>
        </w:tc>
        <w:tc>
          <w:tcPr>
            <w:tcW w:w="540" w:type="dxa"/>
            <w:tcBorders>
              <w:top w:val="nil"/>
              <w:left w:val="single" w:sz="4" w:space="0" w:color="auto"/>
              <w:bottom w:val="nil"/>
              <w:right w:val="single" w:sz="4" w:space="0" w:color="auto"/>
            </w:tcBorders>
            <w:vAlign w:val="bottom"/>
          </w:tcPr>
          <w:p w14:paraId="26CB562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vAlign w:val="bottom"/>
          </w:tcPr>
          <w:p w14:paraId="61B44C3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left w:val="single" w:sz="4" w:space="0" w:color="auto"/>
              <w:bottom w:val="nil"/>
              <w:right w:val="single" w:sz="4" w:space="0" w:color="auto"/>
            </w:tcBorders>
            <w:vAlign w:val="bottom"/>
          </w:tcPr>
          <w:p w14:paraId="5CDCA91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left w:val="single" w:sz="4" w:space="0" w:color="auto"/>
              <w:bottom w:val="nil"/>
              <w:right w:val="single" w:sz="4" w:space="0" w:color="auto"/>
            </w:tcBorders>
            <w:vAlign w:val="bottom"/>
          </w:tcPr>
          <w:p w14:paraId="1850437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vAlign w:val="bottom"/>
          </w:tcPr>
          <w:p w14:paraId="5A38A06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720" w:type="dxa"/>
            <w:tcBorders>
              <w:top w:val="nil"/>
              <w:left w:val="single" w:sz="4" w:space="0" w:color="auto"/>
              <w:bottom w:val="nil"/>
              <w:right w:val="single" w:sz="4" w:space="0" w:color="auto"/>
            </w:tcBorders>
            <w:vAlign w:val="bottom"/>
          </w:tcPr>
          <w:p w14:paraId="496E01B5"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0.7</w:t>
            </w:r>
          </w:p>
        </w:tc>
        <w:tc>
          <w:tcPr>
            <w:tcW w:w="540" w:type="dxa"/>
            <w:tcBorders>
              <w:top w:val="nil"/>
              <w:left w:val="single" w:sz="4" w:space="0" w:color="auto"/>
              <w:bottom w:val="nil"/>
              <w:right w:val="single" w:sz="4" w:space="0" w:color="auto"/>
            </w:tcBorders>
            <w:vAlign w:val="bottom"/>
          </w:tcPr>
          <w:p w14:paraId="1C444D6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40" w:type="dxa"/>
            <w:tcBorders>
              <w:top w:val="nil"/>
              <w:left w:val="single" w:sz="4" w:space="0" w:color="auto"/>
              <w:bottom w:val="nil"/>
              <w:right w:val="single" w:sz="4" w:space="0" w:color="auto"/>
            </w:tcBorders>
            <w:vAlign w:val="bottom"/>
          </w:tcPr>
          <w:p w14:paraId="035946C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vAlign w:val="bottom"/>
          </w:tcPr>
          <w:p w14:paraId="12FDE1A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vAlign w:val="bottom"/>
          </w:tcPr>
          <w:p w14:paraId="30C723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24.5</w:t>
            </w:r>
          </w:p>
        </w:tc>
        <w:tc>
          <w:tcPr>
            <w:tcW w:w="540" w:type="dxa"/>
            <w:tcBorders>
              <w:top w:val="nil"/>
              <w:left w:val="single" w:sz="4" w:space="0" w:color="auto"/>
              <w:bottom w:val="nil"/>
              <w:right w:val="single" w:sz="4" w:space="0" w:color="auto"/>
            </w:tcBorders>
            <w:vAlign w:val="bottom"/>
          </w:tcPr>
          <w:p w14:paraId="62AEAE6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22.6</w:t>
            </w:r>
          </w:p>
        </w:tc>
        <w:tc>
          <w:tcPr>
            <w:tcW w:w="540" w:type="dxa"/>
            <w:tcBorders>
              <w:top w:val="nil"/>
              <w:left w:val="single" w:sz="4" w:space="0" w:color="auto"/>
              <w:bottom w:val="nil"/>
            </w:tcBorders>
            <w:vAlign w:val="bottom"/>
          </w:tcPr>
          <w:p w14:paraId="62659A3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21.1</w:t>
            </w:r>
          </w:p>
        </w:tc>
      </w:tr>
      <w:tr w:rsidR="009B1CF2" w:rsidRPr="009B1CF2" w14:paraId="13340FA3" w14:textId="77777777" w:rsidTr="00A808BF">
        <w:trPr>
          <w:jc w:val="center"/>
        </w:trPr>
        <w:tc>
          <w:tcPr>
            <w:tcW w:w="2007" w:type="dxa"/>
            <w:tcBorders>
              <w:top w:val="nil"/>
              <w:bottom w:val="nil"/>
              <w:right w:val="single" w:sz="4" w:space="0" w:color="auto"/>
            </w:tcBorders>
          </w:tcPr>
          <w:p w14:paraId="55BC1A55"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Países Bajos</w:t>
            </w:r>
          </w:p>
        </w:tc>
        <w:tc>
          <w:tcPr>
            <w:tcW w:w="540" w:type="dxa"/>
            <w:tcBorders>
              <w:top w:val="nil"/>
              <w:left w:val="single" w:sz="4" w:space="0" w:color="auto"/>
              <w:bottom w:val="nil"/>
              <w:right w:val="single" w:sz="4" w:space="0" w:color="auto"/>
            </w:tcBorders>
          </w:tcPr>
          <w:p w14:paraId="2C4B10F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56D67E4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7DB7BD5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0CE69D8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tcPr>
          <w:p w14:paraId="0634FFA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720" w:type="dxa"/>
            <w:tcBorders>
              <w:top w:val="nil"/>
              <w:left w:val="single" w:sz="4" w:space="0" w:color="auto"/>
              <w:bottom w:val="nil"/>
              <w:right w:val="single" w:sz="4" w:space="0" w:color="auto"/>
            </w:tcBorders>
          </w:tcPr>
          <w:p w14:paraId="3A40A6CD"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5D4BC6F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10.3</w:t>
            </w:r>
          </w:p>
        </w:tc>
        <w:tc>
          <w:tcPr>
            <w:tcW w:w="540" w:type="dxa"/>
            <w:tcBorders>
              <w:top w:val="nil"/>
              <w:left w:val="single" w:sz="4" w:space="0" w:color="auto"/>
              <w:bottom w:val="nil"/>
              <w:right w:val="single" w:sz="4" w:space="0" w:color="auto"/>
            </w:tcBorders>
          </w:tcPr>
          <w:p w14:paraId="3F1D9A7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10.4</w:t>
            </w:r>
          </w:p>
        </w:tc>
        <w:tc>
          <w:tcPr>
            <w:tcW w:w="540" w:type="dxa"/>
            <w:tcBorders>
              <w:top w:val="nil"/>
              <w:left w:val="single" w:sz="4" w:space="0" w:color="auto"/>
              <w:bottom w:val="nil"/>
              <w:right w:val="single" w:sz="4" w:space="0" w:color="auto"/>
            </w:tcBorders>
          </w:tcPr>
          <w:p w14:paraId="6DBAECA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10.1</w:t>
            </w:r>
          </w:p>
        </w:tc>
        <w:tc>
          <w:tcPr>
            <w:tcW w:w="540" w:type="dxa"/>
            <w:tcBorders>
              <w:top w:val="nil"/>
              <w:left w:val="single" w:sz="4" w:space="0" w:color="auto"/>
              <w:bottom w:val="nil"/>
              <w:right w:val="single" w:sz="4" w:space="0" w:color="auto"/>
            </w:tcBorders>
          </w:tcPr>
          <w:p w14:paraId="371538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7.4</w:t>
            </w:r>
          </w:p>
        </w:tc>
        <w:tc>
          <w:tcPr>
            <w:tcW w:w="540" w:type="dxa"/>
            <w:tcBorders>
              <w:top w:val="nil"/>
              <w:left w:val="single" w:sz="4" w:space="0" w:color="auto"/>
              <w:bottom w:val="nil"/>
              <w:right w:val="single" w:sz="4" w:space="0" w:color="auto"/>
            </w:tcBorders>
          </w:tcPr>
          <w:p w14:paraId="442A45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7.2</w:t>
            </w:r>
          </w:p>
        </w:tc>
        <w:tc>
          <w:tcPr>
            <w:tcW w:w="540" w:type="dxa"/>
            <w:tcBorders>
              <w:top w:val="nil"/>
              <w:left w:val="single" w:sz="4" w:space="0" w:color="auto"/>
              <w:bottom w:val="nil"/>
            </w:tcBorders>
          </w:tcPr>
          <w:p w14:paraId="24B6C86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r>
      <w:tr w:rsidR="009B1CF2" w:rsidRPr="009B1CF2" w14:paraId="5A877C80" w14:textId="77777777" w:rsidTr="00A808BF">
        <w:trPr>
          <w:jc w:val="center"/>
        </w:trPr>
        <w:tc>
          <w:tcPr>
            <w:tcW w:w="2007" w:type="dxa"/>
            <w:tcBorders>
              <w:top w:val="nil"/>
              <w:bottom w:val="nil"/>
              <w:right w:val="single" w:sz="4" w:space="0" w:color="auto"/>
            </w:tcBorders>
          </w:tcPr>
          <w:p w14:paraId="4F48945D"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Bélgica</w:t>
            </w:r>
          </w:p>
        </w:tc>
        <w:tc>
          <w:tcPr>
            <w:tcW w:w="540" w:type="dxa"/>
            <w:tcBorders>
              <w:top w:val="nil"/>
              <w:left w:val="single" w:sz="4" w:space="0" w:color="auto"/>
              <w:bottom w:val="nil"/>
              <w:right w:val="single" w:sz="4" w:space="0" w:color="auto"/>
            </w:tcBorders>
          </w:tcPr>
          <w:p w14:paraId="2E709DC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left w:val="single" w:sz="4" w:space="0" w:color="auto"/>
              <w:bottom w:val="nil"/>
              <w:right w:val="single" w:sz="4" w:space="0" w:color="auto"/>
            </w:tcBorders>
          </w:tcPr>
          <w:p w14:paraId="3162E8D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40" w:type="dxa"/>
            <w:tcBorders>
              <w:top w:val="nil"/>
              <w:left w:val="single" w:sz="4" w:space="0" w:color="auto"/>
              <w:bottom w:val="nil"/>
              <w:right w:val="single" w:sz="4" w:space="0" w:color="auto"/>
            </w:tcBorders>
          </w:tcPr>
          <w:p w14:paraId="3A8C37E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3048AB8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left w:val="single" w:sz="4" w:space="0" w:color="auto"/>
              <w:bottom w:val="nil"/>
              <w:right w:val="single" w:sz="4" w:space="0" w:color="auto"/>
            </w:tcBorders>
          </w:tcPr>
          <w:p w14:paraId="6EE9060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720" w:type="dxa"/>
            <w:tcBorders>
              <w:top w:val="nil"/>
              <w:left w:val="single" w:sz="4" w:space="0" w:color="auto"/>
              <w:bottom w:val="nil"/>
              <w:right w:val="single" w:sz="4" w:space="0" w:color="auto"/>
            </w:tcBorders>
          </w:tcPr>
          <w:p w14:paraId="7C9905EB"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1584FE6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2A1FD2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21E46E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top w:val="nil"/>
              <w:left w:val="single" w:sz="4" w:space="0" w:color="auto"/>
              <w:bottom w:val="nil"/>
              <w:right w:val="single" w:sz="4" w:space="0" w:color="auto"/>
            </w:tcBorders>
          </w:tcPr>
          <w:p w14:paraId="535E0CC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8.5</w:t>
            </w:r>
          </w:p>
        </w:tc>
        <w:tc>
          <w:tcPr>
            <w:tcW w:w="540" w:type="dxa"/>
            <w:tcBorders>
              <w:top w:val="nil"/>
              <w:left w:val="single" w:sz="4" w:space="0" w:color="auto"/>
              <w:bottom w:val="nil"/>
              <w:right w:val="single" w:sz="4" w:space="0" w:color="auto"/>
            </w:tcBorders>
          </w:tcPr>
          <w:p w14:paraId="5A1D59B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8.4</w:t>
            </w:r>
          </w:p>
        </w:tc>
        <w:tc>
          <w:tcPr>
            <w:tcW w:w="540" w:type="dxa"/>
            <w:tcBorders>
              <w:top w:val="nil"/>
              <w:left w:val="single" w:sz="4" w:space="0" w:color="auto"/>
              <w:bottom w:val="nil"/>
            </w:tcBorders>
          </w:tcPr>
          <w:p w14:paraId="3308253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8.2</w:t>
            </w:r>
          </w:p>
        </w:tc>
      </w:tr>
      <w:tr w:rsidR="009B1CF2" w:rsidRPr="009B1CF2" w14:paraId="2ADAD4D2" w14:textId="77777777" w:rsidTr="00A808BF">
        <w:trPr>
          <w:jc w:val="center"/>
        </w:trPr>
        <w:tc>
          <w:tcPr>
            <w:tcW w:w="2007" w:type="dxa"/>
            <w:tcBorders>
              <w:top w:val="nil"/>
              <w:bottom w:val="nil"/>
              <w:right w:val="single" w:sz="4" w:space="0" w:color="auto"/>
            </w:tcBorders>
          </w:tcPr>
          <w:p w14:paraId="1AC02114"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Austria</w:t>
            </w:r>
          </w:p>
        </w:tc>
        <w:tc>
          <w:tcPr>
            <w:tcW w:w="540" w:type="dxa"/>
            <w:tcBorders>
              <w:top w:val="nil"/>
              <w:left w:val="single" w:sz="4" w:space="0" w:color="auto"/>
              <w:bottom w:val="nil"/>
              <w:right w:val="single" w:sz="4" w:space="0" w:color="auto"/>
            </w:tcBorders>
            <w:vAlign w:val="bottom"/>
          </w:tcPr>
          <w:p w14:paraId="57C1C94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vAlign w:val="bottom"/>
          </w:tcPr>
          <w:p w14:paraId="4054119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vAlign w:val="bottom"/>
          </w:tcPr>
          <w:p w14:paraId="7433DBC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vAlign w:val="bottom"/>
          </w:tcPr>
          <w:p w14:paraId="0482EF7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vAlign w:val="bottom"/>
          </w:tcPr>
          <w:p w14:paraId="2E291B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720" w:type="dxa"/>
            <w:tcBorders>
              <w:top w:val="nil"/>
              <w:left w:val="single" w:sz="4" w:space="0" w:color="auto"/>
              <w:bottom w:val="nil"/>
              <w:right w:val="single" w:sz="4" w:space="0" w:color="auto"/>
            </w:tcBorders>
            <w:vAlign w:val="bottom"/>
          </w:tcPr>
          <w:p w14:paraId="7A192EDE"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vAlign w:val="bottom"/>
          </w:tcPr>
          <w:p w14:paraId="3327F05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40" w:type="dxa"/>
            <w:tcBorders>
              <w:top w:val="nil"/>
              <w:left w:val="single" w:sz="4" w:space="0" w:color="auto"/>
              <w:bottom w:val="nil"/>
              <w:right w:val="single" w:sz="4" w:space="0" w:color="auto"/>
            </w:tcBorders>
            <w:vAlign w:val="bottom"/>
          </w:tcPr>
          <w:p w14:paraId="1E3CE10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40" w:type="dxa"/>
            <w:tcBorders>
              <w:top w:val="nil"/>
              <w:left w:val="single" w:sz="4" w:space="0" w:color="auto"/>
              <w:bottom w:val="nil"/>
              <w:right w:val="single" w:sz="4" w:space="0" w:color="auto"/>
            </w:tcBorders>
            <w:vAlign w:val="bottom"/>
          </w:tcPr>
          <w:p w14:paraId="20926B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40" w:type="dxa"/>
            <w:tcBorders>
              <w:top w:val="nil"/>
              <w:left w:val="single" w:sz="4" w:space="0" w:color="auto"/>
              <w:bottom w:val="nil"/>
              <w:right w:val="single" w:sz="4" w:space="0" w:color="auto"/>
            </w:tcBorders>
            <w:vAlign w:val="bottom"/>
          </w:tcPr>
          <w:p w14:paraId="2C27FF5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left w:val="single" w:sz="4" w:space="0" w:color="auto"/>
              <w:bottom w:val="nil"/>
              <w:right w:val="single" w:sz="4" w:space="0" w:color="auto"/>
            </w:tcBorders>
            <w:vAlign w:val="bottom"/>
          </w:tcPr>
          <w:p w14:paraId="157C59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c>
          <w:tcPr>
            <w:tcW w:w="540" w:type="dxa"/>
            <w:tcBorders>
              <w:top w:val="nil"/>
              <w:left w:val="single" w:sz="4" w:space="0" w:color="auto"/>
              <w:bottom w:val="nil"/>
            </w:tcBorders>
            <w:vAlign w:val="bottom"/>
          </w:tcPr>
          <w:p w14:paraId="5E77894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r>
      <w:tr w:rsidR="009B1CF2" w:rsidRPr="009B1CF2" w14:paraId="6C7CDE34" w14:textId="77777777" w:rsidTr="00A808BF">
        <w:trPr>
          <w:jc w:val="center"/>
        </w:trPr>
        <w:tc>
          <w:tcPr>
            <w:tcW w:w="2007" w:type="dxa"/>
            <w:tcBorders>
              <w:top w:val="nil"/>
              <w:bottom w:val="nil"/>
              <w:right w:val="single" w:sz="4" w:space="0" w:color="auto"/>
            </w:tcBorders>
          </w:tcPr>
          <w:p w14:paraId="28233636"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Grecia</w:t>
            </w:r>
          </w:p>
        </w:tc>
        <w:tc>
          <w:tcPr>
            <w:tcW w:w="540" w:type="dxa"/>
            <w:tcBorders>
              <w:top w:val="nil"/>
              <w:left w:val="single" w:sz="4" w:space="0" w:color="auto"/>
              <w:bottom w:val="nil"/>
              <w:right w:val="single" w:sz="4" w:space="0" w:color="auto"/>
            </w:tcBorders>
            <w:vAlign w:val="bottom"/>
          </w:tcPr>
          <w:p w14:paraId="69E378C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vAlign w:val="bottom"/>
          </w:tcPr>
          <w:p w14:paraId="569C545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left w:val="single" w:sz="4" w:space="0" w:color="auto"/>
              <w:bottom w:val="nil"/>
              <w:right w:val="single" w:sz="4" w:space="0" w:color="auto"/>
            </w:tcBorders>
            <w:vAlign w:val="bottom"/>
          </w:tcPr>
          <w:p w14:paraId="465D3BD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c>
          <w:tcPr>
            <w:tcW w:w="540" w:type="dxa"/>
            <w:tcBorders>
              <w:top w:val="nil"/>
              <w:left w:val="single" w:sz="4" w:space="0" w:color="auto"/>
              <w:bottom w:val="nil"/>
              <w:right w:val="single" w:sz="4" w:space="0" w:color="auto"/>
            </w:tcBorders>
            <w:vAlign w:val="bottom"/>
          </w:tcPr>
          <w:p w14:paraId="01CE837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vAlign w:val="bottom"/>
          </w:tcPr>
          <w:p w14:paraId="6A95976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720" w:type="dxa"/>
            <w:tcBorders>
              <w:top w:val="nil"/>
              <w:left w:val="single" w:sz="4" w:space="0" w:color="auto"/>
              <w:bottom w:val="nil"/>
              <w:right w:val="single" w:sz="4" w:space="0" w:color="auto"/>
            </w:tcBorders>
            <w:vAlign w:val="bottom"/>
          </w:tcPr>
          <w:p w14:paraId="07DE7FAD"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vAlign w:val="bottom"/>
          </w:tcPr>
          <w:p w14:paraId="7DD4C2D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vAlign w:val="bottom"/>
          </w:tcPr>
          <w:p w14:paraId="6644D99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vAlign w:val="bottom"/>
          </w:tcPr>
          <w:p w14:paraId="7A5CB4B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vAlign w:val="bottom"/>
          </w:tcPr>
          <w:p w14:paraId="518D030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26.5</w:t>
            </w:r>
          </w:p>
        </w:tc>
        <w:tc>
          <w:tcPr>
            <w:tcW w:w="540" w:type="dxa"/>
            <w:tcBorders>
              <w:top w:val="nil"/>
              <w:left w:val="single" w:sz="4" w:space="0" w:color="auto"/>
              <w:bottom w:val="nil"/>
              <w:right w:val="single" w:sz="4" w:space="0" w:color="auto"/>
            </w:tcBorders>
            <w:vAlign w:val="bottom"/>
          </w:tcPr>
          <w:p w14:paraId="29B91E6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24.8</w:t>
            </w:r>
          </w:p>
        </w:tc>
        <w:tc>
          <w:tcPr>
            <w:tcW w:w="540" w:type="dxa"/>
            <w:tcBorders>
              <w:top w:val="nil"/>
              <w:left w:val="single" w:sz="4" w:space="0" w:color="auto"/>
              <w:bottom w:val="nil"/>
            </w:tcBorders>
            <w:vAlign w:val="bottom"/>
          </w:tcPr>
          <w:p w14:paraId="3DCFEB2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22.1</w:t>
            </w:r>
          </w:p>
        </w:tc>
      </w:tr>
      <w:tr w:rsidR="009B1CF2" w:rsidRPr="009B1CF2" w14:paraId="4EF36A9C" w14:textId="77777777" w:rsidTr="00A808BF">
        <w:trPr>
          <w:jc w:val="center"/>
        </w:trPr>
        <w:tc>
          <w:tcPr>
            <w:tcW w:w="2007" w:type="dxa"/>
            <w:tcBorders>
              <w:top w:val="nil"/>
              <w:bottom w:val="nil"/>
              <w:right w:val="single" w:sz="4" w:space="0" w:color="auto"/>
            </w:tcBorders>
          </w:tcPr>
          <w:p w14:paraId="0D656316"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Portugal</w:t>
            </w:r>
          </w:p>
        </w:tc>
        <w:tc>
          <w:tcPr>
            <w:tcW w:w="540" w:type="dxa"/>
            <w:tcBorders>
              <w:top w:val="nil"/>
              <w:left w:val="single" w:sz="4" w:space="0" w:color="auto"/>
              <w:bottom w:val="nil"/>
              <w:right w:val="single" w:sz="4" w:space="0" w:color="auto"/>
            </w:tcBorders>
          </w:tcPr>
          <w:p w14:paraId="0596EF9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0A71B72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478C9B2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7828F94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tcPr>
          <w:p w14:paraId="56F068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720" w:type="dxa"/>
            <w:tcBorders>
              <w:top w:val="nil"/>
              <w:left w:val="single" w:sz="4" w:space="0" w:color="auto"/>
              <w:bottom w:val="nil"/>
              <w:right w:val="single" w:sz="4" w:space="0" w:color="auto"/>
            </w:tcBorders>
          </w:tcPr>
          <w:p w14:paraId="5FEE36C7"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1.3</w:t>
            </w:r>
          </w:p>
        </w:tc>
        <w:tc>
          <w:tcPr>
            <w:tcW w:w="540" w:type="dxa"/>
            <w:tcBorders>
              <w:top w:val="nil"/>
              <w:left w:val="single" w:sz="4" w:space="0" w:color="auto"/>
              <w:bottom w:val="nil"/>
              <w:right w:val="single" w:sz="4" w:space="0" w:color="auto"/>
            </w:tcBorders>
          </w:tcPr>
          <w:p w14:paraId="50B86BA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left w:val="single" w:sz="4" w:space="0" w:color="auto"/>
              <w:bottom w:val="nil"/>
              <w:right w:val="single" w:sz="4" w:space="0" w:color="auto"/>
            </w:tcBorders>
          </w:tcPr>
          <w:p w14:paraId="4E05B23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tcPr>
          <w:p w14:paraId="4B92C0B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left w:val="single" w:sz="4" w:space="0" w:color="auto"/>
              <w:bottom w:val="nil"/>
              <w:right w:val="single" w:sz="4" w:space="0" w:color="auto"/>
            </w:tcBorders>
          </w:tcPr>
          <w:p w14:paraId="57F748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13.9</w:t>
            </w:r>
          </w:p>
        </w:tc>
        <w:tc>
          <w:tcPr>
            <w:tcW w:w="540" w:type="dxa"/>
            <w:tcBorders>
              <w:top w:val="nil"/>
              <w:left w:val="single" w:sz="4" w:space="0" w:color="auto"/>
              <w:bottom w:val="nil"/>
              <w:right w:val="single" w:sz="4" w:space="0" w:color="auto"/>
            </w:tcBorders>
          </w:tcPr>
          <w:p w14:paraId="44B4906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13.1</w:t>
            </w:r>
          </w:p>
        </w:tc>
        <w:tc>
          <w:tcPr>
            <w:tcW w:w="540" w:type="dxa"/>
            <w:tcBorders>
              <w:top w:val="nil"/>
              <w:left w:val="single" w:sz="4" w:space="0" w:color="auto"/>
              <w:bottom w:val="nil"/>
            </w:tcBorders>
          </w:tcPr>
          <w:p w14:paraId="5E1461A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12.6</w:t>
            </w:r>
          </w:p>
        </w:tc>
      </w:tr>
      <w:tr w:rsidR="009B1CF2" w:rsidRPr="009B1CF2" w14:paraId="5BF6D30C" w14:textId="77777777" w:rsidTr="00A808BF">
        <w:trPr>
          <w:jc w:val="center"/>
        </w:trPr>
        <w:tc>
          <w:tcPr>
            <w:tcW w:w="2007" w:type="dxa"/>
            <w:tcBorders>
              <w:top w:val="nil"/>
              <w:bottom w:val="nil"/>
              <w:right w:val="single" w:sz="4" w:space="0" w:color="auto"/>
            </w:tcBorders>
          </w:tcPr>
          <w:p w14:paraId="6B4DB0D2"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Irlanda</w:t>
            </w:r>
          </w:p>
        </w:tc>
        <w:tc>
          <w:tcPr>
            <w:tcW w:w="540" w:type="dxa"/>
            <w:tcBorders>
              <w:top w:val="nil"/>
              <w:left w:val="single" w:sz="4" w:space="0" w:color="auto"/>
              <w:bottom w:val="nil"/>
              <w:right w:val="single" w:sz="4" w:space="0" w:color="auto"/>
            </w:tcBorders>
          </w:tcPr>
          <w:p w14:paraId="1E85537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left w:val="single" w:sz="4" w:space="0" w:color="auto"/>
              <w:bottom w:val="nil"/>
              <w:right w:val="single" w:sz="4" w:space="0" w:color="auto"/>
            </w:tcBorders>
          </w:tcPr>
          <w:p w14:paraId="7BDEBFE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3.9</w:t>
            </w:r>
          </w:p>
        </w:tc>
        <w:tc>
          <w:tcPr>
            <w:tcW w:w="540" w:type="dxa"/>
            <w:tcBorders>
              <w:top w:val="nil"/>
              <w:left w:val="single" w:sz="4" w:space="0" w:color="auto"/>
              <w:bottom w:val="nil"/>
              <w:right w:val="single" w:sz="4" w:space="0" w:color="auto"/>
            </w:tcBorders>
          </w:tcPr>
          <w:p w14:paraId="2B76224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left w:val="single" w:sz="4" w:space="0" w:color="auto"/>
              <w:bottom w:val="nil"/>
              <w:right w:val="single" w:sz="4" w:space="0" w:color="auto"/>
            </w:tcBorders>
          </w:tcPr>
          <w:p w14:paraId="6E0D810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tcPr>
          <w:p w14:paraId="171B490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720" w:type="dxa"/>
            <w:tcBorders>
              <w:top w:val="nil"/>
              <w:left w:val="single" w:sz="4" w:space="0" w:color="auto"/>
              <w:bottom w:val="nil"/>
              <w:right w:val="single" w:sz="4" w:space="0" w:color="auto"/>
            </w:tcBorders>
          </w:tcPr>
          <w:p w14:paraId="0CCD4B9E"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3ADA971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c>
          <w:tcPr>
            <w:tcW w:w="540" w:type="dxa"/>
            <w:tcBorders>
              <w:top w:val="nil"/>
              <w:left w:val="single" w:sz="4" w:space="0" w:color="auto"/>
              <w:bottom w:val="nil"/>
              <w:right w:val="single" w:sz="4" w:space="0" w:color="auto"/>
            </w:tcBorders>
          </w:tcPr>
          <w:p w14:paraId="6EE3D52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40" w:type="dxa"/>
            <w:tcBorders>
              <w:top w:val="nil"/>
              <w:left w:val="single" w:sz="4" w:space="0" w:color="auto"/>
              <w:bottom w:val="nil"/>
              <w:right w:val="single" w:sz="4" w:space="0" w:color="auto"/>
            </w:tcBorders>
          </w:tcPr>
          <w:p w14:paraId="35760E8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left w:val="single" w:sz="4" w:space="0" w:color="auto"/>
              <w:bottom w:val="nil"/>
              <w:right w:val="single" w:sz="4" w:space="0" w:color="auto"/>
            </w:tcBorders>
          </w:tcPr>
          <w:p w14:paraId="0D18B34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11.3</w:t>
            </w:r>
          </w:p>
        </w:tc>
        <w:tc>
          <w:tcPr>
            <w:tcW w:w="540" w:type="dxa"/>
            <w:tcBorders>
              <w:top w:val="nil"/>
              <w:left w:val="single" w:sz="4" w:space="0" w:color="auto"/>
              <w:bottom w:val="nil"/>
              <w:right w:val="single" w:sz="4" w:space="0" w:color="auto"/>
            </w:tcBorders>
          </w:tcPr>
          <w:p w14:paraId="07A1866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9.8</w:t>
            </w:r>
          </w:p>
        </w:tc>
        <w:tc>
          <w:tcPr>
            <w:tcW w:w="540" w:type="dxa"/>
            <w:tcBorders>
              <w:top w:val="nil"/>
              <w:left w:val="single" w:sz="4" w:space="0" w:color="auto"/>
              <w:bottom w:val="nil"/>
            </w:tcBorders>
          </w:tcPr>
          <w:p w14:paraId="5AADE35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8.8</w:t>
            </w:r>
          </w:p>
        </w:tc>
      </w:tr>
      <w:tr w:rsidR="009B1CF2" w:rsidRPr="009B1CF2" w14:paraId="330FC8DC" w14:textId="77777777" w:rsidTr="00A808BF">
        <w:trPr>
          <w:jc w:val="center"/>
        </w:trPr>
        <w:tc>
          <w:tcPr>
            <w:tcW w:w="2007" w:type="dxa"/>
            <w:tcBorders>
              <w:top w:val="nil"/>
              <w:bottom w:val="nil"/>
              <w:right w:val="single" w:sz="4" w:space="0" w:color="auto"/>
            </w:tcBorders>
          </w:tcPr>
          <w:p w14:paraId="270B62C8"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Finlandia</w:t>
            </w:r>
          </w:p>
        </w:tc>
        <w:tc>
          <w:tcPr>
            <w:tcW w:w="540" w:type="dxa"/>
            <w:tcBorders>
              <w:top w:val="nil"/>
              <w:left w:val="single" w:sz="4" w:space="0" w:color="auto"/>
              <w:bottom w:val="nil"/>
              <w:right w:val="single" w:sz="4" w:space="0" w:color="auto"/>
            </w:tcBorders>
          </w:tcPr>
          <w:p w14:paraId="7AD949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40" w:type="dxa"/>
            <w:tcBorders>
              <w:top w:val="nil"/>
              <w:left w:val="single" w:sz="4" w:space="0" w:color="auto"/>
              <w:bottom w:val="nil"/>
              <w:right w:val="single" w:sz="4" w:space="0" w:color="auto"/>
            </w:tcBorders>
          </w:tcPr>
          <w:p w14:paraId="7CF6F16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tcPr>
          <w:p w14:paraId="2898D01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tcPr>
          <w:p w14:paraId="0973048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left w:val="single" w:sz="4" w:space="0" w:color="auto"/>
              <w:bottom w:val="nil"/>
              <w:right w:val="single" w:sz="4" w:space="0" w:color="auto"/>
            </w:tcBorders>
          </w:tcPr>
          <w:p w14:paraId="1C82700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720" w:type="dxa"/>
            <w:tcBorders>
              <w:top w:val="nil"/>
              <w:left w:val="single" w:sz="4" w:space="0" w:color="auto"/>
              <w:bottom w:val="nil"/>
              <w:right w:val="single" w:sz="4" w:space="0" w:color="auto"/>
            </w:tcBorders>
          </w:tcPr>
          <w:p w14:paraId="5310E8CD"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4ABFF10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left w:val="single" w:sz="4" w:space="0" w:color="auto"/>
              <w:bottom w:val="nil"/>
              <w:right w:val="single" w:sz="4" w:space="0" w:color="auto"/>
            </w:tcBorders>
          </w:tcPr>
          <w:p w14:paraId="408DF98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tcPr>
          <w:p w14:paraId="21AB5A8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tcPr>
          <w:p w14:paraId="45BDEC9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8.6</w:t>
            </w:r>
          </w:p>
        </w:tc>
        <w:tc>
          <w:tcPr>
            <w:tcW w:w="540" w:type="dxa"/>
            <w:tcBorders>
              <w:top w:val="nil"/>
              <w:left w:val="single" w:sz="4" w:space="0" w:color="auto"/>
              <w:bottom w:val="nil"/>
              <w:right w:val="single" w:sz="4" w:space="0" w:color="auto"/>
            </w:tcBorders>
          </w:tcPr>
          <w:p w14:paraId="222AA2D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8.7</w:t>
            </w:r>
          </w:p>
        </w:tc>
        <w:tc>
          <w:tcPr>
            <w:tcW w:w="540" w:type="dxa"/>
            <w:tcBorders>
              <w:top w:val="nil"/>
              <w:left w:val="single" w:sz="4" w:space="0" w:color="auto"/>
              <w:bottom w:val="nil"/>
            </w:tcBorders>
          </w:tcPr>
          <w:p w14:paraId="58B501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8.5</w:t>
            </w:r>
          </w:p>
        </w:tc>
      </w:tr>
      <w:tr w:rsidR="009B1CF2" w:rsidRPr="009B1CF2" w14:paraId="35D40196" w14:textId="77777777" w:rsidTr="00A808BF">
        <w:trPr>
          <w:jc w:val="center"/>
        </w:trPr>
        <w:tc>
          <w:tcPr>
            <w:tcW w:w="2007" w:type="dxa"/>
            <w:tcBorders>
              <w:top w:val="nil"/>
              <w:bottom w:val="nil"/>
              <w:right w:val="single" w:sz="4" w:space="0" w:color="auto"/>
            </w:tcBorders>
          </w:tcPr>
          <w:p w14:paraId="7F9971AA"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República Eslovaca</w:t>
            </w:r>
          </w:p>
        </w:tc>
        <w:tc>
          <w:tcPr>
            <w:tcW w:w="540" w:type="dxa"/>
            <w:tcBorders>
              <w:top w:val="nil"/>
              <w:left w:val="single" w:sz="4" w:space="0" w:color="auto"/>
              <w:bottom w:val="nil"/>
              <w:right w:val="single" w:sz="4" w:space="0" w:color="auto"/>
            </w:tcBorders>
          </w:tcPr>
          <w:p w14:paraId="3CAA8D7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top w:val="nil"/>
              <w:left w:val="single" w:sz="4" w:space="0" w:color="auto"/>
              <w:bottom w:val="nil"/>
              <w:right w:val="single" w:sz="4" w:space="0" w:color="auto"/>
            </w:tcBorders>
          </w:tcPr>
          <w:p w14:paraId="760271E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left w:val="single" w:sz="4" w:space="0" w:color="auto"/>
              <w:bottom w:val="nil"/>
              <w:right w:val="single" w:sz="4" w:space="0" w:color="auto"/>
            </w:tcBorders>
          </w:tcPr>
          <w:p w14:paraId="56D9DE4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left w:val="single" w:sz="4" w:space="0" w:color="auto"/>
              <w:bottom w:val="nil"/>
              <w:right w:val="single" w:sz="4" w:space="0" w:color="auto"/>
            </w:tcBorders>
          </w:tcPr>
          <w:p w14:paraId="7F3023F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40" w:type="dxa"/>
            <w:tcBorders>
              <w:top w:val="nil"/>
              <w:left w:val="single" w:sz="4" w:space="0" w:color="auto"/>
              <w:bottom w:val="nil"/>
              <w:right w:val="single" w:sz="4" w:space="0" w:color="auto"/>
            </w:tcBorders>
          </w:tcPr>
          <w:p w14:paraId="74E108C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0.0</w:t>
            </w:r>
          </w:p>
        </w:tc>
        <w:tc>
          <w:tcPr>
            <w:tcW w:w="720" w:type="dxa"/>
            <w:tcBorders>
              <w:top w:val="nil"/>
              <w:left w:val="single" w:sz="4" w:space="0" w:color="auto"/>
              <w:bottom w:val="nil"/>
              <w:right w:val="single" w:sz="4" w:space="0" w:color="auto"/>
            </w:tcBorders>
          </w:tcPr>
          <w:p w14:paraId="781ACE46"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tcPr>
          <w:p w14:paraId="376849B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tcPr>
          <w:p w14:paraId="36E1D0A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tcPr>
          <w:p w14:paraId="100F176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tcPr>
          <w:p w14:paraId="2E007CE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13.2</w:t>
            </w:r>
          </w:p>
        </w:tc>
        <w:tc>
          <w:tcPr>
            <w:tcW w:w="540" w:type="dxa"/>
            <w:tcBorders>
              <w:top w:val="nil"/>
              <w:left w:val="single" w:sz="4" w:space="0" w:color="auto"/>
              <w:bottom w:val="nil"/>
              <w:right w:val="single" w:sz="4" w:space="0" w:color="auto"/>
            </w:tcBorders>
          </w:tcPr>
          <w:p w14:paraId="63C4077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12.4</w:t>
            </w:r>
          </w:p>
        </w:tc>
        <w:tc>
          <w:tcPr>
            <w:tcW w:w="540" w:type="dxa"/>
            <w:tcBorders>
              <w:top w:val="nil"/>
              <w:left w:val="single" w:sz="4" w:space="0" w:color="auto"/>
              <w:bottom w:val="nil"/>
            </w:tcBorders>
          </w:tcPr>
          <w:p w14:paraId="725EB1B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11.7</w:t>
            </w:r>
          </w:p>
        </w:tc>
      </w:tr>
      <w:tr w:rsidR="009B1CF2" w:rsidRPr="009B1CF2" w14:paraId="6B21507C" w14:textId="77777777" w:rsidTr="00A808BF">
        <w:trPr>
          <w:jc w:val="center"/>
        </w:trPr>
        <w:tc>
          <w:tcPr>
            <w:tcW w:w="2007" w:type="dxa"/>
            <w:tcBorders>
              <w:top w:val="nil"/>
              <w:bottom w:val="nil"/>
              <w:right w:val="single" w:sz="4" w:space="0" w:color="auto"/>
            </w:tcBorders>
          </w:tcPr>
          <w:p w14:paraId="214D9E27"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Lituania</w:t>
            </w:r>
          </w:p>
        </w:tc>
        <w:tc>
          <w:tcPr>
            <w:tcW w:w="540" w:type="dxa"/>
            <w:tcBorders>
              <w:top w:val="nil"/>
              <w:left w:val="single" w:sz="4" w:space="0" w:color="auto"/>
              <w:bottom w:val="nil"/>
              <w:right w:val="single" w:sz="4" w:space="0" w:color="auto"/>
            </w:tcBorders>
          </w:tcPr>
          <w:p w14:paraId="39B8FCA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left w:val="single" w:sz="4" w:space="0" w:color="auto"/>
              <w:bottom w:val="nil"/>
              <w:right w:val="single" w:sz="4" w:space="0" w:color="auto"/>
            </w:tcBorders>
          </w:tcPr>
          <w:p w14:paraId="08C1A59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40" w:type="dxa"/>
            <w:tcBorders>
              <w:top w:val="nil"/>
              <w:left w:val="single" w:sz="4" w:space="0" w:color="auto"/>
              <w:bottom w:val="nil"/>
              <w:right w:val="single" w:sz="4" w:space="0" w:color="auto"/>
            </w:tcBorders>
          </w:tcPr>
          <w:p w14:paraId="07FAE65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left w:val="single" w:sz="4" w:space="0" w:color="auto"/>
              <w:bottom w:val="nil"/>
              <w:right w:val="single" w:sz="4" w:space="0" w:color="auto"/>
            </w:tcBorders>
          </w:tcPr>
          <w:p w14:paraId="3F63E9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tcPr>
          <w:p w14:paraId="7706A4A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720" w:type="dxa"/>
            <w:tcBorders>
              <w:top w:val="nil"/>
              <w:left w:val="single" w:sz="4" w:space="0" w:color="auto"/>
              <w:bottom w:val="nil"/>
              <w:right w:val="single" w:sz="4" w:space="0" w:color="auto"/>
            </w:tcBorders>
          </w:tcPr>
          <w:p w14:paraId="54E74201"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2.0</w:t>
            </w:r>
          </w:p>
        </w:tc>
        <w:tc>
          <w:tcPr>
            <w:tcW w:w="540" w:type="dxa"/>
            <w:tcBorders>
              <w:top w:val="nil"/>
              <w:left w:val="single" w:sz="4" w:space="0" w:color="auto"/>
              <w:bottom w:val="nil"/>
              <w:right w:val="single" w:sz="4" w:space="0" w:color="auto"/>
            </w:tcBorders>
          </w:tcPr>
          <w:p w14:paraId="46DC082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tcPr>
          <w:p w14:paraId="0231168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tcPr>
          <w:p w14:paraId="3039535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tcPr>
          <w:p w14:paraId="2240045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10.7</w:t>
            </w:r>
          </w:p>
        </w:tc>
        <w:tc>
          <w:tcPr>
            <w:tcW w:w="540" w:type="dxa"/>
            <w:tcBorders>
              <w:top w:val="nil"/>
              <w:left w:val="single" w:sz="4" w:space="0" w:color="auto"/>
              <w:bottom w:val="nil"/>
              <w:right w:val="single" w:sz="4" w:space="0" w:color="auto"/>
            </w:tcBorders>
          </w:tcPr>
          <w:p w14:paraId="0CF310C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10.6</w:t>
            </w:r>
          </w:p>
        </w:tc>
        <w:tc>
          <w:tcPr>
            <w:tcW w:w="540" w:type="dxa"/>
            <w:tcBorders>
              <w:top w:val="nil"/>
              <w:left w:val="single" w:sz="4" w:space="0" w:color="auto"/>
              <w:bottom w:val="nil"/>
            </w:tcBorders>
          </w:tcPr>
          <w:p w14:paraId="63D7DC0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10.5</w:t>
            </w:r>
          </w:p>
        </w:tc>
      </w:tr>
      <w:tr w:rsidR="009B1CF2" w:rsidRPr="009B1CF2" w14:paraId="4865B2AC" w14:textId="77777777" w:rsidTr="00A808BF">
        <w:trPr>
          <w:jc w:val="center"/>
        </w:trPr>
        <w:tc>
          <w:tcPr>
            <w:tcW w:w="2007" w:type="dxa"/>
            <w:tcBorders>
              <w:top w:val="nil"/>
              <w:bottom w:val="nil"/>
              <w:right w:val="single" w:sz="4" w:space="0" w:color="auto"/>
            </w:tcBorders>
          </w:tcPr>
          <w:p w14:paraId="7819919D"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Eslovenia</w:t>
            </w:r>
          </w:p>
        </w:tc>
        <w:tc>
          <w:tcPr>
            <w:tcW w:w="540" w:type="dxa"/>
            <w:tcBorders>
              <w:top w:val="nil"/>
              <w:left w:val="single" w:sz="4" w:space="0" w:color="auto"/>
              <w:bottom w:val="nil"/>
              <w:right w:val="single" w:sz="4" w:space="0" w:color="auto"/>
            </w:tcBorders>
          </w:tcPr>
          <w:p w14:paraId="07F43BE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2.6</w:t>
            </w:r>
          </w:p>
        </w:tc>
        <w:tc>
          <w:tcPr>
            <w:tcW w:w="540" w:type="dxa"/>
            <w:tcBorders>
              <w:top w:val="nil"/>
              <w:left w:val="single" w:sz="4" w:space="0" w:color="auto"/>
              <w:bottom w:val="nil"/>
              <w:right w:val="single" w:sz="4" w:space="0" w:color="auto"/>
            </w:tcBorders>
          </w:tcPr>
          <w:p w14:paraId="3FAA0CB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left w:val="single" w:sz="4" w:space="0" w:color="auto"/>
              <w:bottom w:val="nil"/>
              <w:right w:val="single" w:sz="4" w:space="0" w:color="auto"/>
            </w:tcBorders>
          </w:tcPr>
          <w:p w14:paraId="79B6AA7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40" w:type="dxa"/>
            <w:tcBorders>
              <w:top w:val="nil"/>
              <w:left w:val="single" w:sz="4" w:space="0" w:color="auto"/>
              <w:bottom w:val="nil"/>
              <w:right w:val="single" w:sz="4" w:space="0" w:color="auto"/>
            </w:tcBorders>
          </w:tcPr>
          <w:p w14:paraId="6FB7475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tcPr>
          <w:p w14:paraId="65399F6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720" w:type="dxa"/>
            <w:tcBorders>
              <w:top w:val="nil"/>
              <w:left w:val="single" w:sz="4" w:space="0" w:color="auto"/>
              <w:bottom w:val="nil"/>
              <w:right w:val="single" w:sz="4" w:space="0" w:color="auto"/>
            </w:tcBorders>
          </w:tcPr>
          <w:p w14:paraId="6EA57D3F"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0.7</w:t>
            </w:r>
          </w:p>
        </w:tc>
        <w:tc>
          <w:tcPr>
            <w:tcW w:w="540" w:type="dxa"/>
            <w:tcBorders>
              <w:top w:val="nil"/>
              <w:left w:val="single" w:sz="4" w:space="0" w:color="auto"/>
              <w:bottom w:val="nil"/>
              <w:right w:val="single" w:sz="4" w:space="0" w:color="auto"/>
            </w:tcBorders>
          </w:tcPr>
          <w:p w14:paraId="5DC2CEA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5.8</w:t>
            </w:r>
          </w:p>
        </w:tc>
        <w:tc>
          <w:tcPr>
            <w:tcW w:w="540" w:type="dxa"/>
            <w:tcBorders>
              <w:top w:val="nil"/>
              <w:left w:val="single" w:sz="4" w:space="0" w:color="auto"/>
              <w:bottom w:val="nil"/>
              <w:right w:val="single" w:sz="4" w:space="0" w:color="auto"/>
            </w:tcBorders>
          </w:tcPr>
          <w:p w14:paraId="157DA9F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7.1</w:t>
            </w:r>
          </w:p>
        </w:tc>
        <w:tc>
          <w:tcPr>
            <w:tcW w:w="540" w:type="dxa"/>
            <w:tcBorders>
              <w:top w:val="nil"/>
              <w:left w:val="single" w:sz="4" w:space="0" w:color="auto"/>
              <w:bottom w:val="nil"/>
              <w:right w:val="single" w:sz="4" w:space="0" w:color="auto"/>
            </w:tcBorders>
          </w:tcPr>
          <w:p w14:paraId="10EE3A6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6.5</w:t>
            </w:r>
          </w:p>
        </w:tc>
        <w:tc>
          <w:tcPr>
            <w:tcW w:w="540" w:type="dxa"/>
            <w:tcBorders>
              <w:top w:val="nil"/>
              <w:left w:val="single" w:sz="4" w:space="0" w:color="auto"/>
              <w:bottom w:val="nil"/>
              <w:right w:val="single" w:sz="4" w:space="0" w:color="auto"/>
            </w:tcBorders>
          </w:tcPr>
          <w:p w14:paraId="1E435AC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9.8</w:t>
            </w:r>
          </w:p>
        </w:tc>
        <w:tc>
          <w:tcPr>
            <w:tcW w:w="540" w:type="dxa"/>
            <w:tcBorders>
              <w:top w:val="nil"/>
              <w:left w:val="single" w:sz="4" w:space="0" w:color="auto"/>
              <w:bottom w:val="nil"/>
              <w:right w:val="single" w:sz="4" w:space="0" w:color="auto"/>
            </w:tcBorders>
          </w:tcPr>
          <w:p w14:paraId="18FF856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9.0</w:t>
            </w:r>
          </w:p>
        </w:tc>
        <w:tc>
          <w:tcPr>
            <w:tcW w:w="540" w:type="dxa"/>
            <w:tcBorders>
              <w:top w:val="nil"/>
              <w:left w:val="single" w:sz="4" w:space="0" w:color="auto"/>
              <w:bottom w:val="nil"/>
            </w:tcBorders>
          </w:tcPr>
          <w:p w14:paraId="1DAE725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8.3</w:t>
            </w:r>
          </w:p>
        </w:tc>
      </w:tr>
      <w:tr w:rsidR="009B1CF2" w:rsidRPr="009B1CF2" w14:paraId="395D4397" w14:textId="77777777" w:rsidTr="00A808BF">
        <w:trPr>
          <w:jc w:val="center"/>
        </w:trPr>
        <w:tc>
          <w:tcPr>
            <w:tcW w:w="2007" w:type="dxa"/>
            <w:tcBorders>
              <w:top w:val="nil"/>
              <w:bottom w:val="nil"/>
              <w:right w:val="single" w:sz="4" w:space="0" w:color="auto"/>
            </w:tcBorders>
          </w:tcPr>
          <w:p w14:paraId="0084515F"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Luxemburgo</w:t>
            </w:r>
          </w:p>
        </w:tc>
        <w:tc>
          <w:tcPr>
            <w:tcW w:w="540" w:type="dxa"/>
            <w:tcBorders>
              <w:top w:val="nil"/>
              <w:left w:val="single" w:sz="4" w:space="0" w:color="auto"/>
              <w:bottom w:val="nil"/>
              <w:right w:val="single" w:sz="4" w:space="0" w:color="auto"/>
            </w:tcBorders>
          </w:tcPr>
          <w:p w14:paraId="6F3257A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left w:val="single" w:sz="4" w:space="0" w:color="auto"/>
              <w:bottom w:val="nil"/>
              <w:right w:val="single" w:sz="4" w:space="0" w:color="auto"/>
            </w:tcBorders>
          </w:tcPr>
          <w:p w14:paraId="795A10C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left w:val="single" w:sz="4" w:space="0" w:color="auto"/>
              <w:bottom w:val="nil"/>
              <w:right w:val="single" w:sz="4" w:space="0" w:color="auto"/>
            </w:tcBorders>
          </w:tcPr>
          <w:p w14:paraId="0F4205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72E9022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40" w:type="dxa"/>
            <w:tcBorders>
              <w:top w:val="nil"/>
              <w:left w:val="single" w:sz="4" w:space="0" w:color="auto"/>
              <w:bottom w:val="nil"/>
              <w:right w:val="single" w:sz="4" w:space="0" w:color="auto"/>
            </w:tcBorders>
          </w:tcPr>
          <w:p w14:paraId="700545F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720" w:type="dxa"/>
            <w:tcBorders>
              <w:top w:val="nil"/>
              <w:left w:val="single" w:sz="4" w:space="0" w:color="auto"/>
              <w:bottom w:val="nil"/>
              <w:right w:val="single" w:sz="4" w:space="0" w:color="auto"/>
            </w:tcBorders>
          </w:tcPr>
          <w:p w14:paraId="155A4231"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42AA187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5.2</w:t>
            </w:r>
          </w:p>
        </w:tc>
        <w:tc>
          <w:tcPr>
            <w:tcW w:w="540" w:type="dxa"/>
            <w:tcBorders>
              <w:top w:val="nil"/>
              <w:left w:val="single" w:sz="4" w:space="0" w:color="auto"/>
              <w:bottom w:val="nil"/>
              <w:right w:val="single" w:sz="4" w:space="0" w:color="auto"/>
            </w:tcBorders>
          </w:tcPr>
          <w:p w14:paraId="1279255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left w:val="single" w:sz="4" w:space="0" w:color="auto"/>
              <w:bottom w:val="nil"/>
              <w:right w:val="single" w:sz="4" w:space="0" w:color="auto"/>
            </w:tcBorders>
          </w:tcPr>
          <w:p w14:paraId="4C9B00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4.6</w:t>
            </w:r>
          </w:p>
        </w:tc>
        <w:tc>
          <w:tcPr>
            <w:tcW w:w="540" w:type="dxa"/>
            <w:tcBorders>
              <w:top w:val="nil"/>
              <w:left w:val="single" w:sz="4" w:space="0" w:color="auto"/>
              <w:bottom w:val="nil"/>
              <w:right w:val="single" w:sz="4" w:space="0" w:color="auto"/>
            </w:tcBorders>
          </w:tcPr>
          <w:p w14:paraId="717401E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7.1</w:t>
            </w:r>
          </w:p>
        </w:tc>
        <w:tc>
          <w:tcPr>
            <w:tcW w:w="540" w:type="dxa"/>
            <w:tcBorders>
              <w:top w:val="nil"/>
              <w:left w:val="single" w:sz="4" w:space="0" w:color="auto"/>
              <w:bottom w:val="nil"/>
              <w:right w:val="single" w:sz="4" w:space="0" w:color="auto"/>
            </w:tcBorders>
          </w:tcPr>
          <w:p w14:paraId="0A798D2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c>
          <w:tcPr>
            <w:tcW w:w="540" w:type="dxa"/>
            <w:tcBorders>
              <w:top w:val="nil"/>
              <w:left w:val="single" w:sz="4" w:space="0" w:color="auto"/>
              <w:bottom w:val="nil"/>
            </w:tcBorders>
          </w:tcPr>
          <w:p w14:paraId="7427E3D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r>
      <w:tr w:rsidR="009B1CF2" w:rsidRPr="009B1CF2" w14:paraId="00B62626" w14:textId="77777777" w:rsidTr="00A808BF">
        <w:trPr>
          <w:jc w:val="center"/>
        </w:trPr>
        <w:tc>
          <w:tcPr>
            <w:tcW w:w="2007" w:type="dxa"/>
            <w:tcBorders>
              <w:top w:val="nil"/>
              <w:bottom w:val="nil"/>
              <w:right w:val="single" w:sz="4" w:space="0" w:color="auto"/>
            </w:tcBorders>
          </w:tcPr>
          <w:p w14:paraId="49F6DB96"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Letonia</w:t>
            </w:r>
          </w:p>
        </w:tc>
        <w:tc>
          <w:tcPr>
            <w:tcW w:w="540" w:type="dxa"/>
            <w:tcBorders>
              <w:top w:val="nil"/>
              <w:left w:val="single" w:sz="4" w:space="0" w:color="auto"/>
              <w:bottom w:val="nil"/>
              <w:right w:val="single" w:sz="4" w:space="0" w:color="auto"/>
            </w:tcBorders>
          </w:tcPr>
          <w:p w14:paraId="1E52DA4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top w:val="nil"/>
              <w:left w:val="single" w:sz="4" w:space="0" w:color="auto"/>
              <w:bottom w:val="nil"/>
              <w:right w:val="single" w:sz="4" w:space="0" w:color="auto"/>
            </w:tcBorders>
          </w:tcPr>
          <w:p w14:paraId="6B8C353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7CE1BED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left w:val="single" w:sz="4" w:space="0" w:color="auto"/>
              <w:bottom w:val="nil"/>
              <w:right w:val="single" w:sz="4" w:space="0" w:color="auto"/>
            </w:tcBorders>
          </w:tcPr>
          <w:p w14:paraId="7B632BB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40" w:type="dxa"/>
            <w:tcBorders>
              <w:top w:val="nil"/>
              <w:left w:val="single" w:sz="4" w:space="0" w:color="auto"/>
              <w:bottom w:val="nil"/>
              <w:right w:val="single" w:sz="4" w:space="0" w:color="auto"/>
            </w:tcBorders>
          </w:tcPr>
          <w:p w14:paraId="26914E8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720" w:type="dxa"/>
            <w:tcBorders>
              <w:top w:val="nil"/>
              <w:left w:val="single" w:sz="4" w:space="0" w:color="auto"/>
              <w:bottom w:val="nil"/>
              <w:right w:val="single" w:sz="4" w:space="0" w:color="auto"/>
            </w:tcBorders>
          </w:tcPr>
          <w:p w14:paraId="2F7E16F7"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1.7</w:t>
            </w:r>
          </w:p>
        </w:tc>
        <w:tc>
          <w:tcPr>
            <w:tcW w:w="540" w:type="dxa"/>
            <w:tcBorders>
              <w:top w:val="nil"/>
              <w:left w:val="single" w:sz="4" w:space="0" w:color="auto"/>
              <w:bottom w:val="nil"/>
              <w:right w:val="single" w:sz="4" w:space="0" w:color="auto"/>
            </w:tcBorders>
          </w:tcPr>
          <w:p w14:paraId="1343C29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left w:val="single" w:sz="4" w:space="0" w:color="auto"/>
              <w:bottom w:val="nil"/>
              <w:right w:val="single" w:sz="4" w:space="0" w:color="auto"/>
            </w:tcBorders>
          </w:tcPr>
          <w:p w14:paraId="298E0CC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left w:val="single" w:sz="4" w:space="0" w:color="auto"/>
              <w:bottom w:val="nil"/>
              <w:right w:val="single" w:sz="4" w:space="0" w:color="auto"/>
            </w:tcBorders>
          </w:tcPr>
          <w:p w14:paraId="498CFE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left w:val="single" w:sz="4" w:space="0" w:color="auto"/>
              <w:bottom w:val="nil"/>
              <w:right w:val="single" w:sz="4" w:space="0" w:color="auto"/>
            </w:tcBorders>
          </w:tcPr>
          <w:p w14:paraId="411C41E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10.8</w:t>
            </w:r>
          </w:p>
        </w:tc>
        <w:tc>
          <w:tcPr>
            <w:tcW w:w="540" w:type="dxa"/>
            <w:tcBorders>
              <w:top w:val="nil"/>
              <w:left w:val="single" w:sz="4" w:space="0" w:color="auto"/>
              <w:bottom w:val="nil"/>
              <w:right w:val="single" w:sz="4" w:space="0" w:color="auto"/>
            </w:tcBorders>
          </w:tcPr>
          <w:p w14:paraId="741A290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10.4</w:t>
            </w:r>
          </w:p>
        </w:tc>
        <w:tc>
          <w:tcPr>
            <w:tcW w:w="540" w:type="dxa"/>
            <w:tcBorders>
              <w:top w:val="nil"/>
              <w:left w:val="single" w:sz="4" w:space="0" w:color="auto"/>
              <w:bottom w:val="nil"/>
            </w:tcBorders>
          </w:tcPr>
          <w:p w14:paraId="2AA46B5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10.2</w:t>
            </w:r>
          </w:p>
        </w:tc>
      </w:tr>
      <w:tr w:rsidR="009B1CF2" w:rsidRPr="009B1CF2" w14:paraId="2CD1D799" w14:textId="77777777" w:rsidTr="00A808BF">
        <w:trPr>
          <w:jc w:val="center"/>
        </w:trPr>
        <w:tc>
          <w:tcPr>
            <w:tcW w:w="2007" w:type="dxa"/>
            <w:tcBorders>
              <w:top w:val="nil"/>
              <w:bottom w:val="nil"/>
              <w:right w:val="single" w:sz="4" w:space="0" w:color="auto"/>
            </w:tcBorders>
          </w:tcPr>
          <w:p w14:paraId="66E22ED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Estonia</w:t>
            </w:r>
          </w:p>
        </w:tc>
        <w:tc>
          <w:tcPr>
            <w:tcW w:w="540" w:type="dxa"/>
            <w:tcBorders>
              <w:top w:val="nil"/>
              <w:left w:val="single" w:sz="4" w:space="0" w:color="auto"/>
              <w:bottom w:val="nil"/>
              <w:right w:val="single" w:sz="4" w:space="0" w:color="auto"/>
            </w:tcBorders>
          </w:tcPr>
          <w:p w14:paraId="0E2C8A7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left w:val="single" w:sz="4" w:space="0" w:color="auto"/>
              <w:bottom w:val="nil"/>
              <w:right w:val="single" w:sz="4" w:space="0" w:color="auto"/>
            </w:tcBorders>
          </w:tcPr>
          <w:p w14:paraId="5DC89C5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left w:val="single" w:sz="4" w:space="0" w:color="auto"/>
              <w:bottom w:val="nil"/>
              <w:right w:val="single" w:sz="4" w:space="0" w:color="auto"/>
            </w:tcBorders>
          </w:tcPr>
          <w:p w14:paraId="7421CC4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left w:val="single" w:sz="4" w:space="0" w:color="auto"/>
              <w:bottom w:val="nil"/>
              <w:right w:val="single" w:sz="4" w:space="0" w:color="auto"/>
            </w:tcBorders>
          </w:tcPr>
          <w:p w14:paraId="4FA5CAF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left w:val="single" w:sz="4" w:space="0" w:color="auto"/>
              <w:bottom w:val="nil"/>
              <w:right w:val="single" w:sz="4" w:space="0" w:color="auto"/>
            </w:tcBorders>
          </w:tcPr>
          <w:p w14:paraId="2668D24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720" w:type="dxa"/>
            <w:tcBorders>
              <w:top w:val="nil"/>
              <w:left w:val="single" w:sz="4" w:space="0" w:color="auto"/>
              <w:bottom w:val="nil"/>
              <w:right w:val="single" w:sz="4" w:space="0" w:color="auto"/>
            </w:tcBorders>
          </w:tcPr>
          <w:p w14:paraId="1E57D87E"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1.7</w:t>
            </w:r>
          </w:p>
        </w:tc>
        <w:tc>
          <w:tcPr>
            <w:tcW w:w="540" w:type="dxa"/>
            <w:tcBorders>
              <w:top w:val="nil"/>
              <w:left w:val="single" w:sz="4" w:space="0" w:color="auto"/>
              <w:bottom w:val="nil"/>
              <w:right w:val="single" w:sz="4" w:space="0" w:color="auto"/>
            </w:tcBorders>
          </w:tcPr>
          <w:p w14:paraId="2B19266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40" w:type="dxa"/>
            <w:tcBorders>
              <w:top w:val="nil"/>
              <w:left w:val="single" w:sz="4" w:space="0" w:color="auto"/>
              <w:bottom w:val="nil"/>
              <w:right w:val="single" w:sz="4" w:space="0" w:color="auto"/>
            </w:tcBorders>
          </w:tcPr>
          <w:p w14:paraId="7EE3F67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tcPr>
          <w:p w14:paraId="0A732F6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40" w:type="dxa"/>
            <w:tcBorders>
              <w:top w:val="nil"/>
              <w:left w:val="single" w:sz="4" w:space="0" w:color="auto"/>
              <w:bottom w:val="nil"/>
              <w:right w:val="single" w:sz="4" w:space="0" w:color="auto"/>
            </w:tcBorders>
          </w:tcPr>
          <w:p w14:paraId="7FEDC20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40" w:type="dxa"/>
            <w:tcBorders>
              <w:top w:val="nil"/>
              <w:left w:val="single" w:sz="4" w:space="0" w:color="auto"/>
              <w:bottom w:val="nil"/>
              <w:right w:val="single" w:sz="4" w:space="0" w:color="auto"/>
            </w:tcBorders>
          </w:tcPr>
          <w:p w14:paraId="5F3A6BC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40" w:type="dxa"/>
            <w:tcBorders>
              <w:top w:val="nil"/>
              <w:left w:val="single" w:sz="4" w:space="0" w:color="auto"/>
              <w:bottom w:val="nil"/>
            </w:tcBorders>
          </w:tcPr>
          <w:p w14:paraId="5F4673B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r>
      <w:tr w:rsidR="009B1CF2" w:rsidRPr="009B1CF2" w14:paraId="6B8FB6A5" w14:textId="77777777" w:rsidTr="00A808BF">
        <w:trPr>
          <w:jc w:val="center"/>
        </w:trPr>
        <w:tc>
          <w:tcPr>
            <w:tcW w:w="2007" w:type="dxa"/>
            <w:tcBorders>
              <w:top w:val="nil"/>
              <w:bottom w:val="nil"/>
              <w:right w:val="single" w:sz="4" w:space="0" w:color="auto"/>
            </w:tcBorders>
          </w:tcPr>
          <w:p w14:paraId="0948D131"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Chipre</w:t>
            </w:r>
          </w:p>
        </w:tc>
        <w:tc>
          <w:tcPr>
            <w:tcW w:w="540" w:type="dxa"/>
            <w:tcBorders>
              <w:top w:val="nil"/>
              <w:left w:val="single" w:sz="4" w:space="0" w:color="auto"/>
              <w:bottom w:val="nil"/>
              <w:right w:val="single" w:sz="4" w:space="0" w:color="auto"/>
            </w:tcBorders>
          </w:tcPr>
          <w:p w14:paraId="498DF8A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6688ECD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tcPr>
          <w:p w14:paraId="2DF1F91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tcPr>
          <w:p w14:paraId="36ED1E0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tcPr>
          <w:p w14:paraId="41A4C68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720" w:type="dxa"/>
            <w:tcBorders>
              <w:top w:val="nil"/>
              <w:left w:val="single" w:sz="4" w:space="0" w:color="auto"/>
              <w:bottom w:val="nil"/>
              <w:right w:val="single" w:sz="4" w:space="0" w:color="auto"/>
            </w:tcBorders>
          </w:tcPr>
          <w:p w14:paraId="69604144"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2CB4B7F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40" w:type="dxa"/>
            <w:tcBorders>
              <w:top w:val="nil"/>
              <w:left w:val="single" w:sz="4" w:space="0" w:color="auto"/>
              <w:bottom w:val="nil"/>
              <w:right w:val="single" w:sz="4" w:space="0" w:color="auto"/>
            </w:tcBorders>
          </w:tcPr>
          <w:p w14:paraId="2C01D4D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40" w:type="dxa"/>
            <w:tcBorders>
              <w:top w:val="nil"/>
              <w:left w:val="single" w:sz="4" w:space="0" w:color="auto"/>
              <w:bottom w:val="nil"/>
              <w:right w:val="single" w:sz="4" w:space="0" w:color="auto"/>
            </w:tcBorders>
          </w:tcPr>
          <w:p w14:paraId="5D4F4E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tcPr>
          <w:p w14:paraId="4672B5B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16.2</w:t>
            </w:r>
          </w:p>
        </w:tc>
        <w:tc>
          <w:tcPr>
            <w:tcW w:w="540" w:type="dxa"/>
            <w:tcBorders>
              <w:top w:val="nil"/>
              <w:left w:val="single" w:sz="4" w:space="0" w:color="auto"/>
              <w:bottom w:val="nil"/>
              <w:right w:val="single" w:sz="4" w:space="0" w:color="auto"/>
            </w:tcBorders>
          </w:tcPr>
          <w:p w14:paraId="39B241F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15.9</w:t>
            </w:r>
          </w:p>
        </w:tc>
        <w:tc>
          <w:tcPr>
            <w:tcW w:w="540" w:type="dxa"/>
            <w:tcBorders>
              <w:top w:val="nil"/>
              <w:left w:val="single" w:sz="4" w:space="0" w:color="auto"/>
              <w:bottom w:val="nil"/>
            </w:tcBorders>
          </w:tcPr>
          <w:p w14:paraId="069A613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14.9</w:t>
            </w:r>
          </w:p>
        </w:tc>
      </w:tr>
      <w:tr w:rsidR="009B1CF2" w:rsidRPr="009B1CF2" w14:paraId="43D4071B" w14:textId="77777777" w:rsidTr="00A808BF">
        <w:trPr>
          <w:jc w:val="center"/>
        </w:trPr>
        <w:tc>
          <w:tcPr>
            <w:tcW w:w="2007" w:type="dxa"/>
            <w:tcBorders>
              <w:top w:val="nil"/>
              <w:bottom w:val="nil"/>
              <w:right w:val="single" w:sz="4" w:space="0" w:color="auto"/>
            </w:tcBorders>
          </w:tcPr>
          <w:p w14:paraId="035EBEF9"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Malta</w:t>
            </w:r>
          </w:p>
        </w:tc>
        <w:tc>
          <w:tcPr>
            <w:tcW w:w="540" w:type="dxa"/>
            <w:tcBorders>
              <w:top w:val="nil"/>
              <w:left w:val="single" w:sz="4" w:space="0" w:color="auto"/>
              <w:bottom w:val="nil"/>
              <w:right w:val="single" w:sz="4" w:space="0" w:color="auto"/>
            </w:tcBorders>
          </w:tcPr>
          <w:p w14:paraId="64D100A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left w:val="single" w:sz="4" w:space="0" w:color="auto"/>
              <w:bottom w:val="nil"/>
              <w:right w:val="single" w:sz="4" w:space="0" w:color="auto"/>
            </w:tcBorders>
          </w:tcPr>
          <w:p w14:paraId="4112778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left w:val="single" w:sz="4" w:space="0" w:color="auto"/>
              <w:bottom w:val="nil"/>
              <w:right w:val="single" w:sz="4" w:space="0" w:color="auto"/>
            </w:tcBorders>
          </w:tcPr>
          <w:p w14:paraId="7C80821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left w:val="single" w:sz="4" w:space="0" w:color="auto"/>
              <w:bottom w:val="nil"/>
              <w:right w:val="single" w:sz="4" w:space="0" w:color="auto"/>
            </w:tcBorders>
          </w:tcPr>
          <w:p w14:paraId="690B4C1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tcPr>
          <w:p w14:paraId="717442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720" w:type="dxa"/>
            <w:tcBorders>
              <w:top w:val="nil"/>
              <w:left w:val="single" w:sz="4" w:space="0" w:color="auto"/>
              <w:bottom w:val="nil"/>
              <w:right w:val="single" w:sz="4" w:space="0" w:color="auto"/>
            </w:tcBorders>
          </w:tcPr>
          <w:p w14:paraId="141742DF"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1.4</w:t>
            </w:r>
          </w:p>
        </w:tc>
        <w:tc>
          <w:tcPr>
            <w:tcW w:w="540" w:type="dxa"/>
            <w:tcBorders>
              <w:top w:val="nil"/>
              <w:left w:val="single" w:sz="4" w:space="0" w:color="auto"/>
              <w:bottom w:val="nil"/>
              <w:right w:val="single" w:sz="4" w:space="0" w:color="auto"/>
            </w:tcBorders>
          </w:tcPr>
          <w:p w14:paraId="5B6D1D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left w:val="single" w:sz="4" w:space="0" w:color="auto"/>
              <w:bottom w:val="nil"/>
              <w:right w:val="single" w:sz="4" w:space="0" w:color="auto"/>
            </w:tcBorders>
          </w:tcPr>
          <w:p w14:paraId="0414BC4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left w:val="single" w:sz="4" w:space="0" w:color="auto"/>
              <w:bottom w:val="nil"/>
              <w:right w:val="single" w:sz="4" w:space="0" w:color="auto"/>
            </w:tcBorders>
          </w:tcPr>
          <w:p w14:paraId="2A88309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left w:val="single" w:sz="4" w:space="0" w:color="auto"/>
              <w:bottom w:val="nil"/>
              <w:right w:val="single" w:sz="4" w:space="0" w:color="auto"/>
            </w:tcBorders>
          </w:tcPr>
          <w:p w14:paraId="45BCABD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5.9</w:t>
            </w:r>
          </w:p>
        </w:tc>
        <w:tc>
          <w:tcPr>
            <w:tcW w:w="540" w:type="dxa"/>
            <w:tcBorders>
              <w:top w:val="nil"/>
              <w:left w:val="single" w:sz="4" w:space="0" w:color="auto"/>
              <w:bottom w:val="nil"/>
              <w:right w:val="single" w:sz="4" w:space="0" w:color="auto"/>
            </w:tcBorders>
          </w:tcPr>
          <w:p w14:paraId="7218CCD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left w:val="single" w:sz="4" w:space="0" w:color="auto"/>
              <w:bottom w:val="nil"/>
            </w:tcBorders>
          </w:tcPr>
          <w:p w14:paraId="3C77325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r>
      <w:tr w:rsidR="009B1CF2" w:rsidRPr="009B1CF2" w14:paraId="6D5B23AA" w14:textId="77777777" w:rsidTr="00A808BF">
        <w:trPr>
          <w:jc w:val="center"/>
        </w:trPr>
        <w:tc>
          <w:tcPr>
            <w:tcW w:w="2007" w:type="dxa"/>
            <w:tcBorders>
              <w:top w:val="nil"/>
              <w:bottom w:val="nil"/>
              <w:right w:val="single" w:sz="4" w:space="0" w:color="auto"/>
            </w:tcBorders>
          </w:tcPr>
          <w:p w14:paraId="3821712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Reino Unido</w:t>
            </w:r>
            <w:r w:rsidRPr="00A808BF">
              <w:rPr>
                <w:rFonts w:eastAsia="Times New Roman"/>
                <w:sz w:val="12"/>
                <w:szCs w:val="12"/>
                <w:u w:val="single"/>
                <w:vertAlign w:val="superscript"/>
                <w:lang w:val="es-ES"/>
              </w:rPr>
              <w:t>5</w:t>
            </w:r>
            <w:r w:rsidRPr="00A808BF">
              <w:rPr>
                <w:rFonts w:eastAsia="Times New Roman"/>
                <w:sz w:val="12"/>
                <w:szCs w:val="12"/>
                <w:vertAlign w:val="superscript"/>
                <w:lang w:val="es-ES"/>
              </w:rPr>
              <w:t>/</w:t>
            </w:r>
          </w:p>
        </w:tc>
        <w:tc>
          <w:tcPr>
            <w:tcW w:w="540" w:type="dxa"/>
            <w:tcBorders>
              <w:top w:val="nil"/>
              <w:left w:val="single" w:sz="4" w:space="0" w:color="auto"/>
              <w:bottom w:val="nil"/>
              <w:right w:val="single" w:sz="4" w:space="0" w:color="auto"/>
            </w:tcBorders>
          </w:tcPr>
          <w:p w14:paraId="75FF811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2.6</w:t>
            </w:r>
          </w:p>
        </w:tc>
        <w:tc>
          <w:tcPr>
            <w:tcW w:w="540" w:type="dxa"/>
            <w:tcBorders>
              <w:top w:val="nil"/>
              <w:left w:val="single" w:sz="4" w:space="0" w:color="auto"/>
              <w:bottom w:val="nil"/>
              <w:right w:val="single" w:sz="4" w:space="0" w:color="auto"/>
            </w:tcBorders>
          </w:tcPr>
          <w:p w14:paraId="660772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left w:val="single" w:sz="4" w:space="0" w:color="auto"/>
              <w:bottom w:val="nil"/>
              <w:right w:val="single" w:sz="4" w:space="0" w:color="auto"/>
            </w:tcBorders>
          </w:tcPr>
          <w:p w14:paraId="46BE504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0E19F3C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14AAFB0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720" w:type="dxa"/>
            <w:tcBorders>
              <w:top w:val="nil"/>
              <w:left w:val="single" w:sz="4" w:space="0" w:color="auto"/>
              <w:bottom w:val="nil"/>
              <w:right w:val="single" w:sz="4" w:space="0" w:color="auto"/>
            </w:tcBorders>
          </w:tcPr>
          <w:p w14:paraId="7E6D2989"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1.7</w:t>
            </w:r>
          </w:p>
        </w:tc>
        <w:tc>
          <w:tcPr>
            <w:tcW w:w="540" w:type="dxa"/>
            <w:tcBorders>
              <w:top w:val="nil"/>
              <w:left w:val="single" w:sz="4" w:space="0" w:color="auto"/>
              <w:bottom w:val="nil"/>
              <w:right w:val="single" w:sz="4" w:space="0" w:color="auto"/>
            </w:tcBorders>
          </w:tcPr>
          <w:p w14:paraId="3CDF5F7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40" w:type="dxa"/>
            <w:tcBorders>
              <w:top w:val="nil"/>
              <w:left w:val="single" w:sz="4" w:space="0" w:color="auto"/>
              <w:bottom w:val="nil"/>
              <w:right w:val="single" w:sz="4" w:space="0" w:color="auto"/>
            </w:tcBorders>
          </w:tcPr>
          <w:p w14:paraId="605EF57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left w:val="single" w:sz="4" w:space="0" w:color="auto"/>
              <w:bottom w:val="nil"/>
              <w:right w:val="single" w:sz="4" w:space="0" w:color="auto"/>
            </w:tcBorders>
          </w:tcPr>
          <w:p w14:paraId="35FC5CE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-4.6</w:t>
            </w:r>
          </w:p>
        </w:tc>
        <w:tc>
          <w:tcPr>
            <w:tcW w:w="540" w:type="dxa"/>
            <w:tcBorders>
              <w:top w:val="nil"/>
              <w:left w:val="single" w:sz="4" w:space="0" w:color="auto"/>
              <w:bottom w:val="nil"/>
              <w:right w:val="single" w:sz="4" w:space="0" w:color="auto"/>
            </w:tcBorders>
          </w:tcPr>
          <w:p w14:paraId="2D85E9D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c>
          <w:tcPr>
            <w:tcW w:w="540" w:type="dxa"/>
            <w:tcBorders>
              <w:top w:val="nil"/>
              <w:left w:val="single" w:sz="4" w:space="0" w:color="auto"/>
              <w:bottom w:val="nil"/>
              <w:right w:val="single" w:sz="4" w:space="0" w:color="auto"/>
            </w:tcBorders>
          </w:tcPr>
          <w:p w14:paraId="056956C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left w:val="single" w:sz="4" w:space="0" w:color="auto"/>
              <w:bottom w:val="nil"/>
            </w:tcBorders>
          </w:tcPr>
          <w:p w14:paraId="35327FB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r>
      <w:tr w:rsidR="009B1CF2" w:rsidRPr="009B1CF2" w14:paraId="42EB75D8" w14:textId="77777777" w:rsidTr="00A808BF">
        <w:trPr>
          <w:jc w:val="center"/>
        </w:trPr>
        <w:tc>
          <w:tcPr>
            <w:tcW w:w="2007" w:type="dxa"/>
            <w:tcBorders>
              <w:top w:val="nil"/>
              <w:bottom w:val="nil"/>
              <w:right w:val="single" w:sz="4" w:space="0" w:color="auto"/>
            </w:tcBorders>
          </w:tcPr>
          <w:p w14:paraId="5C741ED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Suiza</w:t>
            </w:r>
          </w:p>
        </w:tc>
        <w:tc>
          <w:tcPr>
            <w:tcW w:w="540" w:type="dxa"/>
            <w:tcBorders>
              <w:top w:val="nil"/>
              <w:left w:val="single" w:sz="4" w:space="0" w:color="auto"/>
              <w:bottom w:val="nil"/>
              <w:right w:val="single" w:sz="4" w:space="0" w:color="auto"/>
            </w:tcBorders>
            <w:vAlign w:val="bottom"/>
          </w:tcPr>
          <w:p w14:paraId="6DCF7E6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left w:val="single" w:sz="4" w:space="0" w:color="auto"/>
              <w:bottom w:val="nil"/>
              <w:right w:val="single" w:sz="4" w:space="0" w:color="auto"/>
            </w:tcBorders>
            <w:vAlign w:val="bottom"/>
          </w:tcPr>
          <w:p w14:paraId="4C31625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vAlign w:val="bottom"/>
          </w:tcPr>
          <w:p w14:paraId="1D96F93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left w:val="single" w:sz="4" w:space="0" w:color="auto"/>
              <w:bottom w:val="nil"/>
              <w:right w:val="single" w:sz="4" w:space="0" w:color="auto"/>
            </w:tcBorders>
            <w:vAlign w:val="bottom"/>
          </w:tcPr>
          <w:p w14:paraId="43E3FA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0.0</w:t>
            </w:r>
          </w:p>
        </w:tc>
        <w:tc>
          <w:tcPr>
            <w:tcW w:w="540" w:type="dxa"/>
            <w:tcBorders>
              <w:top w:val="nil"/>
              <w:left w:val="single" w:sz="4" w:space="0" w:color="auto"/>
              <w:bottom w:val="nil"/>
              <w:right w:val="single" w:sz="4" w:space="0" w:color="auto"/>
            </w:tcBorders>
            <w:vAlign w:val="bottom"/>
          </w:tcPr>
          <w:p w14:paraId="1C0B88C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720" w:type="dxa"/>
            <w:tcBorders>
              <w:top w:val="nil"/>
              <w:left w:val="single" w:sz="4" w:space="0" w:color="auto"/>
              <w:bottom w:val="nil"/>
              <w:right w:val="single" w:sz="4" w:space="0" w:color="auto"/>
            </w:tcBorders>
            <w:vAlign w:val="bottom"/>
          </w:tcPr>
          <w:p w14:paraId="018A4DCD"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vAlign w:val="bottom"/>
          </w:tcPr>
          <w:p w14:paraId="31D7645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40" w:type="dxa"/>
            <w:tcBorders>
              <w:top w:val="nil"/>
              <w:left w:val="single" w:sz="4" w:space="0" w:color="auto"/>
              <w:bottom w:val="nil"/>
              <w:right w:val="single" w:sz="4" w:space="0" w:color="auto"/>
            </w:tcBorders>
            <w:vAlign w:val="bottom"/>
          </w:tcPr>
          <w:p w14:paraId="2F3190F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5.8</w:t>
            </w:r>
          </w:p>
        </w:tc>
        <w:tc>
          <w:tcPr>
            <w:tcW w:w="540" w:type="dxa"/>
            <w:tcBorders>
              <w:top w:val="nil"/>
              <w:left w:val="single" w:sz="4" w:space="0" w:color="auto"/>
              <w:bottom w:val="nil"/>
              <w:right w:val="single" w:sz="4" w:space="0" w:color="auto"/>
            </w:tcBorders>
            <w:vAlign w:val="bottom"/>
          </w:tcPr>
          <w:p w14:paraId="1B93F30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40" w:type="dxa"/>
            <w:tcBorders>
              <w:top w:val="nil"/>
              <w:left w:val="single" w:sz="4" w:space="0" w:color="auto"/>
              <w:bottom w:val="nil"/>
              <w:right w:val="single" w:sz="4" w:space="0" w:color="auto"/>
            </w:tcBorders>
            <w:vAlign w:val="bottom"/>
          </w:tcPr>
          <w:p w14:paraId="15DFC6E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left w:val="single" w:sz="4" w:space="0" w:color="auto"/>
              <w:bottom w:val="nil"/>
              <w:right w:val="single" w:sz="4" w:space="0" w:color="auto"/>
            </w:tcBorders>
            <w:vAlign w:val="bottom"/>
          </w:tcPr>
          <w:p w14:paraId="44DD415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left w:val="single" w:sz="4" w:space="0" w:color="auto"/>
              <w:bottom w:val="nil"/>
            </w:tcBorders>
            <w:vAlign w:val="bottom"/>
          </w:tcPr>
          <w:p w14:paraId="7720DDD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r>
      <w:tr w:rsidR="009B1CF2" w:rsidRPr="009B1CF2" w14:paraId="66562B68" w14:textId="77777777" w:rsidTr="00A808BF">
        <w:trPr>
          <w:jc w:val="center"/>
        </w:trPr>
        <w:tc>
          <w:tcPr>
            <w:tcW w:w="2007" w:type="dxa"/>
            <w:tcBorders>
              <w:top w:val="nil"/>
              <w:bottom w:val="nil"/>
              <w:right w:val="single" w:sz="4" w:space="0" w:color="auto"/>
            </w:tcBorders>
          </w:tcPr>
          <w:p w14:paraId="5E14B94E"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Suecia</w:t>
            </w:r>
          </w:p>
        </w:tc>
        <w:tc>
          <w:tcPr>
            <w:tcW w:w="540" w:type="dxa"/>
            <w:tcBorders>
              <w:top w:val="nil"/>
              <w:left w:val="single" w:sz="4" w:space="0" w:color="auto"/>
              <w:bottom w:val="nil"/>
              <w:right w:val="single" w:sz="4" w:space="0" w:color="auto"/>
            </w:tcBorders>
            <w:vAlign w:val="bottom"/>
          </w:tcPr>
          <w:p w14:paraId="5C15DD5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left w:val="single" w:sz="4" w:space="0" w:color="auto"/>
              <w:bottom w:val="nil"/>
              <w:right w:val="single" w:sz="4" w:space="0" w:color="auto"/>
            </w:tcBorders>
            <w:vAlign w:val="bottom"/>
          </w:tcPr>
          <w:p w14:paraId="4DDA5EE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left w:val="single" w:sz="4" w:space="0" w:color="auto"/>
              <w:bottom w:val="nil"/>
              <w:right w:val="single" w:sz="4" w:space="0" w:color="auto"/>
            </w:tcBorders>
            <w:vAlign w:val="bottom"/>
          </w:tcPr>
          <w:p w14:paraId="4D77922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40" w:type="dxa"/>
            <w:tcBorders>
              <w:top w:val="nil"/>
              <w:left w:val="single" w:sz="4" w:space="0" w:color="auto"/>
              <w:bottom w:val="nil"/>
              <w:right w:val="single" w:sz="4" w:space="0" w:color="auto"/>
            </w:tcBorders>
            <w:vAlign w:val="bottom"/>
          </w:tcPr>
          <w:p w14:paraId="7F2E613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vAlign w:val="bottom"/>
          </w:tcPr>
          <w:p w14:paraId="3153872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720" w:type="dxa"/>
            <w:tcBorders>
              <w:top w:val="nil"/>
              <w:left w:val="single" w:sz="4" w:space="0" w:color="auto"/>
              <w:bottom w:val="nil"/>
              <w:right w:val="single" w:sz="4" w:space="0" w:color="auto"/>
            </w:tcBorders>
            <w:vAlign w:val="bottom"/>
          </w:tcPr>
          <w:p w14:paraId="6C74511C"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vAlign w:val="bottom"/>
          </w:tcPr>
          <w:p w14:paraId="455881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left w:val="single" w:sz="4" w:space="0" w:color="auto"/>
              <w:bottom w:val="nil"/>
              <w:right w:val="single" w:sz="4" w:space="0" w:color="auto"/>
            </w:tcBorders>
            <w:vAlign w:val="bottom"/>
          </w:tcPr>
          <w:p w14:paraId="6F71CB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left w:val="single" w:sz="4" w:space="0" w:color="auto"/>
              <w:bottom w:val="nil"/>
              <w:right w:val="single" w:sz="4" w:space="0" w:color="auto"/>
            </w:tcBorders>
            <w:vAlign w:val="bottom"/>
          </w:tcPr>
          <w:p w14:paraId="7B87186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left w:val="single" w:sz="4" w:space="0" w:color="auto"/>
              <w:bottom w:val="nil"/>
              <w:right w:val="single" w:sz="4" w:space="0" w:color="auto"/>
            </w:tcBorders>
            <w:vAlign w:val="bottom"/>
          </w:tcPr>
          <w:p w14:paraId="08BFCBE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7.9</w:t>
            </w:r>
          </w:p>
        </w:tc>
        <w:tc>
          <w:tcPr>
            <w:tcW w:w="540" w:type="dxa"/>
            <w:tcBorders>
              <w:top w:val="nil"/>
              <w:left w:val="single" w:sz="4" w:space="0" w:color="auto"/>
              <w:bottom w:val="nil"/>
              <w:right w:val="single" w:sz="4" w:space="0" w:color="auto"/>
            </w:tcBorders>
            <w:vAlign w:val="bottom"/>
          </w:tcPr>
          <w:p w14:paraId="40FE6EC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7.7</w:t>
            </w:r>
          </w:p>
        </w:tc>
        <w:tc>
          <w:tcPr>
            <w:tcW w:w="540" w:type="dxa"/>
            <w:tcBorders>
              <w:top w:val="nil"/>
              <w:left w:val="single" w:sz="4" w:space="0" w:color="auto"/>
              <w:bottom w:val="nil"/>
            </w:tcBorders>
            <w:vAlign w:val="bottom"/>
          </w:tcPr>
          <w:p w14:paraId="7BEDA16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r>
      <w:tr w:rsidR="009B1CF2" w:rsidRPr="009B1CF2" w14:paraId="00EE4482" w14:textId="77777777" w:rsidTr="00A808BF">
        <w:trPr>
          <w:jc w:val="center"/>
        </w:trPr>
        <w:tc>
          <w:tcPr>
            <w:tcW w:w="2007" w:type="dxa"/>
            <w:tcBorders>
              <w:top w:val="nil"/>
              <w:bottom w:val="nil"/>
              <w:right w:val="single" w:sz="4" w:space="0" w:color="auto"/>
            </w:tcBorders>
          </w:tcPr>
          <w:p w14:paraId="12CC352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Noruega</w:t>
            </w:r>
          </w:p>
        </w:tc>
        <w:tc>
          <w:tcPr>
            <w:tcW w:w="540" w:type="dxa"/>
            <w:tcBorders>
              <w:top w:val="nil"/>
              <w:left w:val="single" w:sz="4" w:space="0" w:color="auto"/>
              <w:bottom w:val="nil"/>
              <w:right w:val="single" w:sz="4" w:space="0" w:color="auto"/>
            </w:tcBorders>
          </w:tcPr>
          <w:p w14:paraId="3F1F38F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left w:val="single" w:sz="4" w:space="0" w:color="auto"/>
              <w:bottom w:val="nil"/>
              <w:right w:val="single" w:sz="4" w:space="0" w:color="auto"/>
            </w:tcBorders>
          </w:tcPr>
          <w:p w14:paraId="2BD9068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left w:val="single" w:sz="4" w:space="0" w:color="auto"/>
              <w:bottom w:val="nil"/>
              <w:right w:val="single" w:sz="4" w:space="0" w:color="auto"/>
            </w:tcBorders>
          </w:tcPr>
          <w:p w14:paraId="3FDBC4E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6D1EA32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left w:val="single" w:sz="4" w:space="0" w:color="auto"/>
              <w:bottom w:val="nil"/>
              <w:right w:val="single" w:sz="4" w:space="0" w:color="auto"/>
            </w:tcBorders>
          </w:tcPr>
          <w:p w14:paraId="4B66981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720" w:type="dxa"/>
            <w:tcBorders>
              <w:top w:val="nil"/>
              <w:left w:val="single" w:sz="4" w:space="0" w:color="auto"/>
              <w:bottom w:val="nil"/>
              <w:right w:val="single" w:sz="4" w:space="0" w:color="auto"/>
            </w:tcBorders>
          </w:tcPr>
          <w:p w14:paraId="39E6752A"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2.2</w:t>
            </w:r>
          </w:p>
        </w:tc>
        <w:tc>
          <w:tcPr>
            <w:tcW w:w="540" w:type="dxa"/>
            <w:tcBorders>
              <w:top w:val="nil"/>
              <w:left w:val="single" w:sz="4" w:space="0" w:color="auto"/>
              <w:bottom w:val="nil"/>
              <w:right w:val="single" w:sz="4" w:space="0" w:color="auto"/>
            </w:tcBorders>
          </w:tcPr>
          <w:p w14:paraId="5929A3E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8.5</w:t>
            </w:r>
          </w:p>
        </w:tc>
        <w:tc>
          <w:tcPr>
            <w:tcW w:w="540" w:type="dxa"/>
            <w:tcBorders>
              <w:top w:val="nil"/>
              <w:left w:val="single" w:sz="4" w:space="0" w:color="auto"/>
              <w:bottom w:val="nil"/>
              <w:right w:val="single" w:sz="4" w:space="0" w:color="auto"/>
            </w:tcBorders>
          </w:tcPr>
          <w:p w14:paraId="2D82828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c>
          <w:tcPr>
            <w:tcW w:w="540" w:type="dxa"/>
            <w:tcBorders>
              <w:top w:val="nil"/>
              <w:left w:val="single" w:sz="4" w:space="0" w:color="auto"/>
              <w:bottom w:val="nil"/>
              <w:right w:val="single" w:sz="4" w:space="0" w:color="auto"/>
            </w:tcBorders>
          </w:tcPr>
          <w:p w14:paraId="02D56CA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40" w:type="dxa"/>
            <w:tcBorders>
              <w:top w:val="nil"/>
              <w:left w:val="single" w:sz="4" w:space="0" w:color="auto"/>
              <w:bottom w:val="nil"/>
              <w:right w:val="single" w:sz="4" w:space="0" w:color="auto"/>
            </w:tcBorders>
          </w:tcPr>
          <w:p w14:paraId="50B6EC3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left w:val="single" w:sz="4" w:space="0" w:color="auto"/>
              <w:bottom w:val="nil"/>
              <w:right w:val="single" w:sz="4" w:space="0" w:color="auto"/>
            </w:tcBorders>
          </w:tcPr>
          <w:p w14:paraId="149092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3.8</w:t>
            </w:r>
          </w:p>
        </w:tc>
        <w:tc>
          <w:tcPr>
            <w:tcW w:w="540" w:type="dxa"/>
            <w:tcBorders>
              <w:top w:val="nil"/>
              <w:left w:val="single" w:sz="4" w:space="0" w:color="auto"/>
              <w:bottom w:val="nil"/>
            </w:tcBorders>
          </w:tcPr>
          <w:p w14:paraId="094D98D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3.9</w:t>
            </w:r>
          </w:p>
        </w:tc>
      </w:tr>
      <w:tr w:rsidR="009B1CF2" w:rsidRPr="009B1CF2" w14:paraId="30AD8ECC" w14:textId="77777777" w:rsidTr="00A808BF">
        <w:trPr>
          <w:jc w:val="center"/>
        </w:trPr>
        <w:tc>
          <w:tcPr>
            <w:tcW w:w="2007" w:type="dxa"/>
            <w:tcBorders>
              <w:top w:val="nil"/>
              <w:bottom w:val="nil"/>
              <w:right w:val="single" w:sz="4" w:space="0" w:color="auto"/>
            </w:tcBorders>
          </w:tcPr>
          <w:p w14:paraId="4FC6EA1F"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República Checa</w:t>
            </w:r>
          </w:p>
        </w:tc>
        <w:tc>
          <w:tcPr>
            <w:tcW w:w="540" w:type="dxa"/>
            <w:tcBorders>
              <w:top w:val="nil"/>
              <w:left w:val="single" w:sz="4" w:space="0" w:color="auto"/>
              <w:bottom w:val="nil"/>
              <w:right w:val="single" w:sz="4" w:space="0" w:color="auto"/>
            </w:tcBorders>
          </w:tcPr>
          <w:p w14:paraId="1D10784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left w:val="single" w:sz="4" w:space="0" w:color="auto"/>
              <w:bottom w:val="nil"/>
              <w:right w:val="single" w:sz="4" w:space="0" w:color="auto"/>
            </w:tcBorders>
          </w:tcPr>
          <w:p w14:paraId="1BE26ED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left w:val="single" w:sz="4" w:space="0" w:color="auto"/>
              <w:bottom w:val="nil"/>
              <w:right w:val="single" w:sz="4" w:space="0" w:color="auto"/>
            </w:tcBorders>
          </w:tcPr>
          <w:p w14:paraId="58C3196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left w:val="single" w:sz="4" w:space="0" w:color="auto"/>
              <w:bottom w:val="nil"/>
              <w:right w:val="single" w:sz="4" w:space="0" w:color="auto"/>
            </w:tcBorders>
          </w:tcPr>
          <w:p w14:paraId="4FB2627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left w:val="single" w:sz="4" w:space="0" w:color="auto"/>
              <w:bottom w:val="nil"/>
              <w:right w:val="single" w:sz="4" w:space="0" w:color="auto"/>
            </w:tcBorders>
          </w:tcPr>
          <w:p w14:paraId="0977D46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720" w:type="dxa"/>
            <w:tcBorders>
              <w:top w:val="nil"/>
              <w:left w:val="single" w:sz="4" w:space="0" w:color="auto"/>
              <w:bottom w:val="nil"/>
              <w:right w:val="single" w:sz="4" w:space="0" w:color="auto"/>
            </w:tcBorders>
          </w:tcPr>
          <w:p w14:paraId="551C7292"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1.3</w:t>
            </w:r>
          </w:p>
        </w:tc>
        <w:tc>
          <w:tcPr>
            <w:tcW w:w="540" w:type="dxa"/>
            <w:tcBorders>
              <w:top w:val="nil"/>
              <w:left w:val="single" w:sz="4" w:space="0" w:color="auto"/>
              <w:bottom w:val="nil"/>
              <w:right w:val="single" w:sz="4" w:space="0" w:color="auto"/>
            </w:tcBorders>
          </w:tcPr>
          <w:p w14:paraId="3F642E3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left w:val="single" w:sz="4" w:space="0" w:color="auto"/>
              <w:bottom w:val="nil"/>
              <w:right w:val="single" w:sz="4" w:space="0" w:color="auto"/>
            </w:tcBorders>
          </w:tcPr>
          <w:p w14:paraId="014EED4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4BF052D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5DA7E55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left w:val="single" w:sz="4" w:space="0" w:color="auto"/>
              <w:bottom w:val="nil"/>
              <w:right w:val="single" w:sz="4" w:space="0" w:color="auto"/>
            </w:tcBorders>
          </w:tcPr>
          <w:p w14:paraId="0D1625F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left w:val="single" w:sz="4" w:space="0" w:color="auto"/>
              <w:bottom w:val="nil"/>
            </w:tcBorders>
          </w:tcPr>
          <w:p w14:paraId="25BBCCD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5.7</w:t>
            </w:r>
          </w:p>
        </w:tc>
      </w:tr>
      <w:tr w:rsidR="009B1CF2" w:rsidRPr="009B1CF2" w14:paraId="2E3826CD" w14:textId="77777777" w:rsidTr="00A808BF">
        <w:trPr>
          <w:jc w:val="center"/>
        </w:trPr>
        <w:tc>
          <w:tcPr>
            <w:tcW w:w="2007" w:type="dxa"/>
            <w:tcBorders>
              <w:top w:val="nil"/>
              <w:bottom w:val="nil"/>
              <w:right w:val="single" w:sz="4" w:space="0" w:color="auto"/>
            </w:tcBorders>
          </w:tcPr>
          <w:p w14:paraId="0D4C0147"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Dinamarca</w:t>
            </w:r>
          </w:p>
        </w:tc>
        <w:tc>
          <w:tcPr>
            <w:tcW w:w="540" w:type="dxa"/>
            <w:tcBorders>
              <w:top w:val="nil"/>
              <w:left w:val="single" w:sz="4" w:space="0" w:color="auto"/>
              <w:bottom w:val="nil"/>
              <w:right w:val="single" w:sz="4" w:space="0" w:color="auto"/>
            </w:tcBorders>
          </w:tcPr>
          <w:p w14:paraId="37D9BA1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left w:val="single" w:sz="4" w:space="0" w:color="auto"/>
              <w:bottom w:val="nil"/>
              <w:right w:val="single" w:sz="4" w:space="0" w:color="auto"/>
            </w:tcBorders>
          </w:tcPr>
          <w:p w14:paraId="36C5C2A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5BC94B8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left w:val="single" w:sz="4" w:space="0" w:color="auto"/>
              <w:bottom w:val="nil"/>
              <w:right w:val="single" w:sz="4" w:space="0" w:color="auto"/>
            </w:tcBorders>
          </w:tcPr>
          <w:p w14:paraId="546318C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left w:val="single" w:sz="4" w:space="0" w:color="auto"/>
              <w:bottom w:val="nil"/>
              <w:right w:val="single" w:sz="4" w:space="0" w:color="auto"/>
            </w:tcBorders>
          </w:tcPr>
          <w:p w14:paraId="78B9DCC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720" w:type="dxa"/>
            <w:tcBorders>
              <w:top w:val="nil"/>
              <w:left w:val="single" w:sz="4" w:space="0" w:color="auto"/>
              <w:bottom w:val="nil"/>
              <w:right w:val="single" w:sz="4" w:space="0" w:color="auto"/>
            </w:tcBorders>
          </w:tcPr>
          <w:p w14:paraId="0D58E797"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26B93F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left w:val="single" w:sz="4" w:space="0" w:color="auto"/>
              <w:bottom w:val="nil"/>
              <w:right w:val="single" w:sz="4" w:space="0" w:color="auto"/>
            </w:tcBorders>
          </w:tcPr>
          <w:p w14:paraId="2BB3F21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left w:val="single" w:sz="4" w:space="0" w:color="auto"/>
              <w:bottom w:val="nil"/>
              <w:right w:val="single" w:sz="4" w:space="0" w:color="auto"/>
            </w:tcBorders>
          </w:tcPr>
          <w:p w14:paraId="315A600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40" w:type="dxa"/>
            <w:tcBorders>
              <w:top w:val="nil"/>
              <w:left w:val="single" w:sz="4" w:space="0" w:color="auto"/>
              <w:bottom w:val="nil"/>
              <w:right w:val="single" w:sz="4" w:space="0" w:color="auto"/>
            </w:tcBorders>
          </w:tcPr>
          <w:p w14:paraId="73239F7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6.5</w:t>
            </w:r>
          </w:p>
        </w:tc>
        <w:tc>
          <w:tcPr>
            <w:tcW w:w="540" w:type="dxa"/>
            <w:tcBorders>
              <w:top w:val="nil"/>
              <w:left w:val="single" w:sz="4" w:space="0" w:color="auto"/>
              <w:bottom w:val="nil"/>
              <w:right w:val="single" w:sz="4" w:space="0" w:color="auto"/>
            </w:tcBorders>
          </w:tcPr>
          <w:p w14:paraId="38A8D89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c>
          <w:tcPr>
            <w:tcW w:w="540" w:type="dxa"/>
            <w:tcBorders>
              <w:top w:val="nil"/>
              <w:left w:val="single" w:sz="4" w:space="0" w:color="auto"/>
              <w:bottom w:val="nil"/>
            </w:tcBorders>
          </w:tcPr>
          <w:p w14:paraId="408AF72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r>
      <w:tr w:rsidR="009B1CF2" w:rsidRPr="009B1CF2" w14:paraId="49186AE7" w14:textId="77777777" w:rsidTr="00A808BF">
        <w:trPr>
          <w:jc w:val="center"/>
        </w:trPr>
        <w:tc>
          <w:tcPr>
            <w:tcW w:w="2007" w:type="dxa"/>
            <w:tcBorders>
              <w:top w:val="nil"/>
              <w:bottom w:val="nil"/>
              <w:right w:val="single" w:sz="4" w:space="0" w:color="auto"/>
            </w:tcBorders>
          </w:tcPr>
          <w:p w14:paraId="3B355094"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Islandia</w:t>
            </w:r>
          </w:p>
        </w:tc>
        <w:tc>
          <w:tcPr>
            <w:tcW w:w="540" w:type="dxa"/>
            <w:tcBorders>
              <w:top w:val="nil"/>
              <w:left w:val="single" w:sz="4" w:space="0" w:color="auto"/>
              <w:bottom w:val="nil"/>
              <w:right w:val="single" w:sz="4" w:space="0" w:color="auto"/>
            </w:tcBorders>
          </w:tcPr>
          <w:p w14:paraId="076109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40" w:type="dxa"/>
            <w:tcBorders>
              <w:top w:val="nil"/>
              <w:left w:val="single" w:sz="4" w:space="0" w:color="auto"/>
              <w:bottom w:val="nil"/>
              <w:right w:val="single" w:sz="4" w:space="0" w:color="auto"/>
            </w:tcBorders>
          </w:tcPr>
          <w:p w14:paraId="30C55EA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left w:val="single" w:sz="4" w:space="0" w:color="auto"/>
              <w:bottom w:val="nil"/>
              <w:right w:val="single" w:sz="4" w:space="0" w:color="auto"/>
            </w:tcBorders>
          </w:tcPr>
          <w:p w14:paraId="1ECCD29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left w:val="single" w:sz="4" w:space="0" w:color="auto"/>
              <w:bottom w:val="nil"/>
              <w:right w:val="single" w:sz="4" w:space="0" w:color="auto"/>
            </w:tcBorders>
          </w:tcPr>
          <w:p w14:paraId="32B7748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left w:val="single" w:sz="4" w:space="0" w:color="auto"/>
              <w:bottom w:val="nil"/>
              <w:right w:val="single" w:sz="4" w:space="0" w:color="auto"/>
            </w:tcBorders>
          </w:tcPr>
          <w:p w14:paraId="42FDFCB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720" w:type="dxa"/>
            <w:tcBorders>
              <w:top w:val="nil"/>
              <w:left w:val="single" w:sz="4" w:space="0" w:color="auto"/>
              <w:bottom w:val="nil"/>
              <w:right w:val="single" w:sz="4" w:space="0" w:color="auto"/>
            </w:tcBorders>
          </w:tcPr>
          <w:p w14:paraId="24D4CFA0"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2.1</w:t>
            </w:r>
          </w:p>
        </w:tc>
        <w:tc>
          <w:tcPr>
            <w:tcW w:w="540" w:type="dxa"/>
            <w:tcBorders>
              <w:top w:val="nil"/>
              <w:left w:val="single" w:sz="4" w:space="0" w:color="auto"/>
              <w:bottom w:val="nil"/>
              <w:right w:val="single" w:sz="4" w:space="0" w:color="auto"/>
            </w:tcBorders>
          </w:tcPr>
          <w:p w14:paraId="132DEA1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left w:val="single" w:sz="4" w:space="0" w:color="auto"/>
              <w:bottom w:val="nil"/>
              <w:right w:val="single" w:sz="4" w:space="0" w:color="auto"/>
            </w:tcBorders>
          </w:tcPr>
          <w:p w14:paraId="637B553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left w:val="single" w:sz="4" w:space="0" w:color="auto"/>
              <w:bottom w:val="nil"/>
              <w:right w:val="single" w:sz="4" w:space="0" w:color="auto"/>
            </w:tcBorders>
          </w:tcPr>
          <w:p w14:paraId="0D801FE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left w:val="single" w:sz="4" w:space="0" w:color="auto"/>
              <w:bottom w:val="nil"/>
              <w:right w:val="single" w:sz="4" w:space="0" w:color="auto"/>
            </w:tcBorders>
          </w:tcPr>
          <w:p w14:paraId="0754B85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left w:val="single" w:sz="4" w:space="0" w:color="auto"/>
              <w:bottom w:val="nil"/>
              <w:right w:val="single" w:sz="4" w:space="0" w:color="auto"/>
            </w:tcBorders>
          </w:tcPr>
          <w:p w14:paraId="58317A4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40" w:type="dxa"/>
            <w:tcBorders>
              <w:top w:val="nil"/>
              <w:left w:val="single" w:sz="4" w:space="0" w:color="auto"/>
              <w:bottom w:val="nil"/>
            </w:tcBorders>
          </w:tcPr>
          <w:p w14:paraId="7D2D2CB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r>
      <w:tr w:rsidR="009B1CF2" w:rsidRPr="009B1CF2" w14:paraId="4ADC8E49" w14:textId="77777777" w:rsidTr="00A808BF">
        <w:trPr>
          <w:jc w:val="center"/>
        </w:trPr>
        <w:tc>
          <w:tcPr>
            <w:tcW w:w="2007" w:type="dxa"/>
            <w:tcBorders>
              <w:top w:val="nil"/>
              <w:bottom w:val="nil"/>
              <w:right w:val="single" w:sz="4" w:space="0" w:color="auto"/>
            </w:tcBorders>
          </w:tcPr>
          <w:p w14:paraId="48C9E946"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San Marino</w:t>
            </w:r>
          </w:p>
        </w:tc>
        <w:tc>
          <w:tcPr>
            <w:tcW w:w="540" w:type="dxa"/>
            <w:tcBorders>
              <w:top w:val="nil"/>
              <w:left w:val="single" w:sz="4" w:space="0" w:color="auto"/>
              <w:bottom w:val="nil"/>
              <w:right w:val="single" w:sz="4" w:space="0" w:color="auto"/>
            </w:tcBorders>
          </w:tcPr>
          <w:p w14:paraId="0506F59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left w:val="single" w:sz="4" w:space="0" w:color="auto"/>
              <w:bottom w:val="nil"/>
              <w:right w:val="single" w:sz="4" w:space="0" w:color="auto"/>
            </w:tcBorders>
          </w:tcPr>
          <w:p w14:paraId="7708E03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left w:val="single" w:sz="4" w:space="0" w:color="auto"/>
              <w:bottom w:val="nil"/>
              <w:right w:val="single" w:sz="4" w:space="0" w:color="auto"/>
            </w:tcBorders>
          </w:tcPr>
          <w:p w14:paraId="2A8FBFC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tcPr>
          <w:p w14:paraId="67BD2E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tcPr>
          <w:p w14:paraId="5FBD263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720" w:type="dxa"/>
            <w:tcBorders>
              <w:top w:val="nil"/>
              <w:left w:val="single" w:sz="4" w:space="0" w:color="auto"/>
              <w:bottom w:val="nil"/>
              <w:right w:val="single" w:sz="4" w:space="0" w:color="auto"/>
            </w:tcBorders>
          </w:tcPr>
          <w:p w14:paraId="766EEA35"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0.9</w:t>
            </w:r>
          </w:p>
        </w:tc>
        <w:tc>
          <w:tcPr>
            <w:tcW w:w="540" w:type="dxa"/>
            <w:tcBorders>
              <w:top w:val="nil"/>
              <w:left w:val="single" w:sz="4" w:space="0" w:color="auto"/>
              <w:bottom w:val="nil"/>
              <w:right w:val="single" w:sz="4" w:space="0" w:color="auto"/>
            </w:tcBorders>
          </w:tcPr>
          <w:p w14:paraId="181BED3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left w:val="single" w:sz="4" w:space="0" w:color="auto"/>
              <w:bottom w:val="nil"/>
              <w:right w:val="single" w:sz="4" w:space="0" w:color="auto"/>
            </w:tcBorders>
          </w:tcPr>
          <w:p w14:paraId="02690B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left w:val="single" w:sz="4" w:space="0" w:color="auto"/>
              <w:bottom w:val="nil"/>
              <w:right w:val="single" w:sz="4" w:space="0" w:color="auto"/>
            </w:tcBorders>
          </w:tcPr>
          <w:p w14:paraId="12FABFD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left w:val="single" w:sz="4" w:space="0" w:color="auto"/>
              <w:bottom w:val="nil"/>
              <w:right w:val="single" w:sz="4" w:space="0" w:color="auto"/>
            </w:tcBorders>
          </w:tcPr>
          <w:p w14:paraId="389D640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8.7</w:t>
            </w:r>
          </w:p>
        </w:tc>
        <w:tc>
          <w:tcPr>
            <w:tcW w:w="540" w:type="dxa"/>
            <w:tcBorders>
              <w:top w:val="nil"/>
              <w:left w:val="single" w:sz="4" w:space="0" w:color="auto"/>
              <w:bottom w:val="nil"/>
              <w:right w:val="single" w:sz="4" w:space="0" w:color="auto"/>
            </w:tcBorders>
          </w:tcPr>
          <w:p w14:paraId="0914679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8.4</w:t>
            </w:r>
          </w:p>
        </w:tc>
        <w:tc>
          <w:tcPr>
            <w:tcW w:w="540" w:type="dxa"/>
            <w:tcBorders>
              <w:top w:val="nil"/>
              <w:left w:val="single" w:sz="4" w:space="0" w:color="auto"/>
              <w:bottom w:val="nil"/>
            </w:tcBorders>
          </w:tcPr>
          <w:p w14:paraId="6ED70B6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7.9</w:t>
            </w:r>
          </w:p>
        </w:tc>
      </w:tr>
      <w:tr w:rsidR="009B1CF2" w:rsidRPr="009B1CF2" w14:paraId="0D270FFE" w14:textId="77777777" w:rsidTr="00A808BF">
        <w:trPr>
          <w:jc w:val="center"/>
        </w:trPr>
        <w:tc>
          <w:tcPr>
            <w:tcW w:w="2007" w:type="dxa"/>
            <w:tcBorders>
              <w:top w:val="nil"/>
              <w:bottom w:val="nil"/>
              <w:right w:val="single" w:sz="4" w:space="0" w:color="auto"/>
            </w:tcBorders>
          </w:tcPr>
          <w:p w14:paraId="0A4B5EB7"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Economías emergentes y en desarrollo de Europa</w:t>
            </w:r>
            <w:r w:rsidRPr="00A808BF">
              <w:rPr>
                <w:rFonts w:eastAsia="Times New Roman"/>
                <w:b/>
                <w:sz w:val="12"/>
                <w:szCs w:val="12"/>
                <w:u w:val="single"/>
                <w:vertAlign w:val="superscript"/>
                <w:lang w:val="es-ES"/>
              </w:rPr>
              <w:t>6</w:t>
            </w:r>
            <w:r w:rsidRPr="00A808BF">
              <w:rPr>
                <w:rFonts w:eastAsia="Times New Roman"/>
                <w:b/>
                <w:sz w:val="12"/>
                <w:szCs w:val="12"/>
                <w:vertAlign w:val="superscript"/>
                <w:lang w:val="es-ES"/>
              </w:rPr>
              <w:t>/</w:t>
            </w:r>
          </w:p>
        </w:tc>
        <w:tc>
          <w:tcPr>
            <w:tcW w:w="540" w:type="dxa"/>
            <w:tcBorders>
              <w:top w:val="nil"/>
              <w:left w:val="single" w:sz="4" w:space="0" w:color="auto"/>
              <w:bottom w:val="nil"/>
              <w:right w:val="single" w:sz="4" w:space="0" w:color="auto"/>
            </w:tcBorders>
            <w:vAlign w:val="center"/>
          </w:tcPr>
          <w:p w14:paraId="087D3DF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2.8</w:t>
            </w:r>
          </w:p>
        </w:tc>
        <w:tc>
          <w:tcPr>
            <w:tcW w:w="540" w:type="dxa"/>
            <w:tcBorders>
              <w:top w:val="nil"/>
              <w:left w:val="single" w:sz="4" w:space="0" w:color="auto"/>
              <w:bottom w:val="nil"/>
              <w:right w:val="single" w:sz="4" w:space="0" w:color="auto"/>
            </w:tcBorders>
            <w:vAlign w:val="center"/>
          </w:tcPr>
          <w:p w14:paraId="47BE078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2.9</w:t>
            </w:r>
          </w:p>
        </w:tc>
        <w:tc>
          <w:tcPr>
            <w:tcW w:w="540" w:type="dxa"/>
            <w:tcBorders>
              <w:top w:val="nil"/>
              <w:left w:val="single" w:sz="4" w:space="0" w:color="auto"/>
              <w:bottom w:val="nil"/>
              <w:right w:val="single" w:sz="4" w:space="0" w:color="auto"/>
            </w:tcBorders>
            <w:vAlign w:val="center"/>
          </w:tcPr>
          <w:p w14:paraId="603318E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3.2</w:t>
            </w:r>
          </w:p>
        </w:tc>
        <w:tc>
          <w:tcPr>
            <w:tcW w:w="540" w:type="dxa"/>
            <w:tcBorders>
              <w:top w:val="nil"/>
              <w:left w:val="single" w:sz="4" w:space="0" w:color="auto"/>
              <w:bottom w:val="nil"/>
              <w:right w:val="single" w:sz="4" w:space="0" w:color="auto"/>
            </w:tcBorders>
            <w:vAlign w:val="center"/>
          </w:tcPr>
          <w:p w14:paraId="23507BB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3.8</w:t>
            </w:r>
          </w:p>
        </w:tc>
        <w:tc>
          <w:tcPr>
            <w:tcW w:w="540" w:type="dxa"/>
            <w:tcBorders>
              <w:top w:val="nil"/>
              <w:left w:val="single" w:sz="4" w:space="0" w:color="auto"/>
              <w:bottom w:val="nil"/>
              <w:right w:val="single" w:sz="4" w:space="0" w:color="auto"/>
            </w:tcBorders>
            <w:vAlign w:val="center"/>
          </w:tcPr>
          <w:p w14:paraId="61A5FA3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2.7</w:t>
            </w:r>
          </w:p>
        </w:tc>
        <w:tc>
          <w:tcPr>
            <w:tcW w:w="720" w:type="dxa"/>
            <w:tcBorders>
              <w:top w:val="nil"/>
              <w:left w:val="single" w:sz="4" w:space="0" w:color="auto"/>
              <w:bottom w:val="nil"/>
              <w:right w:val="single" w:sz="4" w:space="0" w:color="auto"/>
            </w:tcBorders>
            <w:vAlign w:val="center"/>
          </w:tcPr>
          <w:p w14:paraId="377DADD5" w14:textId="77777777" w:rsidR="009B1CF2" w:rsidRPr="00A808BF" w:rsidRDefault="009B1CF2" w:rsidP="009B1CF2">
            <w:pPr>
              <w:ind w:right="170"/>
              <w:jc w:val="right"/>
              <w:rPr>
                <w:rFonts w:eastAsia="Times New Roman"/>
                <w:b/>
                <w:sz w:val="12"/>
                <w:szCs w:val="12"/>
                <w:lang w:val="es-ES"/>
              </w:rPr>
            </w:pPr>
            <w:r w:rsidRPr="00A808BF">
              <w:rPr>
                <w:rFonts w:eastAsia="Times New Roman"/>
                <w:b/>
                <w:sz w:val="12"/>
                <w:szCs w:val="12"/>
                <w:lang w:val="es-ES"/>
              </w:rPr>
              <w:t>3.7</w:t>
            </w:r>
          </w:p>
        </w:tc>
        <w:tc>
          <w:tcPr>
            <w:tcW w:w="540" w:type="dxa"/>
            <w:tcBorders>
              <w:top w:val="nil"/>
              <w:left w:val="single" w:sz="4" w:space="0" w:color="auto"/>
              <w:bottom w:val="nil"/>
              <w:right w:val="single" w:sz="4" w:space="0" w:color="auto"/>
            </w:tcBorders>
            <w:vAlign w:val="center"/>
          </w:tcPr>
          <w:p w14:paraId="6B829CA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-2.9</w:t>
            </w:r>
          </w:p>
        </w:tc>
        <w:tc>
          <w:tcPr>
            <w:tcW w:w="540" w:type="dxa"/>
            <w:tcBorders>
              <w:top w:val="nil"/>
              <w:left w:val="single" w:sz="4" w:space="0" w:color="auto"/>
              <w:bottom w:val="nil"/>
              <w:right w:val="single" w:sz="4" w:space="0" w:color="auto"/>
            </w:tcBorders>
            <w:vAlign w:val="center"/>
          </w:tcPr>
          <w:p w14:paraId="0CC03EB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40" w:type="dxa"/>
            <w:tcBorders>
              <w:top w:val="nil"/>
              <w:left w:val="single" w:sz="4" w:space="0" w:color="auto"/>
              <w:bottom w:val="nil"/>
              <w:right w:val="single" w:sz="4" w:space="0" w:color="auto"/>
            </w:tcBorders>
            <w:vAlign w:val="center"/>
          </w:tcPr>
          <w:p w14:paraId="46336F37" w14:textId="285628DA" w:rsidR="009B1CF2" w:rsidRPr="00A808BF" w:rsidRDefault="009B1CF2" w:rsidP="00E9136D">
            <w:pPr>
              <w:ind w:right="113"/>
              <w:jc w:val="right"/>
              <w:rPr>
                <w:rFonts w:eastAsia="Times New Roman"/>
                <w:b/>
                <w:sz w:val="12"/>
                <w:szCs w:val="12"/>
                <w:lang w:val="es-ES"/>
              </w:rPr>
            </w:pPr>
            <w:r w:rsidRPr="00A808BF">
              <w:rPr>
                <w:rFonts w:eastAsia="Times New Roman"/>
                <w:b/>
                <w:sz w:val="12"/>
                <w:szCs w:val="12"/>
                <w:lang w:val="es-ES"/>
              </w:rPr>
              <w:t>-3.</w:t>
            </w:r>
            <w:r w:rsidR="00E9136D">
              <w:rPr>
                <w:rFonts w:eastAsia="Times New Roman"/>
                <w:b/>
                <w:sz w:val="12"/>
                <w:szCs w:val="12"/>
                <w:lang w:val="es-ES"/>
              </w:rPr>
              <w:t>0</w:t>
            </w:r>
          </w:p>
        </w:tc>
        <w:tc>
          <w:tcPr>
            <w:tcW w:w="540" w:type="dxa"/>
            <w:tcBorders>
              <w:top w:val="nil"/>
              <w:left w:val="single" w:sz="4" w:space="0" w:color="auto"/>
              <w:bottom w:val="nil"/>
              <w:right w:val="single" w:sz="4" w:space="0" w:color="auto"/>
            </w:tcBorders>
            <w:vAlign w:val="center"/>
          </w:tcPr>
          <w:p w14:paraId="3E3E5E4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left w:val="single" w:sz="4" w:space="0" w:color="auto"/>
              <w:bottom w:val="nil"/>
              <w:right w:val="single" w:sz="4" w:space="0" w:color="auto"/>
            </w:tcBorders>
            <w:vAlign w:val="center"/>
          </w:tcPr>
          <w:p w14:paraId="79B4C18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left w:val="single" w:sz="4" w:space="0" w:color="auto"/>
              <w:bottom w:val="nil"/>
            </w:tcBorders>
            <w:vAlign w:val="center"/>
          </w:tcPr>
          <w:p w14:paraId="2672620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2139ADB1" w14:textId="77777777" w:rsidTr="00A808BF">
        <w:trPr>
          <w:jc w:val="center"/>
        </w:trPr>
        <w:tc>
          <w:tcPr>
            <w:tcW w:w="2007" w:type="dxa"/>
            <w:tcBorders>
              <w:top w:val="nil"/>
              <w:bottom w:val="nil"/>
              <w:right w:val="single" w:sz="4" w:space="0" w:color="auto"/>
            </w:tcBorders>
          </w:tcPr>
          <w:p w14:paraId="2E9D434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Turquía</w:t>
            </w:r>
          </w:p>
        </w:tc>
        <w:tc>
          <w:tcPr>
            <w:tcW w:w="540" w:type="dxa"/>
            <w:tcBorders>
              <w:top w:val="nil"/>
              <w:left w:val="single" w:sz="4" w:space="0" w:color="auto"/>
              <w:bottom w:val="nil"/>
              <w:right w:val="single" w:sz="4" w:space="0" w:color="auto"/>
            </w:tcBorders>
            <w:vAlign w:val="bottom"/>
          </w:tcPr>
          <w:p w14:paraId="622A3FD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left w:val="single" w:sz="4" w:space="0" w:color="auto"/>
              <w:bottom w:val="nil"/>
              <w:right w:val="single" w:sz="4" w:space="0" w:color="auto"/>
            </w:tcBorders>
            <w:vAlign w:val="bottom"/>
          </w:tcPr>
          <w:p w14:paraId="09DF5D5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left w:val="single" w:sz="4" w:space="0" w:color="auto"/>
              <w:bottom w:val="nil"/>
              <w:right w:val="single" w:sz="4" w:space="0" w:color="auto"/>
            </w:tcBorders>
            <w:vAlign w:val="bottom"/>
          </w:tcPr>
          <w:p w14:paraId="590D9F3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left w:val="single" w:sz="4" w:space="0" w:color="auto"/>
              <w:bottom w:val="nil"/>
              <w:right w:val="single" w:sz="4" w:space="0" w:color="auto"/>
            </w:tcBorders>
            <w:vAlign w:val="bottom"/>
          </w:tcPr>
          <w:p w14:paraId="7AA1C01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8.9</w:t>
            </w:r>
          </w:p>
        </w:tc>
        <w:tc>
          <w:tcPr>
            <w:tcW w:w="540" w:type="dxa"/>
            <w:tcBorders>
              <w:top w:val="nil"/>
              <w:left w:val="single" w:sz="4" w:space="0" w:color="auto"/>
              <w:bottom w:val="nil"/>
              <w:right w:val="single" w:sz="4" w:space="0" w:color="auto"/>
            </w:tcBorders>
            <w:vAlign w:val="bottom"/>
          </w:tcPr>
          <w:p w14:paraId="2A524A2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6.6</w:t>
            </w:r>
          </w:p>
        </w:tc>
        <w:tc>
          <w:tcPr>
            <w:tcW w:w="720" w:type="dxa"/>
            <w:tcBorders>
              <w:top w:val="nil"/>
              <w:left w:val="single" w:sz="4" w:space="0" w:color="auto"/>
              <w:bottom w:val="nil"/>
              <w:right w:val="single" w:sz="4" w:space="0" w:color="auto"/>
            </w:tcBorders>
            <w:vAlign w:val="bottom"/>
          </w:tcPr>
          <w:p w14:paraId="31F2BADE"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6.5</w:t>
            </w:r>
          </w:p>
        </w:tc>
        <w:tc>
          <w:tcPr>
            <w:tcW w:w="540" w:type="dxa"/>
            <w:tcBorders>
              <w:top w:val="nil"/>
              <w:left w:val="single" w:sz="4" w:space="0" w:color="auto"/>
              <w:bottom w:val="nil"/>
              <w:right w:val="single" w:sz="4" w:space="0" w:color="auto"/>
            </w:tcBorders>
            <w:vAlign w:val="bottom"/>
          </w:tcPr>
          <w:p w14:paraId="47F7992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-5.7</w:t>
            </w:r>
          </w:p>
        </w:tc>
        <w:tc>
          <w:tcPr>
            <w:tcW w:w="540" w:type="dxa"/>
            <w:tcBorders>
              <w:top w:val="nil"/>
              <w:left w:val="single" w:sz="4" w:space="0" w:color="auto"/>
              <w:bottom w:val="nil"/>
              <w:right w:val="single" w:sz="4" w:space="0" w:color="auto"/>
            </w:tcBorders>
            <w:vAlign w:val="bottom"/>
          </w:tcPr>
          <w:p w14:paraId="00BC854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left w:val="single" w:sz="4" w:space="0" w:color="auto"/>
              <w:bottom w:val="nil"/>
              <w:right w:val="single" w:sz="4" w:space="0" w:color="auto"/>
            </w:tcBorders>
            <w:vAlign w:val="bottom"/>
          </w:tcPr>
          <w:p w14:paraId="5B52C40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left w:val="single" w:sz="4" w:space="0" w:color="auto"/>
              <w:bottom w:val="nil"/>
              <w:right w:val="single" w:sz="4" w:space="0" w:color="auto"/>
            </w:tcBorders>
            <w:vAlign w:val="bottom"/>
          </w:tcPr>
          <w:p w14:paraId="1136E6F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9.9</w:t>
            </w:r>
          </w:p>
        </w:tc>
        <w:tc>
          <w:tcPr>
            <w:tcW w:w="540" w:type="dxa"/>
            <w:tcBorders>
              <w:top w:val="nil"/>
              <w:left w:val="single" w:sz="4" w:space="0" w:color="auto"/>
              <w:bottom w:val="nil"/>
              <w:right w:val="single" w:sz="4" w:space="0" w:color="auto"/>
            </w:tcBorders>
            <w:vAlign w:val="bottom"/>
          </w:tcPr>
          <w:p w14:paraId="0248177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11.4</w:t>
            </w:r>
          </w:p>
        </w:tc>
        <w:tc>
          <w:tcPr>
            <w:tcW w:w="540" w:type="dxa"/>
            <w:tcBorders>
              <w:top w:val="nil"/>
              <w:left w:val="single" w:sz="4" w:space="0" w:color="auto"/>
              <w:bottom w:val="nil"/>
            </w:tcBorders>
            <w:vAlign w:val="bottom"/>
          </w:tcPr>
          <w:p w14:paraId="22B8A90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11.6</w:t>
            </w:r>
          </w:p>
        </w:tc>
      </w:tr>
      <w:tr w:rsidR="009B1CF2" w:rsidRPr="009B1CF2" w14:paraId="55FA6B02" w14:textId="77777777" w:rsidTr="00A808BF">
        <w:trPr>
          <w:jc w:val="center"/>
        </w:trPr>
        <w:tc>
          <w:tcPr>
            <w:tcW w:w="2007" w:type="dxa"/>
            <w:tcBorders>
              <w:top w:val="nil"/>
              <w:bottom w:val="nil"/>
              <w:right w:val="single" w:sz="4" w:space="0" w:color="auto"/>
            </w:tcBorders>
          </w:tcPr>
          <w:p w14:paraId="3CC92D9A"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Polonia</w:t>
            </w:r>
          </w:p>
        </w:tc>
        <w:tc>
          <w:tcPr>
            <w:tcW w:w="540" w:type="dxa"/>
            <w:tcBorders>
              <w:top w:val="nil"/>
              <w:left w:val="single" w:sz="4" w:space="0" w:color="auto"/>
              <w:bottom w:val="nil"/>
              <w:right w:val="single" w:sz="4" w:space="0" w:color="auto"/>
            </w:tcBorders>
          </w:tcPr>
          <w:p w14:paraId="0CE73FA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left w:val="single" w:sz="4" w:space="0" w:color="auto"/>
              <w:bottom w:val="nil"/>
              <w:right w:val="single" w:sz="4" w:space="0" w:color="auto"/>
            </w:tcBorders>
          </w:tcPr>
          <w:p w14:paraId="1E824AF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left w:val="single" w:sz="4" w:space="0" w:color="auto"/>
              <w:bottom w:val="nil"/>
              <w:right w:val="single" w:sz="4" w:space="0" w:color="auto"/>
            </w:tcBorders>
          </w:tcPr>
          <w:p w14:paraId="07833A1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left w:val="single" w:sz="4" w:space="0" w:color="auto"/>
              <w:bottom w:val="nil"/>
              <w:right w:val="single" w:sz="4" w:space="0" w:color="auto"/>
            </w:tcBorders>
          </w:tcPr>
          <w:p w14:paraId="5057E24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0.0</w:t>
            </w:r>
          </w:p>
        </w:tc>
        <w:tc>
          <w:tcPr>
            <w:tcW w:w="540" w:type="dxa"/>
            <w:tcBorders>
              <w:top w:val="nil"/>
              <w:left w:val="single" w:sz="4" w:space="0" w:color="auto"/>
              <w:bottom w:val="nil"/>
              <w:right w:val="single" w:sz="4" w:space="0" w:color="auto"/>
            </w:tcBorders>
          </w:tcPr>
          <w:p w14:paraId="56900B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720" w:type="dxa"/>
            <w:tcBorders>
              <w:top w:val="nil"/>
              <w:left w:val="single" w:sz="4" w:space="0" w:color="auto"/>
              <w:bottom w:val="nil"/>
              <w:right w:val="single" w:sz="4" w:space="0" w:color="auto"/>
            </w:tcBorders>
          </w:tcPr>
          <w:p w14:paraId="6F1F44F9"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1.2</w:t>
            </w:r>
          </w:p>
        </w:tc>
        <w:tc>
          <w:tcPr>
            <w:tcW w:w="540" w:type="dxa"/>
            <w:tcBorders>
              <w:top w:val="nil"/>
              <w:left w:val="single" w:sz="4" w:space="0" w:color="auto"/>
              <w:bottom w:val="nil"/>
              <w:right w:val="single" w:sz="4" w:space="0" w:color="auto"/>
            </w:tcBorders>
          </w:tcPr>
          <w:p w14:paraId="1DA5F33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left w:val="single" w:sz="4" w:space="0" w:color="auto"/>
              <w:bottom w:val="nil"/>
              <w:right w:val="single" w:sz="4" w:space="0" w:color="auto"/>
            </w:tcBorders>
          </w:tcPr>
          <w:p w14:paraId="026FD75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40" w:type="dxa"/>
            <w:tcBorders>
              <w:top w:val="nil"/>
              <w:left w:val="single" w:sz="4" w:space="0" w:color="auto"/>
              <w:bottom w:val="nil"/>
              <w:right w:val="single" w:sz="4" w:space="0" w:color="auto"/>
            </w:tcBorders>
          </w:tcPr>
          <w:p w14:paraId="17A559C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top w:val="nil"/>
              <w:left w:val="single" w:sz="4" w:space="0" w:color="auto"/>
              <w:bottom w:val="nil"/>
              <w:right w:val="single" w:sz="4" w:space="0" w:color="auto"/>
            </w:tcBorders>
          </w:tcPr>
          <w:p w14:paraId="3D722F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9.0</w:t>
            </w:r>
          </w:p>
        </w:tc>
        <w:tc>
          <w:tcPr>
            <w:tcW w:w="540" w:type="dxa"/>
            <w:tcBorders>
              <w:top w:val="nil"/>
              <w:left w:val="single" w:sz="4" w:space="0" w:color="auto"/>
              <w:bottom w:val="nil"/>
              <w:right w:val="single" w:sz="4" w:space="0" w:color="auto"/>
            </w:tcBorders>
          </w:tcPr>
          <w:p w14:paraId="6092CE1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8.0</w:t>
            </w:r>
          </w:p>
        </w:tc>
        <w:tc>
          <w:tcPr>
            <w:tcW w:w="540" w:type="dxa"/>
            <w:tcBorders>
              <w:top w:val="nil"/>
              <w:left w:val="single" w:sz="4" w:space="0" w:color="auto"/>
              <w:bottom w:val="nil"/>
            </w:tcBorders>
          </w:tcPr>
          <w:p w14:paraId="7AF9A34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7.7</w:t>
            </w:r>
          </w:p>
        </w:tc>
      </w:tr>
      <w:tr w:rsidR="009B1CF2" w:rsidRPr="009B1CF2" w14:paraId="4CC1F280" w14:textId="77777777" w:rsidTr="00A808BF">
        <w:trPr>
          <w:jc w:val="center"/>
        </w:trPr>
        <w:tc>
          <w:tcPr>
            <w:tcW w:w="2007" w:type="dxa"/>
            <w:tcBorders>
              <w:top w:val="nil"/>
              <w:bottom w:val="nil"/>
              <w:right w:val="single" w:sz="4" w:space="0" w:color="auto"/>
            </w:tcBorders>
          </w:tcPr>
          <w:p w14:paraId="02E801D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Rumania</w:t>
            </w:r>
          </w:p>
        </w:tc>
        <w:tc>
          <w:tcPr>
            <w:tcW w:w="540" w:type="dxa"/>
            <w:tcBorders>
              <w:top w:val="nil"/>
              <w:left w:val="single" w:sz="4" w:space="0" w:color="auto"/>
              <w:bottom w:val="nil"/>
              <w:right w:val="single" w:sz="4" w:space="0" w:color="auto"/>
            </w:tcBorders>
          </w:tcPr>
          <w:p w14:paraId="199AA3D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left w:val="single" w:sz="4" w:space="0" w:color="auto"/>
              <w:bottom w:val="nil"/>
              <w:right w:val="single" w:sz="4" w:space="0" w:color="auto"/>
            </w:tcBorders>
          </w:tcPr>
          <w:p w14:paraId="5C8B4A3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left w:val="single" w:sz="4" w:space="0" w:color="auto"/>
              <w:bottom w:val="nil"/>
              <w:right w:val="single" w:sz="4" w:space="0" w:color="auto"/>
            </w:tcBorders>
          </w:tcPr>
          <w:p w14:paraId="66AA0C4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left w:val="single" w:sz="4" w:space="0" w:color="auto"/>
              <w:bottom w:val="nil"/>
              <w:right w:val="single" w:sz="4" w:space="0" w:color="auto"/>
            </w:tcBorders>
          </w:tcPr>
          <w:p w14:paraId="24A698E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tcPr>
          <w:p w14:paraId="2645835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720" w:type="dxa"/>
            <w:tcBorders>
              <w:top w:val="nil"/>
              <w:left w:val="single" w:sz="4" w:space="0" w:color="auto"/>
              <w:bottom w:val="nil"/>
              <w:right w:val="single" w:sz="4" w:space="0" w:color="auto"/>
            </w:tcBorders>
          </w:tcPr>
          <w:p w14:paraId="53CD09EE"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2.4</w:t>
            </w:r>
          </w:p>
        </w:tc>
        <w:tc>
          <w:tcPr>
            <w:tcW w:w="540" w:type="dxa"/>
            <w:tcBorders>
              <w:top w:val="nil"/>
              <w:left w:val="single" w:sz="4" w:space="0" w:color="auto"/>
              <w:bottom w:val="nil"/>
              <w:right w:val="single" w:sz="4" w:space="0" w:color="auto"/>
            </w:tcBorders>
          </w:tcPr>
          <w:p w14:paraId="7C02E16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left w:val="single" w:sz="4" w:space="0" w:color="auto"/>
              <w:bottom w:val="nil"/>
              <w:right w:val="single" w:sz="4" w:space="0" w:color="auto"/>
            </w:tcBorders>
          </w:tcPr>
          <w:p w14:paraId="158EF70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left w:val="single" w:sz="4" w:space="0" w:color="auto"/>
              <w:bottom w:val="nil"/>
              <w:right w:val="single" w:sz="4" w:space="0" w:color="auto"/>
            </w:tcBorders>
          </w:tcPr>
          <w:p w14:paraId="28A6A42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1BF3336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40" w:type="dxa"/>
            <w:tcBorders>
              <w:top w:val="nil"/>
              <w:left w:val="single" w:sz="4" w:space="0" w:color="auto"/>
              <w:bottom w:val="nil"/>
              <w:right w:val="single" w:sz="4" w:space="0" w:color="auto"/>
            </w:tcBorders>
          </w:tcPr>
          <w:p w14:paraId="5C07866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c>
          <w:tcPr>
            <w:tcW w:w="540" w:type="dxa"/>
            <w:tcBorders>
              <w:top w:val="nil"/>
              <w:left w:val="single" w:sz="4" w:space="0" w:color="auto"/>
              <w:bottom w:val="nil"/>
            </w:tcBorders>
          </w:tcPr>
          <w:p w14:paraId="27BB052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r>
      <w:tr w:rsidR="009B1CF2" w:rsidRPr="009B1CF2" w14:paraId="4B11B634" w14:textId="77777777" w:rsidTr="00A808BF">
        <w:trPr>
          <w:jc w:val="center"/>
        </w:trPr>
        <w:tc>
          <w:tcPr>
            <w:tcW w:w="2007" w:type="dxa"/>
            <w:tcBorders>
              <w:top w:val="nil"/>
              <w:bottom w:val="nil"/>
              <w:right w:val="single" w:sz="4" w:space="0" w:color="auto"/>
            </w:tcBorders>
          </w:tcPr>
          <w:p w14:paraId="4780F4F6"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Hungría</w:t>
            </w:r>
          </w:p>
        </w:tc>
        <w:tc>
          <w:tcPr>
            <w:tcW w:w="540" w:type="dxa"/>
            <w:tcBorders>
              <w:top w:val="nil"/>
              <w:left w:val="single" w:sz="4" w:space="0" w:color="auto"/>
              <w:bottom w:val="nil"/>
              <w:right w:val="single" w:sz="4" w:space="0" w:color="auto"/>
            </w:tcBorders>
          </w:tcPr>
          <w:p w14:paraId="394260C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left w:val="single" w:sz="4" w:space="0" w:color="auto"/>
              <w:bottom w:val="nil"/>
              <w:right w:val="single" w:sz="4" w:space="0" w:color="auto"/>
            </w:tcBorders>
          </w:tcPr>
          <w:p w14:paraId="4286885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left w:val="single" w:sz="4" w:space="0" w:color="auto"/>
              <w:bottom w:val="nil"/>
              <w:right w:val="single" w:sz="4" w:space="0" w:color="auto"/>
            </w:tcBorders>
          </w:tcPr>
          <w:p w14:paraId="3E29E66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68789AA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left w:val="single" w:sz="4" w:space="0" w:color="auto"/>
              <w:bottom w:val="nil"/>
              <w:right w:val="single" w:sz="4" w:space="0" w:color="auto"/>
            </w:tcBorders>
          </w:tcPr>
          <w:p w14:paraId="75D1594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0.0</w:t>
            </w:r>
          </w:p>
        </w:tc>
        <w:tc>
          <w:tcPr>
            <w:tcW w:w="720" w:type="dxa"/>
            <w:tcBorders>
              <w:top w:val="nil"/>
              <w:left w:val="single" w:sz="4" w:space="0" w:color="auto"/>
              <w:bottom w:val="nil"/>
              <w:right w:val="single" w:sz="4" w:space="0" w:color="auto"/>
            </w:tcBorders>
          </w:tcPr>
          <w:p w14:paraId="7B5AA825"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2.3</w:t>
            </w:r>
          </w:p>
        </w:tc>
        <w:tc>
          <w:tcPr>
            <w:tcW w:w="540" w:type="dxa"/>
            <w:tcBorders>
              <w:top w:val="nil"/>
              <w:left w:val="single" w:sz="4" w:space="0" w:color="auto"/>
              <w:bottom w:val="nil"/>
              <w:right w:val="single" w:sz="4" w:space="0" w:color="auto"/>
            </w:tcBorders>
          </w:tcPr>
          <w:p w14:paraId="5FF18BD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left w:val="single" w:sz="4" w:space="0" w:color="auto"/>
              <w:bottom w:val="nil"/>
              <w:right w:val="single" w:sz="4" w:space="0" w:color="auto"/>
            </w:tcBorders>
          </w:tcPr>
          <w:p w14:paraId="508F002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left w:val="single" w:sz="4" w:space="0" w:color="auto"/>
              <w:bottom w:val="nil"/>
              <w:right w:val="single" w:sz="4" w:space="0" w:color="auto"/>
            </w:tcBorders>
          </w:tcPr>
          <w:p w14:paraId="190525A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left w:val="single" w:sz="4" w:space="0" w:color="auto"/>
              <w:bottom w:val="nil"/>
              <w:right w:val="single" w:sz="4" w:space="0" w:color="auto"/>
            </w:tcBorders>
          </w:tcPr>
          <w:p w14:paraId="7582DA9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7.8</w:t>
            </w:r>
          </w:p>
        </w:tc>
        <w:tc>
          <w:tcPr>
            <w:tcW w:w="540" w:type="dxa"/>
            <w:tcBorders>
              <w:top w:val="nil"/>
              <w:left w:val="single" w:sz="4" w:space="0" w:color="auto"/>
              <w:bottom w:val="nil"/>
              <w:right w:val="single" w:sz="4" w:space="0" w:color="auto"/>
            </w:tcBorders>
          </w:tcPr>
          <w:p w14:paraId="380A0D3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c>
          <w:tcPr>
            <w:tcW w:w="540" w:type="dxa"/>
            <w:tcBorders>
              <w:top w:val="nil"/>
              <w:left w:val="single" w:sz="4" w:space="0" w:color="auto"/>
              <w:bottom w:val="nil"/>
            </w:tcBorders>
          </w:tcPr>
          <w:p w14:paraId="74AA79D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7.4</w:t>
            </w:r>
          </w:p>
        </w:tc>
      </w:tr>
      <w:tr w:rsidR="009B1CF2" w:rsidRPr="009B1CF2" w14:paraId="695DAAD3" w14:textId="77777777" w:rsidTr="00A808BF">
        <w:trPr>
          <w:jc w:val="center"/>
        </w:trPr>
        <w:tc>
          <w:tcPr>
            <w:tcW w:w="2007" w:type="dxa"/>
            <w:tcBorders>
              <w:top w:val="nil"/>
              <w:bottom w:val="nil"/>
              <w:right w:val="single" w:sz="4" w:space="0" w:color="auto"/>
            </w:tcBorders>
          </w:tcPr>
          <w:p w14:paraId="0187B53F"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Bulgaria</w:t>
            </w:r>
            <w:r w:rsidRPr="00A808BF">
              <w:rPr>
                <w:rFonts w:eastAsia="Times New Roman"/>
                <w:sz w:val="12"/>
                <w:szCs w:val="12"/>
                <w:u w:val="single"/>
                <w:vertAlign w:val="superscript"/>
                <w:lang w:val="es-ES"/>
              </w:rPr>
              <w:t>5</w:t>
            </w:r>
            <w:r w:rsidRPr="00A808BF">
              <w:rPr>
                <w:rFonts w:eastAsia="Times New Roman"/>
                <w:sz w:val="12"/>
                <w:szCs w:val="12"/>
                <w:vertAlign w:val="superscript"/>
                <w:lang w:val="es-ES"/>
              </w:rPr>
              <w:t>/</w:t>
            </w:r>
          </w:p>
        </w:tc>
        <w:tc>
          <w:tcPr>
            <w:tcW w:w="540" w:type="dxa"/>
            <w:tcBorders>
              <w:top w:val="nil"/>
              <w:left w:val="single" w:sz="4" w:space="0" w:color="auto"/>
              <w:bottom w:val="nil"/>
              <w:right w:val="single" w:sz="4" w:space="0" w:color="auto"/>
            </w:tcBorders>
          </w:tcPr>
          <w:p w14:paraId="4E40E8E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w:t>
            </w:r>
          </w:p>
        </w:tc>
        <w:tc>
          <w:tcPr>
            <w:tcW w:w="540" w:type="dxa"/>
            <w:tcBorders>
              <w:top w:val="nil"/>
              <w:left w:val="single" w:sz="4" w:space="0" w:color="auto"/>
              <w:bottom w:val="nil"/>
              <w:right w:val="single" w:sz="4" w:space="0" w:color="auto"/>
            </w:tcBorders>
          </w:tcPr>
          <w:p w14:paraId="2B330C6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left w:val="single" w:sz="4" w:space="0" w:color="auto"/>
              <w:bottom w:val="nil"/>
              <w:right w:val="single" w:sz="4" w:space="0" w:color="auto"/>
            </w:tcBorders>
          </w:tcPr>
          <w:p w14:paraId="606EC8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1503E42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left w:val="single" w:sz="4" w:space="0" w:color="auto"/>
              <w:bottom w:val="nil"/>
              <w:right w:val="single" w:sz="4" w:space="0" w:color="auto"/>
            </w:tcBorders>
          </w:tcPr>
          <w:p w14:paraId="5154CE3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720" w:type="dxa"/>
            <w:tcBorders>
              <w:top w:val="nil"/>
              <w:left w:val="single" w:sz="4" w:space="0" w:color="auto"/>
              <w:bottom w:val="nil"/>
              <w:right w:val="single" w:sz="4" w:space="0" w:color="auto"/>
            </w:tcBorders>
          </w:tcPr>
          <w:p w14:paraId="3D78CFBB"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0.6</w:t>
            </w:r>
          </w:p>
        </w:tc>
        <w:tc>
          <w:tcPr>
            <w:tcW w:w="540" w:type="dxa"/>
            <w:tcBorders>
              <w:top w:val="nil"/>
              <w:left w:val="single" w:sz="4" w:space="0" w:color="auto"/>
              <w:bottom w:val="nil"/>
              <w:right w:val="single" w:sz="4" w:space="0" w:color="auto"/>
            </w:tcBorders>
          </w:tcPr>
          <w:p w14:paraId="5EC5FD0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0.0</w:t>
            </w:r>
          </w:p>
        </w:tc>
        <w:tc>
          <w:tcPr>
            <w:tcW w:w="540" w:type="dxa"/>
            <w:tcBorders>
              <w:top w:val="nil"/>
              <w:left w:val="single" w:sz="4" w:space="0" w:color="auto"/>
              <w:bottom w:val="nil"/>
              <w:right w:val="single" w:sz="4" w:space="0" w:color="auto"/>
            </w:tcBorders>
          </w:tcPr>
          <w:p w14:paraId="6C896D1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left w:val="single" w:sz="4" w:space="0" w:color="auto"/>
              <w:bottom w:val="nil"/>
              <w:right w:val="single" w:sz="4" w:space="0" w:color="auto"/>
            </w:tcBorders>
          </w:tcPr>
          <w:p w14:paraId="6F2B840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left w:val="single" w:sz="4" w:space="0" w:color="auto"/>
              <w:bottom w:val="nil"/>
              <w:right w:val="single" w:sz="4" w:space="0" w:color="auto"/>
            </w:tcBorders>
          </w:tcPr>
          <w:p w14:paraId="73756E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11.5</w:t>
            </w:r>
          </w:p>
        </w:tc>
        <w:tc>
          <w:tcPr>
            <w:tcW w:w="540" w:type="dxa"/>
            <w:tcBorders>
              <w:top w:val="nil"/>
              <w:left w:val="single" w:sz="4" w:space="0" w:color="auto"/>
              <w:bottom w:val="nil"/>
              <w:right w:val="single" w:sz="4" w:space="0" w:color="auto"/>
            </w:tcBorders>
          </w:tcPr>
          <w:p w14:paraId="7B26334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10.9</w:t>
            </w:r>
          </w:p>
        </w:tc>
        <w:tc>
          <w:tcPr>
            <w:tcW w:w="540" w:type="dxa"/>
            <w:tcBorders>
              <w:top w:val="nil"/>
              <w:left w:val="single" w:sz="4" w:space="0" w:color="auto"/>
              <w:bottom w:val="nil"/>
            </w:tcBorders>
          </w:tcPr>
          <w:p w14:paraId="038A3D4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10.3</w:t>
            </w:r>
          </w:p>
        </w:tc>
      </w:tr>
      <w:tr w:rsidR="009B1CF2" w:rsidRPr="009B1CF2" w14:paraId="3880ACE8" w14:textId="77777777" w:rsidTr="00A808BF">
        <w:trPr>
          <w:jc w:val="center"/>
        </w:trPr>
        <w:tc>
          <w:tcPr>
            <w:tcW w:w="2007" w:type="dxa"/>
            <w:tcBorders>
              <w:top w:val="nil"/>
              <w:bottom w:val="nil"/>
              <w:right w:val="single" w:sz="4" w:space="0" w:color="auto"/>
            </w:tcBorders>
          </w:tcPr>
          <w:p w14:paraId="496F5F48"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Serbia</w:t>
            </w:r>
          </w:p>
        </w:tc>
        <w:tc>
          <w:tcPr>
            <w:tcW w:w="540" w:type="dxa"/>
            <w:tcBorders>
              <w:top w:val="nil"/>
              <w:left w:val="single" w:sz="4" w:space="0" w:color="auto"/>
              <w:bottom w:val="nil"/>
              <w:right w:val="single" w:sz="4" w:space="0" w:color="auto"/>
            </w:tcBorders>
          </w:tcPr>
          <w:p w14:paraId="50A725F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40" w:type="dxa"/>
            <w:tcBorders>
              <w:top w:val="nil"/>
              <w:left w:val="single" w:sz="4" w:space="0" w:color="auto"/>
              <w:bottom w:val="nil"/>
              <w:right w:val="single" w:sz="4" w:space="0" w:color="auto"/>
            </w:tcBorders>
          </w:tcPr>
          <w:p w14:paraId="3767981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left w:val="single" w:sz="4" w:space="0" w:color="auto"/>
              <w:bottom w:val="nil"/>
              <w:right w:val="single" w:sz="4" w:space="0" w:color="auto"/>
            </w:tcBorders>
          </w:tcPr>
          <w:p w14:paraId="1C43A39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left w:val="single" w:sz="4" w:space="0" w:color="auto"/>
              <w:bottom w:val="nil"/>
              <w:right w:val="single" w:sz="4" w:space="0" w:color="auto"/>
            </w:tcBorders>
          </w:tcPr>
          <w:p w14:paraId="69E8D3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left w:val="single" w:sz="4" w:space="0" w:color="auto"/>
              <w:bottom w:val="nil"/>
              <w:right w:val="single" w:sz="4" w:space="0" w:color="auto"/>
            </w:tcBorders>
          </w:tcPr>
          <w:p w14:paraId="240FF6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720" w:type="dxa"/>
            <w:tcBorders>
              <w:top w:val="nil"/>
              <w:left w:val="single" w:sz="4" w:space="0" w:color="auto"/>
              <w:bottom w:val="nil"/>
              <w:right w:val="single" w:sz="4" w:space="0" w:color="auto"/>
            </w:tcBorders>
          </w:tcPr>
          <w:p w14:paraId="1378AA64"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4.0</w:t>
            </w:r>
          </w:p>
        </w:tc>
        <w:tc>
          <w:tcPr>
            <w:tcW w:w="540" w:type="dxa"/>
            <w:tcBorders>
              <w:top w:val="nil"/>
              <w:left w:val="single" w:sz="4" w:space="0" w:color="auto"/>
              <w:bottom w:val="nil"/>
              <w:right w:val="single" w:sz="4" w:space="0" w:color="auto"/>
            </w:tcBorders>
          </w:tcPr>
          <w:p w14:paraId="172D84F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40" w:type="dxa"/>
            <w:tcBorders>
              <w:top w:val="nil"/>
              <w:left w:val="single" w:sz="4" w:space="0" w:color="auto"/>
              <w:bottom w:val="nil"/>
              <w:right w:val="single" w:sz="4" w:space="0" w:color="auto"/>
            </w:tcBorders>
          </w:tcPr>
          <w:p w14:paraId="48539C6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left w:val="single" w:sz="4" w:space="0" w:color="auto"/>
              <w:bottom w:val="nil"/>
              <w:right w:val="single" w:sz="4" w:space="0" w:color="auto"/>
            </w:tcBorders>
          </w:tcPr>
          <w:p w14:paraId="4AA3E1A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left w:val="single" w:sz="4" w:space="0" w:color="auto"/>
              <w:bottom w:val="nil"/>
              <w:right w:val="single" w:sz="4" w:space="0" w:color="auto"/>
            </w:tcBorders>
          </w:tcPr>
          <w:p w14:paraId="0C13988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19.7</w:t>
            </w:r>
          </w:p>
        </w:tc>
        <w:tc>
          <w:tcPr>
            <w:tcW w:w="540" w:type="dxa"/>
            <w:tcBorders>
              <w:top w:val="nil"/>
              <w:left w:val="single" w:sz="4" w:space="0" w:color="auto"/>
              <w:bottom w:val="nil"/>
              <w:right w:val="single" w:sz="4" w:space="0" w:color="auto"/>
            </w:tcBorders>
          </w:tcPr>
          <w:p w14:paraId="66CF785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20.7</w:t>
            </w:r>
          </w:p>
        </w:tc>
        <w:tc>
          <w:tcPr>
            <w:tcW w:w="540" w:type="dxa"/>
            <w:tcBorders>
              <w:top w:val="nil"/>
              <w:left w:val="single" w:sz="4" w:space="0" w:color="auto"/>
              <w:bottom w:val="nil"/>
            </w:tcBorders>
          </w:tcPr>
          <w:p w14:paraId="404880C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22.0</w:t>
            </w:r>
          </w:p>
        </w:tc>
      </w:tr>
      <w:tr w:rsidR="009B1CF2" w:rsidRPr="009B1CF2" w14:paraId="4FF07C7B" w14:textId="77777777" w:rsidTr="00A808BF">
        <w:trPr>
          <w:jc w:val="center"/>
        </w:trPr>
        <w:tc>
          <w:tcPr>
            <w:tcW w:w="2007" w:type="dxa"/>
            <w:tcBorders>
              <w:top w:val="nil"/>
            </w:tcBorders>
          </w:tcPr>
          <w:p w14:paraId="3B76019F"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Croacia</w:t>
            </w:r>
          </w:p>
        </w:tc>
        <w:tc>
          <w:tcPr>
            <w:tcW w:w="540" w:type="dxa"/>
            <w:tcBorders>
              <w:top w:val="nil"/>
            </w:tcBorders>
          </w:tcPr>
          <w:p w14:paraId="3928F33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tcBorders>
          </w:tcPr>
          <w:p w14:paraId="7307AFF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tcBorders>
          </w:tcPr>
          <w:p w14:paraId="08F683E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tcBorders>
          </w:tcPr>
          <w:p w14:paraId="742F016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tcBorders>
          </w:tcPr>
          <w:p w14:paraId="4A56512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720" w:type="dxa"/>
            <w:tcBorders>
              <w:top w:val="nil"/>
            </w:tcBorders>
          </w:tcPr>
          <w:p w14:paraId="6C74BCA7"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0.9</w:t>
            </w:r>
          </w:p>
        </w:tc>
        <w:tc>
          <w:tcPr>
            <w:tcW w:w="540" w:type="dxa"/>
            <w:tcBorders>
              <w:top w:val="nil"/>
            </w:tcBorders>
          </w:tcPr>
          <w:p w14:paraId="5576514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40" w:type="dxa"/>
            <w:tcBorders>
              <w:top w:val="nil"/>
            </w:tcBorders>
          </w:tcPr>
          <w:p w14:paraId="3719A98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tcBorders>
          </w:tcPr>
          <w:p w14:paraId="6E8A510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tcBorders>
          </w:tcPr>
          <w:p w14:paraId="4B52517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17.1</w:t>
            </w:r>
          </w:p>
        </w:tc>
        <w:tc>
          <w:tcPr>
            <w:tcW w:w="540" w:type="dxa"/>
            <w:tcBorders>
              <w:top w:val="nil"/>
            </w:tcBorders>
          </w:tcPr>
          <w:p w14:paraId="300CA57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17.3</w:t>
            </w:r>
          </w:p>
        </w:tc>
        <w:tc>
          <w:tcPr>
            <w:tcW w:w="540" w:type="dxa"/>
            <w:tcBorders>
              <w:top w:val="nil"/>
            </w:tcBorders>
          </w:tcPr>
          <w:p w14:paraId="7035830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16.9</w:t>
            </w:r>
          </w:p>
        </w:tc>
      </w:tr>
      <w:tr w:rsidR="009B1CF2" w:rsidRPr="009B1CF2" w14:paraId="78CA27E4" w14:textId="77777777" w:rsidTr="008B3DA6">
        <w:trPr>
          <w:jc w:val="center"/>
        </w:trPr>
        <w:tc>
          <w:tcPr>
            <w:tcW w:w="8667" w:type="dxa"/>
            <w:gridSpan w:val="13"/>
            <w:tcBorders>
              <w:left w:val="nil"/>
              <w:bottom w:val="nil"/>
              <w:right w:val="nil"/>
            </w:tcBorders>
          </w:tcPr>
          <w:p w14:paraId="57E46BE6" w14:textId="2532D013" w:rsidR="009B1CF2" w:rsidRPr="00A808BF" w:rsidRDefault="009B1CF2" w:rsidP="00A808BF">
            <w:pPr>
              <w:ind w:left="284" w:hanging="284"/>
              <w:jc w:val="both"/>
              <w:rPr>
                <w:rFonts w:eastAsia="Times New Roman"/>
                <w:sz w:val="12"/>
                <w:szCs w:val="12"/>
                <w:lang w:val="es-ES"/>
              </w:rPr>
            </w:pPr>
            <w:r w:rsidRPr="00A808BF">
              <w:rPr>
                <w:rFonts w:eastAsia="Times New Roman"/>
                <w:sz w:val="12"/>
                <w:szCs w:val="12"/>
                <w:lang w:val="es-ES"/>
              </w:rPr>
              <w:t>Nota: Los datos correspondientes a algunos países se basan en el ejercicio fiscal. Véase en el cuadro F del apéndice estadístico</w:t>
            </w:r>
            <w:r w:rsidR="00A808BF">
              <w:rPr>
                <w:rFonts w:eastAsia="Times New Roman"/>
                <w:sz w:val="12"/>
                <w:szCs w:val="12"/>
                <w:lang w:val="es-ES"/>
              </w:rPr>
              <w:t xml:space="preserve"> del documento original, </w:t>
            </w:r>
            <w:r w:rsidRPr="00A808BF">
              <w:rPr>
                <w:rFonts w:eastAsia="Times New Roman"/>
                <w:sz w:val="12"/>
                <w:szCs w:val="12"/>
                <w:lang w:val="es-ES"/>
              </w:rPr>
              <w:t xml:space="preserve"> la lista de economías con períodos de declaración excepcionales.</w:t>
            </w:r>
          </w:p>
          <w:p w14:paraId="710C4200" w14:textId="29652D2A" w:rsidR="009B1CF2" w:rsidRPr="00A808BF" w:rsidRDefault="009B1CF2" w:rsidP="00A808BF">
            <w:pPr>
              <w:ind w:left="130" w:hanging="130"/>
              <w:jc w:val="both"/>
              <w:rPr>
                <w:rFonts w:eastAsia="Times New Roman"/>
                <w:sz w:val="12"/>
                <w:szCs w:val="12"/>
                <w:lang w:val="es-ES"/>
              </w:rPr>
            </w:pPr>
            <w:r w:rsidRPr="00A808BF">
              <w:rPr>
                <w:rFonts w:eastAsia="Times New Roman"/>
                <w:sz w:val="12"/>
                <w:szCs w:val="12"/>
                <w:u w:val="single"/>
                <w:lang w:val="es-ES"/>
              </w:rPr>
              <w:t>1</w:t>
            </w:r>
            <w:r w:rsidRPr="00A808BF">
              <w:rPr>
                <w:rFonts w:eastAsia="Times New Roman"/>
                <w:sz w:val="12"/>
                <w:szCs w:val="12"/>
                <w:lang w:val="es-ES"/>
              </w:rPr>
              <w:t>/ La variación de los precios al consumidor se indica como promedio anual. Las variaciones de diciembre a diciembre pueden encontrarse en los cuadros A6 y A7 del apéndice estadístico</w:t>
            </w:r>
            <w:r w:rsidR="00A808BF">
              <w:rPr>
                <w:rFonts w:eastAsia="Times New Roman"/>
                <w:sz w:val="12"/>
                <w:szCs w:val="12"/>
                <w:lang w:val="es-ES"/>
              </w:rPr>
              <w:t xml:space="preserve"> del documento original</w:t>
            </w:r>
            <w:r w:rsidRPr="00A808BF">
              <w:rPr>
                <w:rFonts w:eastAsia="Times New Roman"/>
                <w:sz w:val="12"/>
                <w:szCs w:val="12"/>
                <w:lang w:val="es-ES"/>
              </w:rPr>
              <w:t>.</w:t>
            </w:r>
          </w:p>
          <w:p w14:paraId="7E4CE5F8"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2</w:t>
            </w:r>
            <w:r w:rsidRPr="00A808BF">
              <w:rPr>
                <w:rFonts w:eastAsia="Times New Roman"/>
                <w:sz w:val="12"/>
                <w:szCs w:val="12"/>
                <w:lang w:val="es-ES"/>
              </w:rPr>
              <w:t>/ Porcentaje del PIB.</w:t>
            </w:r>
          </w:p>
          <w:p w14:paraId="671F518E"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3</w:t>
            </w:r>
            <w:r w:rsidRPr="00A808BF">
              <w:rPr>
                <w:rFonts w:eastAsia="Times New Roman"/>
                <w:sz w:val="12"/>
                <w:szCs w:val="12"/>
                <w:lang w:val="es-ES"/>
              </w:rPr>
              <w:t>/ Porcentaje. Las definiciones nacionales de desempleo pueden variar.</w:t>
            </w:r>
          </w:p>
          <w:p w14:paraId="3788952B"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4</w:t>
            </w:r>
            <w:r w:rsidRPr="00A808BF">
              <w:rPr>
                <w:rFonts w:eastAsia="Times New Roman"/>
                <w:sz w:val="12"/>
                <w:szCs w:val="12"/>
                <w:lang w:val="es-ES"/>
              </w:rPr>
              <w:t>/ Excluye Lituania. Saldo en cuenta corriente con corrección de discrepancias en las declaraciones sobre transacciones dentro de la zona del euro.</w:t>
            </w:r>
          </w:p>
          <w:p w14:paraId="0DCF71A2"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5</w:t>
            </w:r>
            <w:r w:rsidRPr="00A808BF">
              <w:rPr>
                <w:rFonts w:eastAsia="Times New Roman"/>
                <w:sz w:val="12"/>
                <w:szCs w:val="12"/>
                <w:lang w:val="es-ES"/>
              </w:rPr>
              <w:t>/ Basado en el índice armonizado de precios al consumidor de Eurostat.</w:t>
            </w:r>
          </w:p>
          <w:p w14:paraId="6A47139D"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6</w:t>
            </w:r>
            <w:r w:rsidRPr="00A808BF">
              <w:rPr>
                <w:rFonts w:eastAsia="Times New Roman"/>
                <w:sz w:val="12"/>
                <w:szCs w:val="12"/>
                <w:lang w:val="es-ES"/>
              </w:rPr>
              <w:t>/ Incluye Albania, Bosnia y Herzegovina, Kosovo, Montenegro, la ex República Yugoslava de Macedonia.</w:t>
            </w:r>
          </w:p>
          <w:p w14:paraId="43C85DFA"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lang w:val="es-ES"/>
              </w:rPr>
              <w:t>FUENTE: FMI.</w:t>
            </w:r>
          </w:p>
        </w:tc>
      </w:tr>
    </w:tbl>
    <w:p w14:paraId="7E69617E" w14:textId="77777777" w:rsidR="009B1CF2" w:rsidRDefault="009B1CF2" w:rsidP="009B1CF2">
      <w:pPr>
        <w:rPr>
          <w:rFonts w:eastAsia="Times New Roman"/>
          <w:lang w:val="es-ES"/>
        </w:rPr>
      </w:pPr>
    </w:p>
    <w:p w14:paraId="3586ED69" w14:textId="77777777" w:rsidR="0098560F" w:rsidRDefault="0098560F" w:rsidP="009B1CF2">
      <w:pPr>
        <w:rPr>
          <w:rFonts w:eastAsia="Times New Roman"/>
          <w:lang w:val="es-ES"/>
        </w:rPr>
      </w:pPr>
    </w:p>
    <w:p w14:paraId="144EB0C9" w14:textId="77777777" w:rsidR="0098560F" w:rsidRPr="009B1CF2" w:rsidRDefault="0098560F" w:rsidP="009B1CF2">
      <w:pPr>
        <w:rPr>
          <w:rFonts w:eastAsia="Times New Roman"/>
          <w:lang w:val="es-ES"/>
        </w:rPr>
      </w:pPr>
    </w:p>
    <w:p w14:paraId="2BCE0ECB"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impulso dado a las políticas desde finales de 2014 ha incluido la finalización de la evaluación integral de los bancos, la puesta en marcha del Mecanismo Único de Supervisión, el anuncio de planes para la creación de un Fondo Europeo para Inversiones Estratégicas a partir de fondos de la Unión Europea ya existentes y de aportaciones de los distintos países para catalizar la inversión privada, y la emisión de nuevas orientaciones para fomentar la flexibilidad con arreglo al Pacto de Estabilidad y Crecimiento en los países que lleven a cabo reformas estructurales o inversiones. No obstante, en lo que se refiere a una orientación fiscal más acomodaticia y la reducción de los cuantiosos superávits en cuenta corriente, los avances registrados en las principales economías del núcleo de la zona han sido modestos. </w:t>
      </w:r>
    </w:p>
    <w:p w14:paraId="1B1A4A81"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Las perspectivas para la zona del euro se mantienen prácticamente sin variación respecto a la edición de octubre de 2014 del informe WEO. Se espera que el crecimiento aumente 1.5% en 2015, desde 0.9% de 2014. El mayor crecimiento de 2015 es un reflejo del mayor dinamismo del crecimiento registrado a finales de 2014, los incrementos salariales favorables, un estímulo a corto plazo procedente de los bajos precios del petróleo y las medidas del BCE que han ayudado a mejorar las condiciones financieras. Más allá de 2015, se espera que el crecimiento en la zona del euro se sitúe en torno a 1.5%, como consecuencia de las limitaciones tanto por el lado de la oferta como por el de la demanda. Según las previsiones, la inflación será de aproximadamente 0.1% en 2015 y se espera que se mantenga por debajo del objetivo de estabilidad de precios a mediano plazo del BCE durante el período de referencia, debido a la persistente atonía. </w:t>
      </w:r>
    </w:p>
    <w:p w14:paraId="5AA8F8A6"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ECONOMÍAS AVANZADAS DE EUROPA: EFECTOS DERIVADOS DEL ESTANCAMIENTO EN LA ZONA DEL EURO</w:t>
      </w:r>
    </w:p>
    <w:p w14:paraId="1F57E494" w14:textId="08D46D87" w:rsidR="009B1CF2" w:rsidRPr="009B1CF2" w:rsidRDefault="009B1CF2" w:rsidP="009B1CF2">
      <w:pPr>
        <w:spacing w:after="120"/>
        <w:ind w:left="1134" w:right="1134"/>
        <w:jc w:val="center"/>
        <w:rPr>
          <w:rFonts w:eastAsia="Calibri"/>
          <w:b/>
          <w:sz w:val="20"/>
          <w:szCs w:val="20"/>
          <w:lang w:eastAsia="en-US"/>
        </w:rPr>
      </w:pPr>
      <w:r w:rsidRPr="009B1CF2">
        <w:rPr>
          <w:rFonts w:eastAsia="Calibri"/>
          <w:b/>
          <w:sz w:val="20"/>
          <w:szCs w:val="20"/>
          <w:lang w:eastAsia="en-US"/>
        </w:rPr>
        <w:t>La recuperación en la zona del euro sigue siendo desigual. Las perspectivas apuntan a un crecimiento modesto. La inflación baja y generalizada ha hecho subir las tasas de interés reales. Aunque ha mejorado, persiste la fragmentación financiera. La deuda y el desempleo se mant</w:t>
      </w:r>
      <w:r w:rsidR="00B23EA2">
        <w:rPr>
          <w:rFonts w:eastAsia="Calibri"/>
          <w:b/>
          <w:sz w:val="20"/>
          <w:szCs w:val="20"/>
          <w:lang w:eastAsia="en-US"/>
        </w:rPr>
        <w:t>ienen elevados, y los superávit</w:t>
      </w:r>
      <w:r w:rsidRPr="009B1CF2">
        <w:rPr>
          <w:rFonts w:eastAsia="Calibri"/>
          <w:b/>
          <w:sz w:val="20"/>
          <w:szCs w:val="20"/>
          <w:lang w:eastAsia="en-US"/>
        </w:rPr>
        <w:t xml:space="preserve"> en cuenta corriente han aumentado. Los mercados financieros, que incorporaron a los precios las medidas de política del BCE, siguieron prestando apoyo</w:t>
      </w:r>
    </w:p>
    <w:tbl>
      <w:tblPr>
        <w:tblW w:w="0" w:type="auto"/>
        <w:tblLook w:val="04A0" w:firstRow="1" w:lastRow="0" w:firstColumn="1" w:lastColumn="0" w:noHBand="0" w:noVBand="1"/>
      </w:tblPr>
      <w:tblGrid>
        <w:gridCol w:w="8828"/>
      </w:tblGrid>
      <w:tr w:rsidR="009B1CF2" w:rsidRPr="009B1CF2" w14:paraId="2C66F83F" w14:textId="77777777" w:rsidTr="008B3DA6">
        <w:tc>
          <w:tcPr>
            <w:tcW w:w="8828" w:type="dxa"/>
          </w:tcPr>
          <w:p w14:paraId="09E8C74D"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MONETARIO.pptx!273"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127D957" wp14:editId="20C9C99B">
                  <wp:extent cx="3651250" cy="2113262"/>
                  <wp:effectExtent l="0" t="0" r="6350" b="1905"/>
                  <wp:docPr id="1588" name="Imagen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4607" t="11367" r="15318" b="16614"/>
                          <a:stretch/>
                        </pic:blipFill>
                        <pic:spPr bwMode="auto">
                          <a:xfrm>
                            <a:off x="0" y="0"/>
                            <a:ext cx="3651250" cy="2113262"/>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42329E07" w14:textId="77777777" w:rsid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MONETARIO.pptx!274"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8480178" wp14:editId="7D6D4157">
                  <wp:extent cx="3614420" cy="1828800"/>
                  <wp:effectExtent l="0" t="0" r="5080" b="0"/>
                  <wp:docPr id="1592" name="Imagen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65" cstate="print">
                            <a:extLst>
                              <a:ext uri="{28A0092B-C50C-407E-A947-70E740481C1C}">
                                <a14:useLocalDpi xmlns:a14="http://schemas.microsoft.com/office/drawing/2010/main" val="0"/>
                              </a:ext>
                            </a:extLst>
                          </a:blip>
                          <a:srcRect l="15036" t="7547" r="14471" b="28964"/>
                          <a:stretch>
                            <a:fillRect/>
                          </a:stretch>
                        </pic:blipFill>
                        <pic:spPr bwMode="auto">
                          <a:xfrm>
                            <a:off x="0" y="0"/>
                            <a:ext cx="3614420" cy="182880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309F7FD0" w14:textId="77777777" w:rsidR="0098560F" w:rsidRPr="009B1CF2" w:rsidRDefault="0098560F" w:rsidP="009B1CF2">
            <w:pPr>
              <w:jc w:val="center"/>
              <w:rPr>
                <w:rFonts w:ascii="Calibri" w:eastAsia="Calibri" w:hAnsi="Calibri"/>
                <w:sz w:val="22"/>
                <w:szCs w:val="22"/>
                <w:lang w:eastAsia="en-US"/>
              </w:rPr>
            </w:pPr>
          </w:p>
          <w:p w14:paraId="2AE55034"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MONETARIO.pptx!275"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6370A469" wp14:editId="73602915">
                  <wp:extent cx="3793490" cy="1995805"/>
                  <wp:effectExtent l="0" t="0" r="0" b="4445"/>
                  <wp:docPr id="1595" name="Imagen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66" cstate="print">
                            <a:extLst>
                              <a:ext uri="{28A0092B-C50C-407E-A947-70E740481C1C}">
                                <a14:useLocalDpi xmlns:a14="http://schemas.microsoft.com/office/drawing/2010/main" val="0"/>
                              </a:ext>
                            </a:extLst>
                          </a:blip>
                          <a:srcRect l="14752" r="18022" b="37289"/>
                          <a:stretch>
                            <a:fillRect/>
                          </a:stretch>
                        </pic:blipFill>
                        <pic:spPr bwMode="auto">
                          <a:xfrm>
                            <a:off x="0" y="0"/>
                            <a:ext cx="3793490" cy="199580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3A42B6AE" w14:textId="77101341" w:rsidR="009B1CF2" w:rsidRPr="009B1CF2" w:rsidRDefault="00864AD3" w:rsidP="009B1CF2">
            <w:pPr>
              <w:jc w:val="center"/>
              <w:rPr>
                <w:rFonts w:ascii="Calibri" w:eastAsia="Calibri" w:hAnsi="Calibri"/>
                <w:sz w:val="22"/>
                <w:szCs w:val="22"/>
                <w:lang w:eastAsia="en-US"/>
              </w:rPr>
            </w:pPr>
            <w:r>
              <w:fldChar w:fldCharType="begin"/>
            </w:r>
            <w:r>
              <w:instrText xml:space="preserve"> LINK PowerPoint.Slide.8 "D:\\2015\\ABRIL\\DOCUMENTOS\\25.-GRÁFICAS  DEL FONDO MONETARIO.pptx!276" "" \a \p </w:instrText>
            </w:r>
            <w:r>
              <w:fldChar w:fldCharType="separate"/>
            </w:r>
            <w:r>
              <w:rPr>
                <w:noProof/>
                <w:lang w:eastAsia="es-MX"/>
              </w:rPr>
              <w:drawing>
                <wp:inline distT="0" distB="0" distL="0" distR="0" wp14:anchorId="3EBF9B73" wp14:editId="57BB67E9">
                  <wp:extent cx="4404995" cy="153225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67" cstate="print">
                            <a:extLst>
                              <a:ext uri="{28A0092B-C50C-407E-A947-70E740481C1C}">
                                <a14:useLocalDpi xmlns:a14="http://schemas.microsoft.com/office/drawing/2010/main" val="0"/>
                              </a:ext>
                            </a:extLst>
                          </a:blip>
                          <a:srcRect l="10077" t="2522" r="17581" b="52643"/>
                          <a:stretch>
                            <a:fillRect/>
                          </a:stretch>
                        </pic:blipFill>
                        <pic:spPr bwMode="auto">
                          <a:xfrm>
                            <a:off x="0" y="0"/>
                            <a:ext cx="4404995" cy="1532255"/>
                          </a:xfrm>
                          <a:prstGeom prst="rect">
                            <a:avLst/>
                          </a:prstGeom>
                          <a:noFill/>
                          <a:ln>
                            <a:noFill/>
                          </a:ln>
                        </pic:spPr>
                      </pic:pic>
                    </a:graphicData>
                  </a:graphic>
                </wp:inline>
              </w:drawing>
            </w:r>
            <w:r>
              <w:fldChar w:fldCharType="end"/>
            </w:r>
          </w:p>
        </w:tc>
      </w:tr>
    </w:tbl>
    <w:p w14:paraId="054E43DC" w14:textId="77777777" w:rsidR="009B1CF2" w:rsidRPr="009B1CF2" w:rsidRDefault="009B1CF2" w:rsidP="009B1CF2">
      <w:pPr>
        <w:spacing w:after="360" w:line="360" w:lineRule="auto"/>
        <w:ind w:right="-159"/>
        <w:jc w:val="center"/>
        <w:rPr>
          <w:rFonts w:eastAsia="Calibri"/>
          <w:sz w:val="26"/>
          <w:szCs w:val="26"/>
          <w:lang w:eastAsia="en-US"/>
        </w:rPr>
      </w:pPr>
    </w:p>
    <w:p w14:paraId="268E008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perspectivas a mediano plazo de modesto crecimiento y débil inflación para la zona del euro se deben, en gran medida, al legado de la crisis, a pesar de los efectos positivos generados por las medidas del BCE. La elevada carga de la deuda real, los balances riesgosos, el elevado desempleo y el pesimismo de los inversionistas con respecto a la solidez de la recuperación seguirán frenando la demanda. La evaluación integral mejoró la transparencia de los balances bancarios y la confianza, pero es probable que los flujos de crédito sigan siendo débiles hasta que los balances bancarios ganen solidez y la demanda de crédito se recupere. La incertidumbre y el pesimismo en torno a la </w:t>
      </w:r>
      <w:r w:rsidRPr="009B1CF2">
        <w:rPr>
          <w:rFonts w:eastAsia="Calibri"/>
          <w:sz w:val="26"/>
          <w:szCs w:val="26"/>
          <w:lang w:eastAsia="en-US"/>
        </w:rPr>
        <w:lastRenderedPageBreak/>
        <w:t xml:space="preserve">determinación de la zona del euro para abordar los retos económicos probablemente mermarán la confianza, como también lo hará la evolución política nacional y mundial (como en el caso de los hechos ocurridos recientemente en Grecia, así como en Rusia y Ucrania). A pesar de haber avanzado, los obstáculos a la productividad y la competitividad, profundamente arraigados, seguramente afectarán al potencial de crecimiento a mediano plazo de la región. </w:t>
      </w:r>
    </w:p>
    <w:p w14:paraId="30B6F7F6"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prevé que el crecimiento del producto sea más sólido en la mayoría de las demás economías avanzadas de Europa (cuadro siguiente). En el Reino Unido se espera un crecimiento sostenido y continuado, impulsado por la disminución de los precios del petróleo y una mejora de las condiciones de los mercados financieros. La fuerte recuperación y las sólidas perspectivas de Suecia se ven respaldadas por el consumo y una inversión en vivienda de dos dígitos. En Suiza, no obstante, la pronunciada apreciación del tipo de cambio probablemente afectará al crecimiento a corto plazo. La inflación se ha moderado en todos los países como consecuencia del descenso del precio del petróleo y —en mayor o menor medida— debido a la disminución de la inflación en la zona del euro. Estos países han adoptado medidas macroprudenciales para mitigar los problemas de estabilidad financiera derivados de sus mercados inmobiliarios, pero todavía no se ha demostrado que tales medidas sean suficientes para contener los riesgos. </w:t>
      </w:r>
    </w:p>
    <w:p w14:paraId="587A8EB6" w14:textId="77777777" w:rsidR="00B23EA2" w:rsidRDefault="00B23EA2" w:rsidP="009B1CF2">
      <w:pPr>
        <w:spacing w:after="360" w:line="360" w:lineRule="auto"/>
        <w:ind w:right="-159"/>
        <w:jc w:val="both"/>
        <w:rPr>
          <w:rFonts w:eastAsia="Calibri"/>
          <w:sz w:val="26"/>
          <w:szCs w:val="26"/>
          <w:lang w:eastAsia="en-US"/>
        </w:rPr>
      </w:pPr>
    </w:p>
    <w:p w14:paraId="70C1BE92" w14:textId="77777777" w:rsidR="00B23EA2" w:rsidRDefault="00B23EA2" w:rsidP="009B1CF2">
      <w:pPr>
        <w:spacing w:after="360" w:line="360" w:lineRule="auto"/>
        <w:ind w:right="-159"/>
        <w:jc w:val="both"/>
        <w:rPr>
          <w:rFonts w:eastAsia="Calibri"/>
          <w:sz w:val="26"/>
          <w:szCs w:val="26"/>
          <w:lang w:eastAsia="en-US"/>
        </w:rPr>
      </w:pPr>
    </w:p>
    <w:p w14:paraId="53B8DACD" w14:textId="77777777" w:rsidR="00B23EA2" w:rsidRDefault="00B23EA2" w:rsidP="009B1CF2">
      <w:pPr>
        <w:spacing w:after="360" w:line="360" w:lineRule="auto"/>
        <w:ind w:right="-159"/>
        <w:jc w:val="both"/>
        <w:rPr>
          <w:rFonts w:eastAsia="Calibri"/>
          <w:sz w:val="26"/>
          <w:szCs w:val="26"/>
          <w:lang w:eastAsia="en-US"/>
        </w:rPr>
      </w:pPr>
    </w:p>
    <w:p w14:paraId="3983DD2C" w14:textId="77777777" w:rsidR="009A3433" w:rsidRDefault="009A3433" w:rsidP="009B1CF2">
      <w:pPr>
        <w:spacing w:after="360" w:line="360" w:lineRule="auto"/>
        <w:ind w:right="-159"/>
        <w:jc w:val="both"/>
        <w:rPr>
          <w:rFonts w:eastAsia="Calibri"/>
          <w:sz w:val="26"/>
          <w:szCs w:val="26"/>
          <w:lang w:eastAsia="en-US"/>
        </w:rPr>
      </w:pPr>
    </w:p>
    <w:p w14:paraId="75AEDCBC" w14:textId="77777777" w:rsidR="00B23EA2" w:rsidRDefault="00B23EA2" w:rsidP="009B1CF2">
      <w:pPr>
        <w:spacing w:after="360" w:line="360" w:lineRule="auto"/>
        <w:ind w:right="-159"/>
        <w:jc w:val="both"/>
        <w:rPr>
          <w:rFonts w:eastAsia="Calibri"/>
          <w:sz w:val="26"/>
          <w:szCs w:val="26"/>
          <w:lang w:eastAsia="en-US"/>
        </w:rPr>
      </w:pP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9"/>
        <w:gridCol w:w="540"/>
        <w:gridCol w:w="590"/>
        <w:gridCol w:w="567"/>
        <w:gridCol w:w="567"/>
        <w:gridCol w:w="567"/>
        <w:gridCol w:w="567"/>
        <w:gridCol w:w="562"/>
        <w:gridCol w:w="540"/>
        <w:gridCol w:w="540"/>
        <w:gridCol w:w="540"/>
        <w:gridCol w:w="540"/>
        <w:gridCol w:w="540"/>
      </w:tblGrid>
      <w:tr w:rsidR="009B1CF2" w:rsidRPr="00A808BF" w14:paraId="274645D3" w14:textId="77777777" w:rsidTr="008B3DA6">
        <w:trPr>
          <w:jc w:val="center"/>
        </w:trPr>
        <w:tc>
          <w:tcPr>
            <w:tcW w:w="9499" w:type="dxa"/>
            <w:gridSpan w:val="13"/>
            <w:tcBorders>
              <w:top w:val="nil"/>
              <w:left w:val="nil"/>
              <w:right w:val="nil"/>
            </w:tcBorders>
          </w:tcPr>
          <w:p w14:paraId="77CE7224" w14:textId="77777777" w:rsidR="00A808BF" w:rsidRDefault="009B1CF2" w:rsidP="009B1CF2">
            <w:pPr>
              <w:jc w:val="center"/>
              <w:rPr>
                <w:rFonts w:eastAsia="Times New Roman"/>
                <w:b/>
                <w:sz w:val="14"/>
                <w:szCs w:val="14"/>
                <w:lang w:val="es-ES"/>
              </w:rPr>
            </w:pPr>
            <w:r w:rsidRPr="00A808BF">
              <w:rPr>
                <w:rFonts w:eastAsia="Times New Roman"/>
                <w:b/>
                <w:sz w:val="14"/>
                <w:szCs w:val="14"/>
                <w:lang w:val="es-ES"/>
              </w:rPr>
              <w:lastRenderedPageBreak/>
              <w:t xml:space="preserve">PIB REAL, PRECIOS AL CONSUMIDOR, SALDO EN CUENTA CORRIENTE Y DESEMPLEO EN ALGUNAS </w:t>
            </w:r>
          </w:p>
          <w:p w14:paraId="765365B1" w14:textId="45FDD832"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ECONOMÍAS DE ASIA Y EL PACÍFICO</w:t>
            </w:r>
          </w:p>
          <w:p w14:paraId="78712285"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-Variación porcentual anual, salvo indicación en contrario-</w:t>
            </w:r>
          </w:p>
        </w:tc>
      </w:tr>
      <w:tr w:rsidR="009B1CF2" w:rsidRPr="009B1CF2" w14:paraId="3F306A95" w14:textId="77777777" w:rsidTr="008B3DA6">
        <w:trPr>
          <w:jc w:val="center"/>
        </w:trPr>
        <w:tc>
          <w:tcPr>
            <w:tcW w:w="2839" w:type="dxa"/>
            <w:vMerge w:val="restart"/>
          </w:tcPr>
          <w:p w14:paraId="4DF16CB8" w14:textId="77777777" w:rsidR="009B1CF2" w:rsidRPr="00A808BF" w:rsidRDefault="009B1CF2" w:rsidP="009B1CF2">
            <w:pPr>
              <w:rPr>
                <w:rFonts w:eastAsia="Times New Roman"/>
                <w:b/>
                <w:sz w:val="12"/>
                <w:szCs w:val="12"/>
                <w:lang w:val="es-ES"/>
              </w:rPr>
            </w:pPr>
          </w:p>
        </w:tc>
        <w:tc>
          <w:tcPr>
            <w:tcW w:w="1697" w:type="dxa"/>
            <w:gridSpan w:val="3"/>
            <w:shd w:val="clear" w:color="auto" w:fill="auto"/>
            <w:vAlign w:val="center"/>
          </w:tcPr>
          <w:p w14:paraId="41E4AA1B"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PIB real</w:t>
            </w:r>
          </w:p>
        </w:tc>
        <w:tc>
          <w:tcPr>
            <w:tcW w:w="1701" w:type="dxa"/>
            <w:gridSpan w:val="3"/>
            <w:shd w:val="clear" w:color="auto" w:fill="auto"/>
            <w:vAlign w:val="center"/>
          </w:tcPr>
          <w:p w14:paraId="7C5EB0C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Precios al consumidor</w:t>
            </w:r>
            <w:r w:rsidRPr="00A808BF">
              <w:rPr>
                <w:rFonts w:eastAsia="Times New Roman"/>
                <w:b/>
                <w:sz w:val="12"/>
                <w:szCs w:val="12"/>
                <w:u w:val="single"/>
                <w:vertAlign w:val="superscript"/>
                <w:lang w:val="es-ES"/>
              </w:rPr>
              <w:t>1</w:t>
            </w:r>
            <w:r w:rsidRPr="00A808BF">
              <w:rPr>
                <w:rFonts w:eastAsia="Times New Roman"/>
                <w:b/>
                <w:sz w:val="12"/>
                <w:szCs w:val="12"/>
                <w:vertAlign w:val="superscript"/>
                <w:lang w:val="es-ES"/>
              </w:rPr>
              <w:t>/</w:t>
            </w:r>
          </w:p>
        </w:tc>
        <w:tc>
          <w:tcPr>
            <w:tcW w:w="1642" w:type="dxa"/>
            <w:gridSpan w:val="3"/>
            <w:vAlign w:val="center"/>
          </w:tcPr>
          <w:p w14:paraId="57B10D33"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Saldo en cuenta corriente</w:t>
            </w:r>
            <w:r w:rsidRPr="00A808BF">
              <w:rPr>
                <w:rFonts w:eastAsia="Times New Roman"/>
                <w:b/>
                <w:sz w:val="12"/>
                <w:szCs w:val="12"/>
                <w:u w:val="single"/>
                <w:vertAlign w:val="superscript"/>
                <w:lang w:val="es-ES"/>
              </w:rPr>
              <w:t>2</w:t>
            </w:r>
            <w:r w:rsidRPr="00A808BF">
              <w:rPr>
                <w:rFonts w:eastAsia="Times New Roman"/>
                <w:b/>
                <w:sz w:val="12"/>
                <w:szCs w:val="12"/>
                <w:vertAlign w:val="superscript"/>
                <w:lang w:val="es-ES"/>
              </w:rPr>
              <w:t>/</w:t>
            </w:r>
          </w:p>
        </w:tc>
        <w:tc>
          <w:tcPr>
            <w:tcW w:w="1620" w:type="dxa"/>
            <w:gridSpan w:val="3"/>
            <w:vAlign w:val="center"/>
          </w:tcPr>
          <w:p w14:paraId="3E5432D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Desempleo</w:t>
            </w:r>
            <w:r w:rsidRPr="00A808BF">
              <w:rPr>
                <w:rFonts w:eastAsia="Times New Roman"/>
                <w:b/>
                <w:sz w:val="12"/>
                <w:szCs w:val="12"/>
                <w:u w:val="single"/>
                <w:vertAlign w:val="superscript"/>
                <w:lang w:val="es-ES"/>
              </w:rPr>
              <w:t>3</w:t>
            </w:r>
            <w:r w:rsidRPr="00A808BF">
              <w:rPr>
                <w:rFonts w:eastAsia="Times New Roman"/>
                <w:b/>
                <w:sz w:val="12"/>
                <w:szCs w:val="12"/>
                <w:vertAlign w:val="superscript"/>
                <w:lang w:val="es-ES"/>
              </w:rPr>
              <w:t>/</w:t>
            </w:r>
          </w:p>
        </w:tc>
      </w:tr>
      <w:tr w:rsidR="009B1CF2" w:rsidRPr="009B1CF2" w14:paraId="72CCB2C6" w14:textId="77777777" w:rsidTr="008B3DA6">
        <w:trPr>
          <w:jc w:val="center"/>
        </w:trPr>
        <w:tc>
          <w:tcPr>
            <w:tcW w:w="2839" w:type="dxa"/>
            <w:vMerge/>
          </w:tcPr>
          <w:p w14:paraId="3F759A3D" w14:textId="77777777" w:rsidR="009B1CF2" w:rsidRPr="00A808BF" w:rsidRDefault="009B1CF2" w:rsidP="009B1CF2">
            <w:pPr>
              <w:rPr>
                <w:rFonts w:eastAsia="Times New Roman"/>
                <w:b/>
                <w:sz w:val="12"/>
                <w:szCs w:val="12"/>
                <w:lang w:val="es-ES"/>
              </w:rPr>
            </w:pPr>
          </w:p>
        </w:tc>
        <w:tc>
          <w:tcPr>
            <w:tcW w:w="540" w:type="dxa"/>
            <w:vMerge w:val="restart"/>
            <w:shd w:val="clear" w:color="auto" w:fill="auto"/>
            <w:vAlign w:val="bottom"/>
          </w:tcPr>
          <w:p w14:paraId="1DAAF44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57" w:type="dxa"/>
            <w:gridSpan w:val="2"/>
            <w:shd w:val="clear" w:color="auto" w:fill="auto"/>
            <w:vAlign w:val="center"/>
          </w:tcPr>
          <w:p w14:paraId="4269DA4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67" w:type="dxa"/>
            <w:vMerge w:val="restart"/>
            <w:shd w:val="clear" w:color="auto" w:fill="auto"/>
            <w:vAlign w:val="bottom"/>
          </w:tcPr>
          <w:p w14:paraId="71E890A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34" w:type="dxa"/>
            <w:gridSpan w:val="2"/>
            <w:shd w:val="clear" w:color="auto" w:fill="auto"/>
            <w:vAlign w:val="center"/>
          </w:tcPr>
          <w:p w14:paraId="0201C72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62" w:type="dxa"/>
            <w:vMerge w:val="restart"/>
            <w:vAlign w:val="bottom"/>
          </w:tcPr>
          <w:p w14:paraId="194232C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vAlign w:val="center"/>
          </w:tcPr>
          <w:p w14:paraId="1BA3EA8C"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vAlign w:val="bottom"/>
          </w:tcPr>
          <w:p w14:paraId="7A69C1F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vAlign w:val="center"/>
          </w:tcPr>
          <w:p w14:paraId="4642268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r>
      <w:tr w:rsidR="009B1CF2" w:rsidRPr="009B1CF2" w14:paraId="70744D34" w14:textId="77777777" w:rsidTr="008B3DA6">
        <w:trPr>
          <w:jc w:val="center"/>
        </w:trPr>
        <w:tc>
          <w:tcPr>
            <w:tcW w:w="2839" w:type="dxa"/>
            <w:vMerge/>
          </w:tcPr>
          <w:p w14:paraId="31F35CCD" w14:textId="77777777" w:rsidR="009B1CF2" w:rsidRPr="00A808BF" w:rsidRDefault="009B1CF2" w:rsidP="009B1CF2">
            <w:pPr>
              <w:rPr>
                <w:rFonts w:eastAsia="Times New Roman"/>
                <w:b/>
                <w:sz w:val="12"/>
                <w:szCs w:val="12"/>
                <w:lang w:val="es-ES"/>
              </w:rPr>
            </w:pPr>
          </w:p>
        </w:tc>
        <w:tc>
          <w:tcPr>
            <w:tcW w:w="540" w:type="dxa"/>
            <w:vMerge/>
          </w:tcPr>
          <w:p w14:paraId="603BFC83" w14:textId="77777777" w:rsidR="009B1CF2" w:rsidRPr="00A808BF" w:rsidRDefault="009B1CF2" w:rsidP="009B1CF2">
            <w:pPr>
              <w:ind w:right="57"/>
              <w:jc w:val="center"/>
              <w:rPr>
                <w:rFonts w:eastAsia="Times New Roman"/>
                <w:b/>
                <w:sz w:val="12"/>
                <w:szCs w:val="12"/>
                <w:lang w:val="es-ES"/>
              </w:rPr>
            </w:pPr>
          </w:p>
        </w:tc>
        <w:tc>
          <w:tcPr>
            <w:tcW w:w="590" w:type="dxa"/>
          </w:tcPr>
          <w:p w14:paraId="785317D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67" w:type="dxa"/>
          </w:tcPr>
          <w:p w14:paraId="26C65C5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67" w:type="dxa"/>
            <w:vMerge/>
          </w:tcPr>
          <w:p w14:paraId="22D02E60" w14:textId="77777777" w:rsidR="009B1CF2" w:rsidRPr="00A808BF" w:rsidRDefault="009B1CF2" w:rsidP="009B1CF2">
            <w:pPr>
              <w:ind w:right="57"/>
              <w:jc w:val="center"/>
              <w:rPr>
                <w:rFonts w:eastAsia="Times New Roman"/>
                <w:b/>
                <w:sz w:val="12"/>
                <w:szCs w:val="12"/>
                <w:lang w:val="es-ES"/>
              </w:rPr>
            </w:pPr>
          </w:p>
        </w:tc>
        <w:tc>
          <w:tcPr>
            <w:tcW w:w="567" w:type="dxa"/>
          </w:tcPr>
          <w:p w14:paraId="278FCD07"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67" w:type="dxa"/>
          </w:tcPr>
          <w:p w14:paraId="52B9493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62" w:type="dxa"/>
            <w:vMerge/>
          </w:tcPr>
          <w:p w14:paraId="293A2A8E" w14:textId="77777777" w:rsidR="009B1CF2" w:rsidRPr="00A808BF" w:rsidRDefault="009B1CF2" w:rsidP="009B1CF2">
            <w:pPr>
              <w:ind w:right="113"/>
              <w:jc w:val="center"/>
              <w:rPr>
                <w:rFonts w:eastAsia="Times New Roman"/>
                <w:b/>
                <w:sz w:val="12"/>
                <w:szCs w:val="12"/>
                <w:lang w:val="es-ES"/>
              </w:rPr>
            </w:pPr>
          </w:p>
        </w:tc>
        <w:tc>
          <w:tcPr>
            <w:tcW w:w="540" w:type="dxa"/>
          </w:tcPr>
          <w:p w14:paraId="377F5B2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2BD9EC7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6252967B" w14:textId="77777777" w:rsidR="009B1CF2" w:rsidRPr="00A808BF" w:rsidRDefault="009B1CF2" w:rsidP="009B1CF2">
            <w:pPr>
              <w:ind w:right="113"/>
              <w:jc w:val="center"/>
              <w:rPr>
                <w:rFonts w:eastAsia="Times New Roman"/>
                <w:b/>
                <w:sz w:val="12"/>
                <w:szCs w:val="12"/>
                <w:lang w:val="es-ES"/>
              </w:rPr>
            </w:pPr>
          </w:p>
        </w:tc>
        <w:tc>
          <w:tcPr>
            <w:tcW w:w="540" w:type="dxa"/>
          </w:tcPr>
          <w:p w14:paraId="1563DE6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3358CB1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r>
      <w:tr w:rsidR="009B1CF2" w:rsidRPr="009B1CF2" w14:paraId="7C7DD91A" w14:textId="77777777" w:rsidTr="00A808BF">
        <w:trPr>
          <w:jc w:val="center"/>
        </w:trPr>
        <w:tc>
          <w:tcPr>
            <w:tcW w:w="2839" w:type="dxa"/>
            <w:tcBorders>
              <w:bottom w:val="nil"/>
            </w:tcBorders>
          </w:tcPr>
          <w:p w14:paraId="38C2BCE7" w14:textId="77777777" w:rsidR="009B1CF2" w:rsidRPr="00A808BF" w:rsidRDefault="009B1CF2" w:rsidP="009B1CF2">
            <w:pPr>
              <w:jc w:val="both"/>
              <w:rPr>
                <w:rFonts w:eastAsia="Times New Roman"/>
                <w:b/>
                <w:sz w:val="12"/>
                <w:szCs w:val="12"/>
                <w:lang w:val="es-ES"/>
              </w:rPr>
            </w:pPr>
            <w:r w:rsidRPr="00A808BF">
              <w:rPr>
                <w:rFonts w:eastAsia="Times New Roman"/>
                <w:b/>
                <w:sz w:val="12"/>
                <w:szCs w:val="12"/>
                <w:lang w:val="es-ES"/>
              </w:rPr>
              <w:t>Asia</w:t>
            </w:r>
          </w:p>
        </w:tc>
        <w:tc>
          <w:tcPr>
            <w:tcW w:w="540" w:type="dxa"/>
            <w:tcBorders>
              <w:bottom w:val="nil"/>
            </w:tcBorders>
          </w:tcPr>
          <w:p w14:paraId="21D5AAE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5.6</w:t>
            </w:r>
          </w:p>
        </w:tc>
        <w:tc>
          <w:tcPr>
            <w:tcW w:w="590" w:type="dxa"/>
            <w:tcBorders>
              <w:bottom w:val="nil"/>
            </w:tcBorders>
          </w:tcPr>
          <w:p w14:paraId="1D09661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5.6</w:t>
            </w:r>
          </w:p>
        </w:tc>
        <w:tc>
          <w:tcPr>
            <w:tcW w:w="567" w:type="dxa"/>
            <w:tcBorders>
              <w:bottom w:val="nil"/>
            </w:tcBorders>
          </w:tcPr>
          <w:p w14:paraId="0C9E267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5.5</w:t>
            </w:r>
          </w:p>
        </w:tc>
        <w:tc>
          <w:tcPr>
            <w:tcW w:w="567" w:type="dxa"/>
            <w:tcBorders>
              <w:bottom w:val="nil"/>
            </w:tcBorders>
          </w:tcPr>
          <w:p w14:paraId="2A379B1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3.2</w:t>
            </w:r>
          </w:p>
        </w:tc>
        <w:tc>
          <w:tcPr>
            <w:tcW w:w="567" w:type="dxa"/>
            <w:tcBorders>
              <w:bottom w:val="nil"/>
            </w:tcBorders>
          </w:tcPr>
          <w:p w14:paraId="3244DF9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2.6</w:t>
            </w:r>
          </w:p>
        </w:tc>
        <w:tc>
          <w:tcPr>
            <w:tcW w:w="567" w:type="dxa"/>
            <w:tcBorders>
              <w:bottom w:val="nil"/>
            </w:tcBorders>
          </w:tcPr>
          <w:p w14:paraId="1741E2A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2.8</w:t>
            </w:r>
          </w:p>
        </w:tc>
        <w:tc>
          <w:tcPr>
            <w:tcW w:w="562" w:type="dxa"/>
            <w:tcBorders>
              <w:bottom w:val="nil"/>
            </w:tcBorders>
          </w:tcPr>
          <w:p w14:paraId="55A192E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1.6</w:t>
            </w:r>
          </w:p>
        </w:tc>
        <w:tc>
          <w:tcPr>
            <w:tcW w:w="540" w:type="dxa"/>
            <w:tcBorders>
              <w:bottom w:val="nil"/>
            </w:tcBorders>
          </w:tcPr>
          <w:p w14:paraId="328DD7D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40" w:type="dxa"/>
            <w:tcBorders>
              <w:bottom w:val="nil"/>
            </w:tcBorders>
          </w:tcPr>
          <w:p w14:paraId="069E8C8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2.2</w:t>
            </w:r>
          </w:p>
        </w:tc>
        <w:tc>
          <w:tcPr>
            <w:tcW w:w="540" w:type="dxa"/>
            <w:tcBorders>
              <w:bottom w:val="nil"/>
            </w:tcBorders>
          </w:tcPr>
          <w:p w14:paraId="0B82EC9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38BA4D5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5E36EF0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0160B3EC" w14:textId="77777777" w:rsidTr="00A808BF">
        <w:trPr>
          <w:jc w:val="center"/>
        </w:trPr>
        <w:tc>
          <w:tcPr>
            <w:tcW w:w="2839" w:type="dxa"/>
            <w:tcBorders>
              <w:top w:val="nil"/>
              <w:bottom w:val="nil"/>
            </w:tcBorders>
          </w:tcPr>
          <w:p w14:paraId="02FEC5AB"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Economías avanzadas de Asia</w:t>
            </w:r>
          </w:p>
        </w:tc>
        <w:tc>
          <w:tcPr>
            <w:tcW w:w="540" w:type="dxa"/>
            <w:tcBorders>
              <w:top w:val="nil"/>
              <w:bottom w:val="nil"/>
            </w:tcBorders>
          </w:tcPr>
          <w:p w14:paraId="02F1D11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1.6</w:t>
            </w:r>
          </w:p>
        </w:tc>
        <w:tc>
          <w:tcPr>
            <w:tcW w:w="590" w:type="dxa"/>
            <w:tcBorders>
              <w:top w:val="nil"/>
              <w:bottom w:val="nil"/>
            </w:tcBorders>
          </w:tcPr>
          <w:p w14:paraId="11F034E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2.2</w:t>
            </w:r>
          </w:p>
        </w:tc>
        <w:tc>
          <w:tcPr>
            <w:tcW w:w="567" w:type="dxa"/>
            <w:tcBorders>
              <w:top w:val="nil"/>
              <w:bottom w:val="nil"/>
            </w:tcBorders>
          </w:tcPr>
          <w:p w14:paraId="4729896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67" w:type="dxa"/>
            <w:tcBorders>
              <w:top w:val="nil"/>
              <w:bottom w:val="nil"/>
            </w:tcBorders>
          </w:tcPr>
          <w:p w14:paraId="1F8A102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2.2</w:t>
            </w:r>
          </w:p>
        </w:tc>
        <w:tc>
          <w:tcPr>
            <w:tcW w:w="567" w:type="dxa"/>
            <w:tcBorders>
              <w:top w:val="nil"/>
              <w:bottom w:val="nil"/>
            </w:tcBorders>
          </w:tcPr>
          <w:p w14:paraId="0E9B867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1.2</w:t>
            </w:r>
          </w:p>
        </w:tc>
        <w:tc>
          <w:tcPr>
            <w:tcW w:w="567" w:type="dxa"/>
            <w:tcBorders>
              <w:top w:val="nil"/>
              <w:bottom w:val="nil"/>
            </w:tcBorders>
          </w:tcPr>
          <w:p w14:paraId="7F8216D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1.6</w:t>
            </w:r>
          </w:p>
        </w:tc>
        <w:tc>
          <w:tcPr>
            <w:tcW w:w="562" w:type="dxa"/>
            <w:tcBorders>
              <w:top w:val="nil"/>
              <w:bottom w:val="nil"/>
            </w:tcBorders>
          </w:tcPr>
          <w:p w14:paraId="3CB3E66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2.2</w:t>
            </w:r>
          </w:p>
        </w:tc>
        <w:tc>
          <w:tcPr>
            <w:tcW w:w="540" w:type="dxa"/>
            <w:tcBorders>
              <w:top w:val="nil"/>
              <w:bottom w:val="nil"/>
            </w:tcBorders>
          </w:tcPr>
          <w:p w14:paraId="5C9A568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3.1</w:t>
            </w:r>
          </w:p>
        </w:tc>
        <w:tc>
          <w:tcPr>
            <w:tcW w:w="540" w:type="dxa"/>
            <w:tcBorders>
              <w:top w:val="nil"/>
              <w:bottom w:val="nil"/>
            </w:tcBorders>
          </w:tcPr>
          <w:p w14:paraId="27F66ED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2.8</w:t>
            </w:r>
          </w:p>
        </w:tc>
        <w:tc>
          <w:tcPr>
            <w:tcW w:w="540" w:type="dxa"/>
            <w:tcBorders>
              <w:top w:val="nil"/>
              <w:bottom w:val="nil"/>
            </w:tcBorders>
          </w:tcPr>
          <w:p w14:paraId="3406A98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3.8</w:t>
            </w:r>
          </w:p>
        </w:tc>
        <w:tc>
          <w:tcPr>
            <w:tcW w:w="540" w:type="dxa"/>
            <w:tcBorders>
              <w:top w:val="nil"/>
              <w:bottom w:val="nil"/>
            </w:tcBorders>
          </w:tcPr>
          <w:p w14:paraId="7EA2C38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3.9</w:t>
            </w:r>
          </w:p>
        </w:tc>
        <w:tc>
          <w:tcPr>
            <w:tcW w:w="540" w:type="dxa"/>
            <w:tcBorders>
              <w:top w:val="nil"/>
              <w:bottom w:val="nil"/>
            </w:tcBorders>
          </w:tcPr>
          <w:p w14:paraId="453445A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3.9</w:t>
            </w:r>
          </w:p>
        </w:tc>
      </w:tr>
      <w:tr w:rsidR="009B1CF2" w:rsidRPr="009B1CF2" w14:paraId="29B298D1" w14:textId="77777777" w:rsidTr="00A808BF">
        <w:trPr>
          <w:jc w:val="center"/>
        </w:trPr>
        <w:tc>
          <w:tcPr>
            <w:tcW w:w="2839" w:type="dxa"/>
            <w:tcBorders>
              <w:top w:val="nil"/>
              <w:bottom w:val="nil"/>
            </w:tcBorders>
          </w:tcPr>
          <w:p w14:paraId="75E30434"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Japón</w:t>
            </w:r>
          </w:p>
        </w:tc>
        <w:tc>
          <w:tcPr>
            <w:tcW w:w="540" w:type="dxa"/>
            <w:tcBorders>
              <w:top w:val="nil"/>
              <w:bottom w:val="nil"/>
            </w:tcBorders>
          </w:tcPr>
          <w:p w14:paraId="212523D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90" w:type="dxa"/>
            <w:tcBorders>
              <w:top w:val="nil"/>
              <w:bottom w:val="nil"/>
            </w:tcBorders>
          </w:tcPr>
          <w:p w14:paraId="28DC081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67" w:type="dxa"/>
            <w:tcBorders>
              <w:top w:val="nil"/>
              <w:bottom w:val="nil"/>
            </w:tcBorders>
          </w:tcPr>
          <w:p w14:paraId="1C2ECA7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67" w:type="dxa"/>
            <w:tcBorders>
              <w:top w:val="nil"/>
              <w:bottom w:val="nil"/>
            </w:tcBorders>
          </w:tcPr>
          <w:p w14:paraId="4A1A4A5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67" w:type="dxa"/>
            <w:tcBorders>
              <w:top w:val="nil"/>
              <w:bottom w:val="nil"/>
            </w:tcBorders>
          </w:tcPr>
          <w:p w14:paraId="6DA1CE6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67" w:type="dxa"/>
            <w:tcBorders>
              <w:top w:val="nil"/>
              <w:bottom w:val="nil"/>
            </w:tcBorders>
          </w:tcPr>
          <w:p w14:paraId="7378427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62" w:type="dxa"/>
            <w:tcBorders>
              <w:top w:val="nil"/>
              <w:bottom w:val="nil"/>
            </w:tcBorders>
          </w:tcPr>
          <w:p w14:paraId="679AFB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bottom w:val="nil"/>
            </w:tcBorders>
          </w:tcPr>
          <w:p w14:paraId="3FC01A4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40" w:type="dxa"/>
            <w:tcBorders>
              <w:top w:val="nil"/>
              <w:bottom w:val="nil"/>
            </w:tcBorders>
          </w:tcPr>
          <w:p w14:paraId="47BBF0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1017831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bottom w:val="nil"/>
            </w:tcBorders>
          </w:tcPr>
          <w:p w14:paraId="710D5AB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c>
          <w:tcPr>
            <w:tcW w:w="540" w:type="dxa"/>
            <w:tcBorders>
              <w:top w:val="nil"/>
              <w:bottom w:val="nil"/>
            </w:tcBorders>
          </w:tcPr>
          <w:p w14:paraId="285D989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r>
      <w:tr w:rsidR="009B1CF2" w:rsidRPr="009B1CF2" w14:paraId="539A59E8" w14:textId="77777777" w:rsidTr="00A808BF">
        <w:trPr>
          <w:jc w:val="center"/>
        </w:trPr>
        <w:tc>
          <w:tcPr>
            <w:tcW w:w="2839" w:type="dxa"/>
            <w:tcBorders>
              <w:top w:val="nil"/>
              <w:bottom w:val="nil"/>
            </w:tcBorders>
          </w:tcPr>
          <w:p w14:paraId="439D4ED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Corea</w:t>
            </w:r>
          </w:p>
        </w:tc>
        <w:tc>
          <w:tcPr>
            <w:tcW w:w="540" w:type="dxa"/>
            <w:tcBorders>
              <w:top w:val="nil"/>
              <w:bottom w:val="nil"/>
            </w:tcBorders>
          </w:tcPr>
          <w:p w14:paraId="04E72BF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90" w:type="dxa"/>
            <w:tcBorders>
              <w:top w:val="nil"/>
              <w:bottom w:val="nil"/>
            </w:tcBorders>
          </w:tcPr>
          <w:p w14:paraId="338E2E4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67" w:type="dxa"/>
            <w:tcBorders>
              <w:top w:val="nil"/>
              <w:bottom w:val="nil"/>
            </w:tcBorders>
          </w:tcPr>
          <w:p w14:paraId="7091E5D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67" w:type="dxa"/>
            <w:tcBorders>
              <w:top w:val="nil"/>
              <w:bottom w:val="nil"/>
            </w:tcBorders>
          </w:tcPr>
          <w:p w14:paraId="282BE5C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67" w:type="dxa"/>
            <w:tcBorders>
              <w:top w:val="nil"/>
              <w:bottom w:val="nil"/>
            </w:tcBorders>
          </w:tcPr>
          <w:p w14:paraId="371A569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67" w:type="dxa"/>
            <w:tcBorders>
              <w:top w:val="nil"/>
              <w:bottom w:val="nil"/>
            </w:tcBorders>
          </w:tcPr>
          <w:p w14:paraId="08779B4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62" w:type="dxa"/>
            <w:tcBorders>
              <w:top w:val="nil"/>
              <w:bottom w:val="nil"/>
            </w:tcBorders>
          </w:tcPr>
          <w:p w14:paraId="6F8D62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bottom w:val="nil"/>
            </w:tcBorders>
          </w:tcPr>
          <w:p w14:paraId="1E19711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7.1</w:t>
            </w:r>
          </w:p>
        </w:tc>
        <w:tc>
          <w:tcPr>
            <w:tcW w:w="540" w:type="dxa"/>
            <w:tcBorders>
              <w:top w:val="nil"/>
              <w:bottom w:val="nil"/>
            </w:tcBorders>
          </w:tcPr>
          <w:p w14:paraId="511492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5.2</w:t>
            </w:r>
          </w:p>
        </w:tc>
        <w:tc>
          <w:tcPr>
            <w:tcW w:w="540" w:type="dxa"/>
            <w:tcBorders>
              <w:top w:val="nil"/>
              <w:bottom w:val="nil"/>
            </w:tcBorders>
          </w:tcPr>
          <w:p w14:paraId="1D4E418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bottom w:val="nil"/>
            </w:tcBorders>
          </w:tcPr>
          <w:p w14:paraId="5E342B2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bottom w:val="nil"/>
            </w:tcBorders>
          </w:tcPr>
          <w:p w14:paraId="1268A54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r>
      <w:tr w:rsidR="009B1CF2" w:rsidRPr="009B1CF2" w14:paraId="66C783D9" w14:textId="77777777" w:rsidTr="00A808BF">
        <w:trPr>
          <w:jc w:val="center"/>
        </w:trPr>
        <w:tc>
          <w:tcPr>
            <w:tcW w:w="2839" w:type="dxa"/>
            <w:tcBorders>
              <w:top w:val="nil"/>
              <w:bottom w:val="nil"/>
            </w:tcBorders>
          </w:tcPr>
          <w:p w14:paraId="6377F870"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Australia</w:t>
            </w:r>
          </w:p>
        </w:tc>
        <w:tc>
          <w:tcPr>
            <w:tcW w:w="540" w:type="dxa"/>
            <w:tcBorders>
              <w:top w:val="nil"/>
              <w:bottom w:val="nil"/>
            </w:tcBorders>
          </w:tcPr>
          <w:p w14:paraId="0C82D4C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90" w:type="dxa"/>
            <w:tcBorders>
              <w:top w:val="nil"/>
              <w:bottom w:val="nil"/>
            </w:tcBorders>
          </w:tcPr>
          <w:p w14:paraId="1228B17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67" w:type="dxa"/>
            <w:tcBorders>
              <w:top w:val="nil"/>
              <w:bottom w:val="nil"/>
            </w:tcBorders>
          </w:tcPr>
          <w:p w14:paraId="3E2C719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67" w:type="dxa"/>
            <w:tcBorders>
              <w:top w:val="nil"/>
              <w:bottom w:val="nil"/>
            </w:tcBorders>
          </w:tcPr>
          <w:p w14:paraId="4A0EFF3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67" w:type="dxa"/>
            <w:tcBorders>
              <w:top w:val="nil"/>
              <w:bottom w:val="nil"/>
            </w:tcBorders>
          </w:tcPr>
          <w:p w14:paraId="3C615B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67" w:type="dxa"/>
            <w:tcBorders>
              <w:top w:val="nil"/>
              <w:bottom w:val="nil"/>
            </w:tcBorders>
          </w:tcPr>
          <w:p w14:paraId="7DEF413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62" w:type="dxa"/>
            <w:tcBorders>
              <w:top w:val="nil"/>
              <w:bottom w:val="nil"/>
            </w:tcBorders>
          </w:tcPr>
          <w:p w14:paraId="5EA6A57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40" w:type="dxa"/>
            <w:tcBorders>
              <w:top w:val="nil"/>
              <w:bottom w:val="nil"/>
            </w:tcBorders>
          </w:tcPr>
          <w:p w14:paraId="3A278EA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40" w:type="dxa"/>
            <w:tcBorders>
              <w:top w:val="nil"/>
              <w:bottom w:val="nil"/>
            </w:tcBorders>
          </w:tcPr>
          <w:p w14:paraId="1A9808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c>
          <w:tcPr>
            <w:tcW w:w="540" w:type="dxa"/>
            <w:tcBorders>
              <w:top w:val="nil"/>
              <w:bottom w:val="nil"/>
            </w:tcBorders>
          </w:tcPr>
          <w:p w14:paraId="558888E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bottom w:val="nil"/>
            </w:tcBorders>
          </w:tcPr>
          <w:p w14:paraId="71F7F18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540" w:type="dxa"/>
            <w:tcBorders>
              <w:top w:val="nil"/>
              <w:bottom w:val="nil"/>
            </w:tcBorders>
          </w:tcPr>
          <w:p w14:paraId="4FFAE24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r>
      <w:tr w:rsidR="009B1CF2" w:rsidRPr="009B1CF2" w14:paraId="0B3C3F8D" w14:textId="77777777" w:rsidTr="00A808BF">
        <w:trPr>
          <w:jc w:val="center"/>
        </w:trPr>
        <w:tc>
          <w:tcPr>
            <w:tcW w:w="2839" w:type="dxa"/>
            <w:tcBorders>
              <w:top w:val="nil"/>
              <w:bottom w:val="nil"/>
            </w:tcBorders>
          </w:tcPr>
          <w:p w14:paraId="0F1A15AB"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Taiwan, provincia china de</w:t>
            </w:r>
          </w:p>
        </w:tc>
        <w:tc>
          <w:tcPr>
            <w:tcW w:w="540" w:type="dxa"/>
            <w:tcBorders>
              <w:top w:val="nil"/>
              <w:bottom w:val="nil"/>
            </w:tcBorders>
          </w:tcPr>
          <w:p w14:paraId="76BE01E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c>
          <w:tcPr>
            <w:tcW w:w="590" w:type="dxa"/>
            <w:tcBorders>
              <w:top w:val="nil"/>
              <w:bottom w:val="nil"/>
            </w:tcBorders>
          </w:tcPr>
          <w:p w14:paraId="725D0C3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3.8</w:t>
            </w:r>
          </w:p>
        </w:tc>
        <w:tc>
          <w:tcPr>
            <w:tcW w:w="567" w:type="dxa"/>
            <w:tcBorders>
              <w:top w:val="nil"/>
              <w:bottom w:val="nil"/>
            </w:tcBorders>
          </w:tcPr>
          <w:p w14:paraId="76AB2E8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67" w:type="dxa"/>
            <w:tcBorders>
              <w:top w:val="nil"/>
              <w:bottom w:val="nil"/>
            </w:tcBorders>
          </w:tcPr>
          <w:p w14:paraId="20254EC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67" w:type="dxa"/>
            <w:tcBorders>
              <w:top w:val="nil"/>
              <w:bottom w:val="nil"/>
            </w:tcBorders>
          </w:tcPr>
          <w:p w14:paraId="524B2E3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67" w:type="dxa"/>
            <w:tcBorders>
              <w:top w:val="nil"/>
              <w:bottom w:val="nil"/>
            </w:tcBorders>
          </w:tcPr>
          <w:p w14:paraId="293991C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62" w:type="dxa"/>
            <w:tcBorders>
              <w:top w:val="nil"/>
              <w:bottom w:val="nil"/>
            </w:tcBorders>
          </w:tcPr>
          <w:p w14:paraId="209990C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12.3</w:t>
            </w:r>
          </w:p>
        </w:tc>
        <w:tc>
          <w:tcPr>
            <w:tcW w:w="540" w:type="dxa"/>
            <w:tcBorders>
              <w:top w:val="nil"/>
              <w:bottom w:val="nil"/>
            </w:tcBorders>
          </w:tcPr>
          <w:p w14:paraId="3E53D8D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12.4</w:t>
            </w:r>
          </w:p>
        </w:tc>
        <w:tc>
          <w:tcPr>
            <w:tcW w:w="540" w:type="dxa"/>
            <w:tcBorders>
              <w:top w:val="nil"/>
              <w:bottom w:val="nil"/>
            </w:tcBorders>
          </w:tcPr>
          <w:p w14:paraId="31B292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11.7</w:t>
            </w:r>
          </w:p>
        </w:tc>
        <w:tc>
          <w:tcPr>
            <w:tcW w:w="540" w:type="dxa"/>
            <w:tcBorders>
              <w:top w:val="nil"/>
              <w:bottom w:val="nil"/>
            </w:tcBorders>
          </w:tcPr>
          <w:p w14:paraId="2ABBCB1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40" w:type="dxa"/>
            <w:tcBorders>
              <w:top w:val="nil"/>
              <w:bottom w:val="nil"/>
            </w:tcBorders>
          </w:tcPr>
          <w:p w14:paraId="016A28C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40" w:type="dxa"/>
            <w:tcBorders>
              <w:top w:val="nil"/>
              <w:bottom w:val="nil"/>
            </w:tcBorders>
          </w:tcPr>
          <w:p w14:paraId="60AA95A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r>
      <w:tr w:rsidR="009B1CF2" w:rsidRPr="009B1CF2" w14:paraId="3213271D" w14:textId="77777777" w:rsidTr="00A808BF">
        <w:trPr>
          <w:jc w:val="center"/>
        </w:trPr>
        <w:tc>
          <w:tcPr>
            <w:tcW w:w="2839" w:type="dxa"/>
            <w:tcBorders>
              <w:top w:val="nil"/>
              <w:bottom w:val="nil"/>
            </w:tcBorders>
          </w:tcPr>
          <w:p w14:paraId="215ECA48"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Singapur</w:t>
            </w:r>
          </w:p>
        </w:tc>
        <w:tc>
          <w:tcPr>
            <w:tcW w:w="540" w:type="dxa"/>
            <w:tcBorders>
              <w:top w:val="nil"/>
              <w:bottom w:val="nil"/>
            </w:tcBorders>
          </w:tcPr>
          <w:p w14:paraId="4C82FFA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90" w:type="dxa"/>
            <w:tcBorders>
              <w:top w:val="nil"/>
              <w:bottom w:val="nil"/>
            </w:tcBorders>
          </w:tcPr>
          <w:p w14:paraId="5895844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67" w:type="dxa"/>
            <w:tcBorders>
              <w:top w:val="nil"/>
              <w:bottom w:val="nil"/>
            </w:tcBorders>
          </w:tcPr>
          <w:p w14:paraId="7B015C6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67" w:type="dxa"/>
            <w:tcBorders>
              <w:top w:val="nil"/>
              <w:bottom w:val="nil"/>
            </w:tcBorders>
          </w:tcPr>
          <w:p w14:paraId="7E41F05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67" w:type="dxa"/>
            <w:tcBorders>
              <w:top w:val="nil"/>
              <w:bottom w:val="nil"/>
            </w:tcBorders>
          </w:tcPr>
          <w:p w14:paraId="42AE4A9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0.0</w:t>
            </w:r>
          </w:p>
        </w:tc>
        <w:tc>
          <w:tcPr>
            <w:tcW w:w="567" w:type="dxa"/>
            <w:tcBorders>
              <w:top w:val="nil"/>
              <w:bottom w:val="nil"/>
            </w:tcBorders>
          </w:tcPr>
          <w:p w14:paraId="33706EF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w:t>
            </w:r>
          </w:p>
        </w:tc>
        <w:tc>
          <w:tcPr>
            <w:tcW w:w="562" w:type="dxa"/>
            <w:tcBorders>
              <w:top w:val="nil"/>
              <w:bottom w:val="nil"/>
            </w:tcBorders>
          </w:tcPr>
          <w:p w14:paraId="7B5E4AC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19.1</w:t>
            </w:r>
          </w:p>
        </w:tc>
        <w:tc>
          <w:tcPr>
            <w:tcW w:w="540" w:type="dxa"/>
            <w:tcBorders>
              <w:top w:val="nil"/>
              <w:bottom w:val="nil"/>
            </w:tcBorders>
          </w:tcPr>
          <w:p w14:paraId="6B67AB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20.7</w:t>
            </w:r>
          </w:p>
        </w:tc>
        <w:tc>
          <w:tcPr>
            <w:tcW w:w="540" w:type="dxa"/>
            <w:tcBorders>
              <w:top w:val="nil"/>
              <w:bottom w:val="nil"/>
            </w:tcBorders>
          </w:tcPr>
          <w:p w14:paraId="033C8C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18.8</w:t>
            </w:r>
          </w:p>
        </w:tc>
        <w:tc>
          <w:tcPr>
            <w:tcW w:w="540" w:type="dxa"/>
            <w:tcBorders>
              <w:top w:val="nil"/>
              <w:bottom w:val="nil"/>
            </w:tcBorders>
          </w:tcPr>
          <w:p w14:paraId="44EBC00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23318CB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3EF0AC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r>
      <w:tr w:rsidR="009B1CF2" w:rsidRPr="009B1CF2" w14:paraId="4B434EB6" w14:textId="77777777" w:rsidTr="00A808BF">
        <w:trPr>
          <w:jc w:val="center"/>
        </w:trPr>
        <w:tc>
          <w:tcPr>
            <w:tcW w:w="2839" w:type="dxa"/>
            <w:tcBorders>
              <w:top w:val="nil"/>
              <w:bottom w:val="nil"/>
            </w:tcBorders>
          </w:tcPr>
          <w:p w14:paraId="23D05DC0"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Hong Kong, RAE de</w:t>
            </w:r>
          </w:p>
        </w:tc>
        <w:tc>
          <w:tcPr>
            <w:tcW w:w="540" w:type="dxa"/>
            <w:tcBorders>
              <w:top w:val="nil"/>
              <w:bottom w:val="nil"/>
            </w:tcBorders>
          </w:tcPr>
          <w:p w14:paraId="0BA95CE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90" w:type="dxa"/>
            <w:tcBorders>
              <w:top w:val="nil"/>
              <w:bottom w:val="nil"/>
            </w:tcBorders>
          </w:tcPr>
          <w:p w14:paraId="7B5DCEB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67" w:type="dxa"/>
            <w:tcBorders>
              <w:top w:val="nil"/>
              <w:bottom w:val="nil"/>
            </w:tcBorders>
          </w:tcPr>
          <w:p w14:paraId="58CF9F7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67" w:type="dxa"/>
            <w:tcBorders>
              <w:top w:val="nil"/>
              <w:bottom w:val="nil"/>
            </w:tcBorders>
          </w:tcPr>
          <w:p w14:paraId="30265EF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67" w:type="dxa"/>
            <w:tcBorders>
              <w:top w:val="nil"/>
              <w:bottom w:val="nil"/>
            </w:tcBorders>
          </w:tcPr>
          <w:p w14:paraId="4B17154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67" w:type="dxa"/>
            <w:tcBorders>
              <w:top w:val="nil"/>
              <w:bottom w:val="nil"/>
            </w:tcBorders>
          </w:tcPr>
          <w:p w14:paraId="4F98514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62" w:type="dxa"/>
            <w:tcBorders>
              <w:top w:val="nil"/>
              <w:bottom w:val="nil"/>
            </w:tcBorders>
          </w:tcPr>
          <w:p w14:paraId="2173271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bottom w:val="nil"/>
            </w:tcBorders>
          </w:tcPr>
          <w:p w14:paraId="59AFD22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491E2DD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bottom w:val="nil"/>
            </w:tcBorders>
          </w:tcPr>
          <w:p w14:paraId="25D1346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65D3F5B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0F870E7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r>
      <w:tr w:rsidR="009B1CF2" w:rsidRPr="009B1CF2" w14:paraId="6B38BE71" w14:textId="77777777" w:rsidTr="00A808BF">
        <w:trPr>
          <w:jc w:val="center"/>
        </w:trPr>
        <w:tc>
          <w:tcPr>
            <w:tcW w:w="2839" w:type="dxa"/>
            <w:tcBorders>
              <w:top w:val="nil"/>
              <w:bottom w:val="nil"/>
            </w:tcBorders>
          </w:tcPr>
          <w:p w14:paraId="702F87A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Nueva Zelandia</w:t>
            </w:r>
          </w:p>
        </w:tc>
        <w:tc>
          <w:tcPr>
            <w:tcW w:w="540" w:type="dxa"/>
            <w:tcBorders>
              <w:top w:val="nil"/>
              <w:bottom w:val="nil"/>
            </w:tcBorders>
          </w:tcPr>
          <w:p w14:paraId="6A736B2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90" w:type="dxa"/>
            <w:tcBorders>
              <w:top w:val="nil"/>
              <w:bottom w:val="nil"/>
            </w:tcBorders>
          </w:tcPr>
          <w:p w14:paraId="68E2A9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67" w:type="dxa"/>
            <w:tcBorders>
              <w:top w:val="nil"/>
              <w:bottom w:val="nil"/>
            </w:tcBorders>
          </w:tcPr>
          <w:p w14:paraId="5A90A0F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67" w:type="dxa"/>
            <w:tcBorders>
              <w:top w:val="nil"/>
              <w:bottom w:val="nil"/>
            </w:tcBorders>
          </w:tcPr>
          <w:p w14:paraId="797C8D9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67" w:type="dxa"/>
            <w:tcBorders>
              <w:top w:val="nil"/>
              <w:bottom w:val="nil"/>
            </w:tcBorders>
          </w:tcPr>
          <w:p w14:paraId="3A50632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67" w:type="dxa"/>
            <w:tcBorders>
              <w:top w:val="nil"/>
              <w:bottom w:val="nil"/>
            </w:tcBorders>
          </w:tcPr>
          <w:p w14:paraId="38F8705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62" w:type="dxa"/>
            <w:tcBorders>
              <w:top w:val="nil"/>
              <w:bottom w:val="nil"/>
            </w:tcBorders>
          </w:tcPr>
          <w:p w14:paraId="2DFB652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bottom w:val="nil"/>
            </w:tcBorders>
          </w:tcPr>
          <w:p w14:paraId="2065041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bottom w:val="nil"/>
            </w:tcBorders>
          </w:tcPr>
          <w:p w14:paraId="5E5B3F5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-5.2</w:t>
            </w:r>
          </w:p>
        </w:tc>
        <w:tc>
          <w:tcPr>
            <w:tcW w:w="540" w:type="dxa"/>
            <w:tcBorders>
              <w:top w:val="nil"/>
              <w:bottom w:val="nil"/>
            </w:tcBorders>
          </w:tcPr>
          <w:p w14:paraId="6D9A145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bottom w:val="nil"/>
            </w:tcBorders>
          </w:tcPr>
          <w:p w14:paraId="4B0C4E9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5.3</w:t>
            </w:r>
          </w:p>
        </w:tc>
        <w:tc>
          <w:tcPr>
            <w:tcW w:w="540" w:type="dxa"/>
            <w:tcBorders>
              <w:top w:val="nil"/>
              <w:bottom w:val="nil"/>
            </w:tcBorders>
          </w:tcPr>
          <w:p w14:paraId="322FB4D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5.2</w:t>
            </w:r>
          </w:p>
        </w:tc>
      </w:tr>
      <w:tr w:rsidR="009B1CF2" w:rsidRPr="009B1CF2" w14:paraId="5930235F" w14:textId="77777777" w:rsidTr="00A808BF">
        <w:trPr>
          <w:jc w:val="center"/>
        </w:trPr>
        <w:tc>
          <w:tcPr>
            <w:tcW w:w="2839" w:type="dxa"/>
            <w:tcBorders>
              <w:top w:val="nil"/>
              <w:bottom w:val="nil"/>
            </w:tcBorders>
          </w:tcPr>
          <w:p w14:paraId="7AEEF34D"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Economías emergentes y en desarrollo</w:t>
            </w:r>
          </w:p>
        </w:tc>
        <w:tc>
          <w:tcPr>
            <w:tcW w:w="540" w:type="dxa"/>
            <w:tcBorders>
              <w:top w:val="nil"/>
              <w:bottom w:val="nil"/>
            </w:tcBorders>
            <w:vAlign w:val="bottom"/>
          </w:tcPr>
          <w:p w14:paraId="3BF8D3B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6.8</w:t>
            </w:r>
          </w:p>
        </w:tc>
        <w:tc>
          <w:tcPr>
            <w:tcW w:w="590" w:type="dxa"/>
            <w:tcBorders>
              <w:top w:val="nil"/>
              <w:bottom w:val="nil"/>
            </w:tcBorders>
            <w:vAlign w:val="bottom"/>
          </w:tcPr>
          <w:p w14:paraId="53DF38B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6.6</w:t>
            </w:r>
          </w:p>
        </w:tc>
        <w:tc>
          <w:tcPr>
            <w:tcW w:w="567" w:type="dxa"/>
            <w:tcBorders>
              <w:top w:val="nil"/>
              <w:bottom w:val="nil"/>
            </w:tcBorders>
            <w:vAlign w:val="bottom"/>
          </w:tcPr>
          <w:p w14:paraId="358EF25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6.4</w:t>
            </w:r>
          </w:p>
        </w:tc>
        <w:tc>
          <w:tcPr>
            <w:tcW w:w="567" w:type="dxa"/>
            <w:tcBorders>
              <w:top w:val="nil"/>
              <w:bottom w:val="nil"/>
            </w:tcBorders>
            <w:vAlign w:val="bottom"/>
          </w:tcPr>
          <w:p w14:paraId="47F48A4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3.5</w:t>
            </w:r>
          </w:p>
        </w:tc>
        <w:tc>
          <w:tcPr>
            <w:tcW w:w="567" w:type="dxa"/>
            <w:tcBorders>
              <w:top w:val="nil"/>
              <w:bottom w:val="nil"/>
            </w:tcBorders>
            <w:vAlign w:val="bottom"/>
          </w:tcPr>
          <w:p w14:paraId="0B691A3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3.0</w:t>
            </w:r>
          </w:p>
        </w:tc>
        <w:tc>
          <w:tcPr>
            <w:tcW w:w="567" w:type="dxa"/>
            <w:tcBorders>
              <w:top w:val="nil"/>
              <w:bottom w:val="nil"/>
            </w:tcBorders>
            <w:vAlign w:val="bottom"/>
          </w:tcPr>
          <w:p w14:paraId="5A1E61D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3.1</w:t>
            </w:r>
          </w:p>
        </w:tc>
        <w:tc>
          <w:tcPr>
            <w:tcW w:w="562" w:type="dxa"/>
            <w:tcBorders>
              <w:top w:val="nil"/>
              <w:bottom w:val="nil"/>
            </w:tcBorders>
            <w:vAlign w:val="bottom"/>
          </w:tcPr>
          <w:p w14:paraId="5A9CCDC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1.3</w:t>
            </w:r>
          </w:p>
        </w:tc>
        <w:tc>
          <w:tcPr>
            <w:tcW w:w="540" w:type="dxa"/>
            <w:tcBorders>
              <w:top w:val="nil"/>
              <w:bottom w:val="nil"/>
            </w:tcBorders>
            <w:vAlign w:val="bottom"/>
          </w:tcPr>
          <w:p w14:paraId="4C8FF0A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2.1</w:t>
            </w:r>
          </w:p>
        </w:tc>
        <w:tc>
          <w:tcPr>
            <w:tcW w:w="540" w:type="dxa"/>
            <w:tcBorders>
              <w:top w:val="nil"/>
              <w:bottom w:val="nil"/>
            </w:tcBorders>
            <w:vAlign w:val="bottom"/>
          </w:tcPr>
          <w:p w14:paraId="490F7BC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2.0</w:t>
            </w:r>
          </w:p>
        </w:tc>
        <w:tc>
          <w:tcPr>
            <w:tcW w:w="540" w:type="dxa"/>
            <w:tcBorders>
              <w:top w:val="nil"/>
              <w:bottom w:val="nil"/>
            </w:tcBorders>
            <w:vAlign w:val="bottom"/>
          </w:tcPr>
          <w:p w14:paraId="720C3D9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vAlign w:val="bottom"/>
          </w:tcPr>
          <w:p w14:paraId="5AA46BF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vAlign w:val="bottom"/>
          </w:tcPr>
          <w:p w14:paraId="70CF3BA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5B6EC033" w14:textId="77777777" w:rsidTr="00A808BF">
        <w:trPr>
          <w:jc w:val="center"/>
        </w:trPr>
        <w:tc>
          <w:tcPr>
            <w:tcW w:w="2839" w:type="dxa"/>
            <w:tcBorders>
              <w:top w:val="nil"/>
              <w:bottom w:val="nil"/>
            </w:tcBorders>
          </w:tcPr>
          <w:p w14:paraId="26C9EC39"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China</w:t>
            </w:r>
          </w:p>
        </w:tc>
        <w:tc>
          <w:tcPr>
            <w:tcW w:w="540" w:type="dxa"/>
            <w:tcBorders>
              <w:top w:val="nil"/>
              <w:bottom w:val="nil"/>
            </w:tcBorders>
          </w:tcPr>
          <w:p w14:paraId="2B78121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7.4</w:t>
            </w:r>
          </w:p>
        </w:tc>
        <w:tc>
          <w:tcPr>
            <w:tcW w:w="590" w:type="dxa"/>
            <w:tcBorders>
              <w:top w:val="nil"/>
              <w:bottom w:val="nil"/>
            </w:tcBorders>
          </w:tcPr>
          <w:p w14:paraId="385AA57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67" w:type="dxa"/>
            <w:tcBorders>
              <w:top w:val="nil"/>
              <w:bottom w:val="nil"/>
            </w:tcBorders>
          </w:tcPr>
          <w:p w14:paraId="088BA1E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67" w:type="dxa"/>
            <w:tcBorders>
              <w:top w:val="nil"/>
              <w:bottom w:val="nil"/>
            </w:tcBorders>
          </w:tcPr>
          <w:p w14:paraId="6FCEC73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67" w:type="dxa"/>
            <w:tcBorders>
              <w:top w:val="nil"/>
              <w:bottom w:val="nil"/>
            </w:tcBorders>
          </w:tcPr>
          <w:p w14:paraId="6ABCD6C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67" w:type="dxa"/>
            <w:tcBorders>
              <w:top w:val="nil"/>
              <w:bottom w:val="nil"/>
            </w:tcBorders>
          </w:tcPr>
          <w:p w14:paraId="698875D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62" w:type="dxa"/>
            <w:tcBorders>
              <w:top w:val="nil"/>
              <w:bottom w:val="nil"/>
            </w:tcBorders>
          </w:tcPr>
          <w:p w14:paraId="331CD7D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7491828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0D48BD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3AA9E00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bottom w:val="nil"/>
            </w:tcBorders>
          </w:tcPr>
          <w:p w14:paraId="2203F3E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bottom w:val="nil"/>
            </w:tcBorders>
          </w:tcPr>
          <w:p w14:paraId="0CB01DA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r>
      <w:tr w:rsidR="009B1CF2" w:rsidRPr="009B1CF2" w14:paraId="705586D2" w14:textId="77777777" w:rsidTr="00A808BF">
        <w:trPr>
          <w:jc w:val="center"/>
        </w:trPr>
        <w:tc>
          <w:tcPr>
            <w:tcW w:w="2839" w:type="dxa"/>
            <w:tcBorders>
              <w:top w:val="nil"/>
              <w:bottom w:val="nil"/>
            </w:tcBorders>
          </w:tcPr>
          <w:p w14:paraId="42D03C45"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India</w:t>
            </w:r>
          </w:p>
        </w:tc>
        <w:tc>
          <w:tcPr>
            <w:tcW w:w="540" w:type="dxa"/>
            <w:tcBorders>
              <w:top w:val="nil"/>
              <w:bottom w:val="nil"/>
            </w:tcBorders>
          </w:tcPr>
          <w:p w14:paraId="49A4F1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7.2</w:t>
            </w:r>
          </w:p>
        </w:tc>
        <w:tc>
          <w:tcPr>
            <w:tcW w:w="590" w:type="dxa"/>
            <w:tcBorders>
              <w:top w:val="nil"/>
              <w:bottom w:val="nil"/>
            </w:tcBorders>
          </w:tcPr>
          <w:p w14:paraId="57CF55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7.5</w:t>
            </w:r>
          </w:p>
        </w:tc>
        <w:tc>
          <w:tcPr>
            <w:tcW w:w="567" w:type="dxa"/>
            <w:tcBorders>
              <w:top w:val="nil"/>
              <w:bottom w:val="nil"/>
            </w:tcBorders>
          </w:tcPr>
          <w:p w14:paraId="48191DC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7.5</w:t>
            </w:r>
          </w:p>
        </w:tc>
        <w:tc>
          <w:tcPr>
            <w:tcW w:w="567" w:type="dxa"/>
            <w:tcBorders>
              <w:top w:val="nil"/>
              <w:bottom w:val="nil"/>
            </w:tcBorders>
          </w:tcPr>
          <w:p w14:paraId="06977D1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67" w:type="dxa"/>
            <w:tcBorders>
              <w:top w:val="nil"/>
              <w:bottom w:val="nil"/>
            </w:tcBorders>
          </w:tcPr>
          <w:p w14:paraId="7CA768A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67" w:type="dxa"/>
            <w:tcBorders>
              <w:top w:val="nil"/>
              <w:bottom w:val="nil"/>
            </w:tcBorders>
          </w:tcPr>
          <w:p w14:paraId="3D667B1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5.7</w:t>
            </w:r>
          </w:p>
        </w:tc>
        <w:tc>
          <w:tcPr>
            <w:tcW w:w="562" w:type="dxa"/>
            <w:tcBorders>
              <w:top w:val="nil"/>
              <w:bottom w:val="nil"/>
            </w:tcBorders>
          </w:tcPr>
          <w:p w14:paraId="1F8D635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bottom w:val="nil"/>
            </w:tcBorders>
          </w:tcPr>
          <w:p w14:paraId="0E290B1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40" w:type="dxa"/>
            <w:tcBorders>
              <w:top w:val="nil"/>
              <w:bottom w:val="nil"/>
            </w:tcBorders>
          </w:tcPr>
          <w:p w14:paraId="579AA52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bottom w:val="nil"/>
            </w:tcBorders>
          </w:tcPr>
          <w:p w14:paraId="62BEAD6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480FE36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2494824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r>
      <w:tr w:rsidR="009B1CF2" w:rsidRPr="009B1CF2" w14:paraId="70FD3FE1" w14:textId="77777777" w:rsidTr="00A808BF">
        <w:trPr>
          <w:jc w:val="center"/>
        </w:trPr>
        <w:tc>
          <w:tcPr>
            <w:tcW w:w="2839" w:type="dxa"/>
            <w:tcBorders>
              <w:top w:val="nil"/>
              <w:bottom w:val="nil"/>
            </w:tcBorders>
          </w:tcPr>
          <w:p w14:paraId="1C2221A0" w14:textId="77777777" w:rsidR="009B1CF2" w:rsidRPr="00A808BF" w:rsidRDefault="009B1CF2" w:rsidP="009B1CF2">
            <w:pPr>
              <w:ind w:left="284"/>
              <w:rPr>
                <w:rFonts w:eastAsia="Times New Roman"/>
                <w:b/>
                <w:sz w:val="12"/>
                <w:szCs w:val="12"/>
                <w:lang w:val="es-ES"/>
              </w:rPr>
            </w:pPr>
            <w:r w:rsidRPr="00A808BF">
              <w:rPr>
                <w:rFonts w:eastAsia="Times New Roman"/>
                <w:b/>
                <w:sz w:val="12"/>
                <w:szCs w:val="12"/>
                <w:lang w:val="es-ES"/>
              </w:rPr>
              <w:t>ASEAN-5</w:t>
            </w:r>
          </w:p>
        </w:tc>
        <w:tc>
          <w:tcPr>
            <w:tcW w:w="540" w:type="dxa"/>
            <w:tcBorders>
              <w:top w:val="nil"/>
              <w:bottom w:val="nil"/>
            </w:tcBorders>
            <w:vAlign w:val="bottom"/>
          </w:tcPr>
          <w:p w14:paraId="6470AA0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4.6</w:t>
            </w:r>
          </w:p>
        </w:tc>
        <w:tc>
          <w:tcPr>
            <w:tcW w:w="590" w:type="dxa"/>
            <w:tcBorders>
              <w:top w:val="nil"/>
              <w:bottom w:val="nil"/>
            </w:tcBorders>
            <w:vAlign w:val="bottom"/>
          </w:tcPr>
          <w:p w14:paraId="5136A8A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5.2</w:t>
            </w:r>
          </w:p>
        </w:tc>
        <w:tc>
          <w:tcPr>
            <w:tcW w:w="567" w:type="dxa"/>
            <w:tcBorders>
              <w:top w:val="nil"/>
              <w:bottom w:val="nil"/>
            </w:tcBorders>
            <w:vAlign w:val="bottom"/>
          </w:tcPr>
          <w:p w14:paraId="38F0E2A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5.3</w:t>
            </w:r>
          </w:p>
        </w:tc>
        <w:tc>
          <w:tcPr>
            <w:tcW w:w="567" w:type="dxa"/>
            <w:tcBorders>
              <w:top w:val="nil"/>
              <w:bottom w:val="nil"/>
            </w:tcBorders>
            <w:vAlign w:val="bottom"/>
          </w:tcPr>
          <w:p w14:paraId="0C345EF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4.7</w:t>
            </w:r>
          </w:p>
        </w:tc>
        <w:tc>
          <w:tcPr>
            <w:tcW w:w="567" w:type="dxa"/>
            <w:tcBorders>
              <w:top w:val="nil"/>
              <w:bottom w:val="nil"/>
            </w:tcBorders>
            <w:vAlign w:val="bottom"/>
          </w:tcPr>
          <w:p w14:paraId="502CD17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4.1</w:t>
            </w:r>
          </w:p>
        </w:tc>
        <w:tc>
          <w:tcPr>
            <w:tcW w:w="567" w:type="dxa"/>
            <w:tcBorders>
              <w:top w:val="nil"/>
              <w:bottom w:val="nil"/>
            </w:tcBorders>
            <w:vAlign w:val="bottom"/>
          </w:tcPr>
          <w:p w14:paraId="626CE65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4.2</w:t>
            </w:r>
          </w:p>
        </w:tc>
        <w:tc>
          <w:tcPr>
            <w:tcW w:w="562" w:type="dxa"/>
            <w:tcBorders>
              <w:top w:val="nil"/>
              <w:bottom w:val="nil"/>
            </w:tcBorders>
            <w:vAlign w:val="bottom"/>
          </w:tcPr>
          <w:p w14:paraId="06CCD00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1.3</w:t>
            </w:r>
          </w:p>
        </w:tc>
        <w:tc>
          <w:tcPr>
            <w:tcW w:w="540" w:type="dxa"/>
            <w:tcBorders>
              <w:top w:val="nil"/>
              <w:bottom w:val="nil"/>
            </w:tcBorders>
            <w:vAlign w:val="bottom"/>
          </w:tcPr>
          <w:p w14:paraId="7A564AA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1.1</w:t>
            </w:r>
          </w:p>
        </w:tc>
        <w:tc>
          <w:tcPr>
            <w:tcW w:w="540" w:type="dxa"/>
            <w:tcBorders>
              <w:top w:val="nil"/>
              <w:bottom w:val="nil"/>
            </w:tcBorders>
            <w:vAlign w:val="bottom"/>
          </w:tcPr>
          <w:p w14:paraId="5B7AD0E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0.6</w:t>
            </w:r>
          </w:p>
        </w:tc>
        <w:tc>
          <w:tcPr>
            <w:tcW w:w="540" w:type="dxa"/>
            <w:tcBorders>
              <w:top w:val="nil"/>
              <w:bottom w:val="nil"/>
            </w:tcBorders>
            <w:vAlign w:val="bottom"/>
          </w:tcPr>
          <w:p w14:paraId="11ACAE2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vAlign w:val="bottom"/>
          </w:tcPr>
          <w:p w14:paraId="28A189D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vAlign w:val="bottom"/>
          </w:tcPr>
          <w:p w14:paraId="583128F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33324553" w14:textId="77777777" w:rsidTr="00A808BF">
        <w:trPr>
          <w:jc w:val="center"/>
        </w:trPr>
        <w:tc>
          <w:tcPr>
            <w:tcW w:w="2839" w:type="dxa"/>
            <w:tcBorders>
              <w:top w:val="nil"/>
              <w:bottom w:val="nil"/>
            </w:tcBorders>
          </w:tcPr>
          <w:p w14:paraId="3E8884C3"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Indonesia</w:t>
            </w:r>
          </w:p>
        </w:tc>
        <w:tc>
          <w:tcPr>
            <w:tcW w:w="540" w:type="dxa"/>
            <w:tcBorders>
              <w:top w:val="nil"/>
              <w:bottom w:val="nil"/>
            </w:tcBorders>
          </w:tcPr>
          <w:p w14:paraId="165A07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90" w:type="dxa"/>
            <w:tcBorders>
              <w:top w:val="nil"/>
              <w:bottom w:val="nil"/>
            </w:tcBorders>
          </w:tcPr>
          <w:p w14:paraId="16E1915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5.2</w:t>
            </w:r>
          </w:p>
        </w:tc>
        <w:tc>
          <w:tcPr>
            <w:tcW w:w="567" w:type="dxa"/>
            <w:tcBorders>
              <w:top w:val="nil"/>
              <w:bottom w:val="nil"/>
            </w:tcBorders>
          </w:tcPr>
          <w:p w14:paraId="6691382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67" w:type="dxa"/>
            <w:tcBorders>
              <w:top w:val="nil"/>
              <w:bottom w:val="nil"/>
            </w:tcBorders>
          </w:tcPr>
          <w:p w14:paraId="6C250F6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567" w:type="dxa"/>
            <w:tcBorders>
              <w:top w:val="nil"/>
              <w:bottom w:val="nil"/>
            </w:tcBorders>
          </w:tcPr>
          <w:p w14:paraId="64CDDD2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67" w:type="dxa"/>
            <w:tcBorders>
              <w:top w:val="nil"/>
              <w:bottom w:val="nil"/>
            </w:tcBorders>
          </w:tcPr>
          <w:p w14:paraId="48AB0F0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5.8</w:t>
            </w:r>
          </w:p>
        </w:tc>
        <w:tc>
          <w:tcPr>
            <w:tcW w:w="562" w:type="dxa"/>
            <w:tcBorders>
              <w:top w:val="nil"/>
              <w:bottom w:val="nil"/>
            </w:tcBorders>
          </w:tcPr>
          <w:p w14:paraId="656CF0F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1F64F0A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7E70DD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bottom w:val="nil"/>
            </w:tcBorders>
          </w:tcPr>
          <w:p w14:paraId="4AF354B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bottom w:val="nil"/>
            </w:tcBorders>
          </w:tcPr>
          <w:p w14:paraId="7405A14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5.8</w:t>
            </w:r>
          </w:p>
        </w:tc>
        <w:tc>
          <w:tcPr>
            <w:tcW w:w="540" w:type="dxa"/>
            <w:tcBorders>
              <w:top w:val="nil"/>
              <w:bottom w:val="nil"/>
            </w:tcBorders>
          </w:tcPr>
          <w:p w14:paraId="1708445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5.6</w:t>
            </w:r>
          </w:p>
        </w:tc>
      </w:tr>
      <w:tr w:rsidR="009B1CF2" w:rsidRPr="009B1CF2" w14:paraId="053AE046" w14:textId="77777777" w:rsidTr="00A808BF">
        <w:trPr>
          <w:jc w:val="center"/>
        </w:trPr>
        <w:tc>
          <w:tcPr>
            <w:tcW w:w="2839" w:type="dxa"/>
            <w:tcBorders>
              <w:top w:val="nil"/>
              <w:bottom w:val="nil"/>
            </w:tcBorders>
          </w:tcPr>
          <w:p w14:paraId="2A9A4FD4"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Tailandia</w:t>
            </w:r>
          </w:p>
        </w:tc>
        <w:tc>
          <w:tcPr>
            <w:tcW w:w="540" w:type="dxa"/>
            <w:tcBorders>
              <w:top w:val="nil"/>
              <w:bottom w:val="nil"/>
            </w:tcBorders>
          </w:tcPr>
          <w:p w14:paraId="7CF5473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90" w:type="dxa"/>
            <w:tcBorders>
              <w:top w:val="nil"/>
              <w:bottom w:val="nil"/>
            </w:tcBorders>
          </w:tcPr>
          <w:p w14:paraId="68B9E29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c>
          <w:tcPr>
            <w:tcW w:w="567" w:type="dxa"/>
            <w:tcBorders>
              <w:top w:val="nil"/>
              <w:bottom w:val="nil"/>
            </w:tcBorders>
          </w:tcPr>
          <w:p w14:paraId="3E36C45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5617701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67" w:type="dxa"/>
            <w:tcBorders>
              <w:top w:val="nil"/>
              <w:bottom w:val="nil"/>
            </w:tcBorders>
          </w:tcPr>
          <w:p w14:paraId="5C33C91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67" w:type="dxa"/>
            <w:tcBorders>
              <w:top w:val="nil"/>
              <w:bottom w:val="nil"/>
            </w:tcBorders>
          </w:tcPr>
          <w:p w14:paraId="49B674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62" w:type="dxa"/>
            <w:tcBorders>
              <w:top w:val="nil"/>
              <w:bottom w:val="nil"/>
            </w:tcBorders>
          </w:tcPr>
          <w:p w14:paraId="778E60B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3.8</w:t>
            </w:r>
          </w:p>
        </w:tc>
        <w:tc>
          <w:tcPr>
            <w:tcW w:w="540" w:type="dxa"/>
            <w:tcBorders>
              <w:top w:val="nil"/>
              <w:bottom w:val="nil"/>
            </w:tcBorders>
          </w:tcPr>
          <w:p w14:paraId="2C208E4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40" w:type="dxa"/>
            <w:tcBorders>
              <w:top w:val="nil"/>
              <w:bottom w:val="nil"/>
            </w:tcBorders>
          </w:tcPr>
          <w:p w14:paraId="77FF900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top w:val="nil"/>
              <w:bottom w:val="nil"/>
            </w:tcBorders>
          </w:tcPr>
          <w:p w14:paraId="2244A8D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bottom w:val="nil"/>
            </w:tcBorders>
          </w:tcPr>
          <w:p w14:paraId="3F0E33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bottom w:val="nil"/>
            </w:tcBorders>
          </w:tcPr>
          <w:p w14:paraId="1EE2FE1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r>
      <w:tr w:rsidR="009B1CF2" w:rsidRPr="009B1CF2" w14:paraId="0D840F5C" w14:textId="77777777" w:rsidTr="00A808BF">
        <w:trPr>
          <w:jc w:val="center"/>
        </w:trPr>
        <w:tc>
          <w:tcPr>
            <w:tcW w:w="2839" w:type="dxa"/>
            <w:tcBorders>
              <w:top w:val="nil"/>
              <w:bottom w:val="nil"/>
            </w:tcBorders>
          </w:tcPr>
          <w:p w14:paraId="3EBA9314"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Malasia</w:t>
            </w:r>
          </w:p>
        </w:tc>
        <w:tc>
          <w:tcPr>
            <w:tcW w:w="540" w:type="dxa"/>
            <w:tcBorders>
              <w:top w:val="nil"/>
              <w:bottom w:val="nil"/>
            </w:tcBorders>
          </w:tcPr>
          <w:p w14:paraId="16A9423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90" w:type="dxa"/>
            <w:tcBorders>
              <w:top w:val="nil"/>
              <w:bottom w:val="nil"/>
            </w:tcBorders>
          </w:tcPr>
          <w:p w14:paraId="765D99D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67" w:type="dxa"/>
            <w:tcBorders>
              <w:top w:val="nil"/>
              <w:bottom w:val="nil"/>
            </w:tcBorders>
          </w:tcPr>
          <w:p w14:paraId="7FE4660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67" w:type="dxa"/>
            <w:tcBorders>
              <w:top w:val="nil"/>
              <w:bottom w:val="nil"/>
            </w:tcBorders>
          </w:tcPr>
          <w:p w14:paraId="782A59E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67" w:type="dxa"/>
            <w:tcBorders>
              <w:top w:val="nil"/>
              <w:bottom w:val="nil"/>
            </w:tcBorders>
          </w:tcPr>
          <w:p w14:paraId="0BC6F00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67" w:type="dxa"/>
            <w:tcBorders>
              <w:top w:val="nil"/>
              <w:bottom w:val="nil"/>
            </w:tcBorders>
          </w:tcPr>
          <w:p w14:paraId="69F2BD3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62" w:type="dxa"/>
            <w:tcBorders>
              <w:top w:val="nil"/>
              <w:bottom w:val="nil"/>
            </w:tcBorders>
          </w:tcPr>
          <w:p w14:paraId="2051D92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4.6</w:t>
            </w:r>
          </w:p>
        </w:tc>
        <w:tc>
          <w:tcPr>
            <w:tcW w:w="540" w:type="dxa"/>
            <w:tcBorders>
              <w:top w:val="nil"/>
              <w:bottom w:val="nil"/>
            </w:tcBorders>
          </w:tcPr>
          <w:p w14:paraId="7F053FE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bottom w:val="nil"/>
            </w:tcBorders>
          </w:tcPr>
          <w:p w14:paraId="07726A3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bottom w:val="nil"/>
            </w:tcBorders>
          </w:tcPr>
          <w:p w14:paraId="4B61E1C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bottom w:val="nil"/>
            </w:tcBorders>
          </w:tcPr>
          <w:p w14:paraId="051E62D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79C173C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r>
      <w:tr w:rsidR="009B1CF2" w:rsidRPr="009B1CF2" w14:paraId="0A618783" w14:textId="77777777" w:rsidTr="00A808BF">
        <w:trPr>
          <w:jc w:val="center"/>
        </w:trPr>
        <w:tc>
          <w:tcPr>
            <w:tcW w:w="2839" w:type="dxa"/>
            <w:tcBorders>
              <w:top w:val="nil"/>
              <w:bottom w:val="nil"/>
            </w:tcBorders>
          </w:tcPr>
          <w:p w14:paraId="1E4E0362"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Filipinas</w:t>
            </w:r>
          </w:p>
        </w:tc>
        <w:tc>
          <w:tcPr>
            <w:tcW w:w="540" w:type="dxa"/>
            <w:tcBorders>
              <w:top w:val="nil"/>
              <w:bottom w:val="nil"/>
            </w:tcBorders>
          </w:tcPr>
          <w:p w14:paraId="31E47A9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90" w:type="dxa"/>
            <w:tcBorders>
              <w:top w:val="nil"/>
              <w:bottom w:val="nil"/>
            </w:tcBorders>
          </w:tcPr>
          <w:p w14:paraId="254042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c>
          <w:tcPr>
            <w:tcW w:w="567" w:type="dxa"/>
            <w:tcBorders>
              <w:top w:val="nil"/>
              <w:bottom w:val="nil"/>
            </w:tcBorders>
          </w:tcPr>
          <w:p w14:paraId="2D320FD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67" w:type="dxa"/>
            <w:tcBorders>
              <w:top w:val="nil"/>
              <w:bottom w:val="nil"/>
            </w:tcBorders>
          </w:tcPr>
          <w:p w14:paraId="74956F6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67" w:type="dxa"/>
            <w:tcBorders>
              <w:top w:val="nil"/>
              <w:bottom w:val="nil"/>
            </w:tcBorders>
          </w:tcPr>
          <w:p w14:paraId="23DFE89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67" w:type="dxa"/>
            <w:tcBorders>
              <w:top w:val="nil"/>
              <w:bottom w:val="nil"/>
            </w:tcBorders>
          </w:tcPr>
          <w:p w14:paraId="5FEB7E0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62" w:type="dxa"/>
            <w:tcBorders>
              <w:top w:val="nil"/>
              <w:bottom w:val="nil"/>
            </w:tcBorders>
          </w:tcPr>
          <w:p w14:paraId="684E350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40" w:type="dxa"/>
            <w:tcBorders>
              <w:top w:val="nil"/>
              <w:bottom w:val="nil"/>
            </w:tcBorders>
          </w:tcPr>
          <w:p w14:paraId="1B54EB4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40" w:type="dxa"/>
            <w:tcBorders>
              <w:top w:val="nil"/>
              <w:bottom w:val="nil"/>
            </w:tcBorders>
          </w:tcPr>
          <w:p w14:paraId="23D353F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7D4A168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40" w:type="dxa"/>
            <w:tcBorders>
              <w:top w:val="nil"/>
              <w:bottom w:val="nil"/>
            </w:tcBorders>
          </w:tcPr>
          <w:p w14:paraId="1E4E4D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c>
          <w:tcPr>
            <w:tcW w:w="540" w:type="dxa"/>
            <w:tcBorders>
              <w:top w:val="nil"/>
              <w:bottom w:val="nil"/>
            </w:tcBorders>
          </w:tcPr>
          <w:p w14:paraId="3D0F2DE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r>
      <w:tr w:rsidR="009B1CF2" w:rsidRPr="009B1CF2" w14:paraId="49FEFEE4" w14:textId="77777777" w:rsidTr="00A808BF">
        <w:trPr>
          <w:jc w:val="center"/>
        </w:trPr>
        <w:tc>
          <w:tcPr>
            <w:tcW w:w="2839" w:type="dxa"/>
            <w:tcBorders>
              <w:top w:val="nil"/>
              <w:bottom w:val="nil"/>
            </w:tcBorders>
          </w:tcPr>
          <w:p w14:paraId="5A9858B9"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Vietnam</w:t>
            </w:r>
          </w:p>
        </w:tc>
        <w:tc>
          <w:tcPr>
            <w:tcW w:w="540" w:type="dxa"/>
            <w:tcBorders>
              <w:top w:val="nil"/>
              <w:bottom w:val="nil"/>
            </w:tcBorders>
          </w:tcPr>
          <w:p w14:paraId="21908A8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90" w:type="dxa"/>
            <w:tcBorders>
              <w:top w:val="nil"/>
              <w:bottom w:val="nil"/>
            </w:tcBorders>
          </w:tcPr>
          <w:p w14:paraId="411EFD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67" w:type="dxa"/>
            <w:tcBorders>
              <w:top w:val="nil"/>
              <w:bottom w:val="nil"/>
            </w:tcBorders>
          </w:tcPr>
          <w:p w14:paraId="5D00B00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5.8</w:t>
            </w:r>
          </w:p>
        </w:tc>
        <w:tc>
          <w:tcPr>
            <w:tcW w:w="567" w:type="dxa"/>
            <w:tcBorders>
              <w:top w:val="nil"/>
              <w:bottom w:val="nil"/>
            </w:tcBorders>
          </w:tcPr>
          <w:p w14:paraId="7E6F216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67" w:type="dxa"/>
            <w:tcBorders>
              <w:top w:val="nil"/>
              <w:bottom w:val="nil"/>
            </w:tcBorders>
          </w:tcPr>
          <w:p w14:paraId="0861C3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67" w:type="dxa"/>
            <w:tcBorders>
              <w:top w:val="nil"/>
              <w:bottom w:val="nil"/>
            </w:tcBorders>
          </w:tcPr>
          <w:p w14:paraId="29A5AAC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62" w:type="dxa"/>
            <w:tcBorders>
              <w:top w:val="nil"/>
              <w:bottom w:val="nil"/>
            </w:tcBorders>
          </w:tcPr>
          <w:p w14:paraId="53951B5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bottom w:val="nil"/>
            </w:tcBorders>
          </w:tcPr>
          <w:p w14:paraId="1A468EE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bottom w:val="nil"/>
            </w:tcBorders>
          </w:tcPr>
          <w:p w14:paraId="1FE60E6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40" w:type="dxa"/>
            <w:tcBorders>
              <w:top w:val="nil"/>
              <w:bottom w:val="nil"/>
            </w:tcBorders>
          </w:tcPr>
          <w:p w14:paraId="57C2C23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bottom w:val="nil"/>
            </w:tcBorders>
          </w:tcPr>
          <w:p w14:paraId="65A147B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bottom w:val="nil"/>
            </w:tcBorders>
          </w:tcPr>
          <w:p w14:paraId="774916D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r>
      <w:tr w:rsidR="009B1CF2" w:rsidRPr="009B1CF2" w14:paraId="0667109B" w14:textId="77777777" w:rsidTr="00A808BF">
        <w:trPr>
          <w:jc w:val="center"/>
        </w:trPr>
        <w:tc>
          <w:tcPr>
            <w:tcW w:w="2839" w:type="dxa"/>
            <w:tcBorders>
              <w:top w:val="nil"/>
              <w:bottom w:val="nil"/>
            </w:tcBorders>
          </w:tcPr>
          <w:p w14:paraId="56854C2A" w14:textId="3856980B" w:rsidR="009B1CF2" w:rsidRPr="00A808BF" w:rsidRDefault="009B1CF2" w:rsidP="009B1CF2">
            <w:pPr>
              <w:ind w:left="284"/>
              <w:rPr>
                <w:rFonts w:eastAsia="Times New Roman"/>
                <w:b/>
                <w:sz w:val="12"/>
                <w:szCs w:val="12"/>
                <w:lang w:val="es-ES"/>
              </w:rPr>
            </w:pPr>
            <w:r w:rsidRPr="00A808BF">
              <w:rPr>
                <w:rFonts w:eastAsia="Times New Roman"/>
                <w:b/>
                <w:sz w:val="12"/>
                <w:szCs w:val="12"/>
                <w:lang w:val="es-ES"/>
              </w:rPr>
              <w:t>Otras economías emergentes y en desarrollo de Asia</w:t>
            </w:r>
            <w:r w:rsidRPr="00A808BF">
              <w:rPr>
                <w:rFonts w:eastAsia="Times New Roman"/>
                <w:b/>
                <w:sz w:val="12"/>
                <w:szCs w:val="12"/>
                <w:u w:val="single"/>
                <w:vertAlign w:val="superscript"/>
                <w:lang w:val="es-ES"/>
              </w:rPr>
              <w:t>4</w:t>
            </w:r>
            <w:r w:rsidR="00B23EA2" w:rsidRPr="00B23EA2">
              <w:rPr>
                <w:rFonts w:eastAsia="Times New Roman"/>
                <w:b/>
                <w:sz w:val="12"/>
                <w:szCs w:val="12"/>
                <w:vertAlign w:val="superscript"/>
                <w:lang w:val="es-ES"/>
              </w:rPr>
              <w:t>/</w:t>
            </w:r>
          </w:p>
        </w:tc>
        <w:tc>
          <w:tcPr>
            <w:tcW w:w="540" w:type="dxa"/>
            <w:tcBorders>
              <w:top w:val="nil"/>
              <w:bottom w:val="nil"/>
            </w:tcBorders>
            <w:vAlign w:val="center"/>
          </w:tcPr>
          <w:p w14:paraId="52C7D13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6.4</w:t>
            </w:r>
          </w:p>
        </w:tc>
        <w:tc>
          <w:tcPr>
            <w:tcW w:w="590" w:type="dxa"/>
            <w:tcBorders>
              <w:top w:val="nil"/>
              <w:bottom w:val="nil"/>
            </w:tcBorders>
            <w:vAlign w:val="center"/>
          </w:tcPr>
          <w:p w14:paraId="56B1B1F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6.7</w:t>
            </w:r>
          </w:p>
        </w:tc>
        <w:tc>
          <w:tcPr>
            <w:tcW w:w="567" w:type="dxa"/>
            <w:tcBorders>
              <w:top w:val="nil"/>
              <w:bottom w:val="nil"/>
            </w:tcBorders>
            <w:vAlign w:val="center"/>
          </w:tcPr>
          <w:p w14:paraId="7A048CF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6.7</w:t>
            </w:r>
          </w:p>
        </w:tc>
        <w:tc>
          <w:tcPr>
            <w:tcW w:w="567" w:type="dxa"/>
            <w:tcBorders>
              <w:top w:val="nil"/>
              <w:bottom w:val="nil"/>
            </w:tcBorders>
            <w:vAlign w:val="center"/>
          </w:tcPr>
          <w:p w14:paraId="1BA1E4B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5.9</w:t>
            </w:r>
          </w:p>
        </w:tc>
        <w:tc>
          <w:tcPr>
            <w:tcW w:w="567" w:type="dxa"/>
            <w:tcBorders>
              <w:top w:val="nil"/>
              <w:bottom w:val="nil"/>
            </w:tcBorders>
            <w:vAlign w:val="center"/>
          </w:tcPr>
          <w:p w14:paraId="2CCEE38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5.5</w:t>
            </w:r>
          </w:p>
        </w:tc>
        <w:tc>
          <w:tcPr>
            <w:tcW w:w="567" w:type="dxa"/>
            <w:tcBorders>
              <w:top w:val="nil"/>
              <w:bottom w:val="nil"/>
            </w:tcBorders>
            <w:vAlign w:val="center"/>
          </w:tcPr>
          <w:p w14:paraId="17FB25E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5.7</w:t>
            </w:r>
          </w:p>
        </w:tc>
        <w:tc>
          <w:tcPr>
            <w:tcW w:w="562" w:type="dxa"/>
            <w:tcBorders>
              <w:top w:val="nil"/>
              <w:bottom w:val="nil"/>
            </w:tcBorders>
            <w:vAlign w:val="center"/>
          </w:tcPr>
          <w:p w14:paraId="18E9FEC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-2.5</w:t>
            </w:r>
          </w:p>
        </w:tc>
        <w:tc>
          <w:tcPr>
            <w:tcW w:w="540" w:type="dxa"/>
            <w:tcBorders>
              <w:top w:val="nil"/>
              <w:bottom w:val="nil"/>
            </w:tcBorders>
            <w:vAlign w:val="center"/>
          </w:tcPr>
          <w:p w14:paraId="63E0462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-2.7</w:t>
            </w:r>
          </w:p>
        </w:tc>
        <w:tc>
          <w:tcPr>
            <w:tcW w:w="540" w:type="dxa"/>
            <w:tcBorders>
              <w:top w:val="nil"/>
              <w:bottom w:val="nil"/>
            </w:tcBorders>
            <w:vAlign w:val="center"/>
          </w:tcPr>
          <w:p w14:paraId="2DEF230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-2.7</w:t>
            </w:r>
          </w:p>
        </w:tc>
        <w:tc>
          <w:tcPr>
            <w:tcW w:w="540" w:type="dxa"/>
            <w:tcBorders>
              <w:top w:val="nil"/>
              <w:bottom w:val="nil"/>
            </w:tcBorders>
            <w:vAlign w:val="center"/>
          </w:tcPr>
          <w:p w14:paraId="4A20730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vAlign w:val="center"/>
          </w:tcPr>
          <w:p w14:paraId="59E8B99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vAlign w:val="center"/>
          </w:tcPr>
          <w:p w14:paraId="5023BF1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498D56B5" w14:textId="77777777" w:rsidTr="00A808BF">
        <w:trPr>
          <w:jc w:val="center"/>
        </w:trPr>
        <w:tc>
          <w:tcPr>
            <w:tcW w:w="2839" w:type="dxa"/>
            <w:tcBorders>
              <w:top w:val="nil"/>
              <w:bottom w:val="nil"/>
            </w:tcBorders>
          </w:tcPr>
          <w:p w14:paraId="3AF4BAB7"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Partida informativa</w:t>
            </w:r>
          </w:p>
        </w:tc>
        <w:tc>
          <w:tcPr>
            <w:tcW w:w="540" w:type="dxa"/>
            <w:tcBorders>
              <w:top w:val="nil"/>
              <w:bottom w:val="nil"/>
            </w:tcBorders>
          </w:tcPr>
          <w:p w14:paraId="59ABBEFE" w14:textId="77777777" w:rsidR="009B1CF2" w:rsidRPr="00A808BF" w:rsidRDefault="009B1CF2" w:rsidP="009B1CF2">
            <w:pPr>
              <w:ind w:right="113"/>
              <w:jc w:val="right"/>
              <w:rPr>
                <w:rFonts w:eastAsia="Times New Roman"/>
                <w:sz w:val="12"/>
                <w:szCs w:val="12"/>
                <w:lang w:val="es-ES"/>
              </w:rPr>
            </w:pPr>
          </w:p>
        </w:tc>
        <w:tc>
          <w:tcPr>
            <w:tcW w:w="590" w:type="dxa"/>
            <w:tcBorders>
              <w:top w:val="nil"/>
              <w:bottom w:val="nil"/>
            </w:tcBorders>
          </w:tcPr>
          <w:p w14:paraId="2CCAFF2D" w14:textId="77777777" w:rsidR="009B1CF2" w:rsidRPr="00A808BF" w:rsidRDefault="009B1CF2" w:rsidP="009B1CF2">
            <w:pPr>
              <w:ind w:right="113"/>
              <w:jc w:val="right"/>
              <w:rPr>
                <w:rFonts w:eastAsia="Times New Roman"/>
                <w:sz w:val="12"/>
                <w:szCs w:val="12"/>
                <w:lang w:val="es-ES"/>
              </w:rPr>
            </w:pPr>
          </w:p>
        </w:tc>
        <w:tc>
          <w:tcPr>
            <w:tcW w:w="567" w:type="dxa"/>
            <w:tcBorders>
              <w:top w:val="nil"/>
              <w:bottom w:val="nil"/>
            </w:tcBorders>
          </w:tcPr>
          <w:p w14:paraId="02AC2037" w14:textId="77777777" w:rsidR="009B1CF2" w:rsidRPr="00A808BF" w:rsidRDefault="009B1CF2" w:rsidP="009B1CF2">
            <w:pPr>
              <w:ind w:right="113"/>
              <w:jc w:val="right"/>
              <w:rPr>
                <w:rFonts w:eastAsia="Times New Roman"/>
                <w:sz w:val="12"/>
                <w:szCs w:val="12"/>
                <w:lang w:val="es-ES"/>
              </w:rPr>
            </w:pPr>
          </w:p>
        </w:tc>
        <w:tc>
          <w:tcPr>
            <w:tcW w:w="567" w:type="dxa"/>
            <w:tcBorders>
              <w:top w:val="nil"/>
              <w:bottom w:val="nil"/>
            </w:tcBorders>
          </w:tcPr>
          <w:p w14:paraId="205CA0AB" w14:textId="77777777" w:rsidR="009B1CF2" w:rsidRPr="00A808BF" w:rsidRDefault="009B1CF2" w:rsidP="009B1CF2">
            <w:pPr>
              <w:ind w:right="113"/>
              <w:jc w:val="right"/>
              <w:rPr>
                <w:rFonts w:eastAsia="Times New Roman"/>
                <w:sz w:val="12"/>
                <w:szCs w:val="12"/>
                <w:lang w:val="es-ES"/>
              </w:rPr>
            </w:pPr>
          </w:p>
        </w:tc>
        <w:tc>
          <w:tcPr>
            <w:tcW w:w="567" w:type="dxa"/>
            <w:tcBorders>
              <w:top w:val="nil"/>
              <w:bottom w:val="nil"/>
            </w:tcBorders>
          </w:tcPr>
          <w:p w14:paraId="1C8C8CED" w14:textId="77777777" w:rsidR="009B1CF2" w:rsidRPr="00A808BF" w:rsidRDefault="009B1CF2" w:rsidP="009B1CF2">
            <w:pPr>
              <w:ind w:right="113"/>
              <w:jc w:val="right"/>
              <w:rPr>
                <w:rFonts w:eastAsia="Times New Roman"/>
                <w:sz w:val="12"/>
                <w:szCs w:val="12"/>
                <w:lang w:val="es-ES"/>
              </w:rPr>
            </w:pPr>
          </w:p>
        </w:tc>
        <w:tc>
          <w:tcPr>
            <w:tcW w:w="567" w:type="dxa"/>
            <w:tcBorders>
              <w:top w:val="nil"/>
              <w:bottom w:val="nil"/>
            </w:tcBorders>
          </w:tcPr>
          <w:p w14:paraId="5707318B" w14:textId="77777777" w:rsidR="009B1CF2" w:rsidRPr="00A808BF" w:rsidRDefault="009B1CF2" w:rsidP="009B1CF2">
            <w:pPr>
              <w:ind w:right="170"/>
              <w:jc w:val="right"/>
              <w:rPr>
                <w:rFonts w:eastAsia="Times New Roman"/>
                <w:sz w:val="12"/>
                <w:szCs w:val="12"/>
                <w:lang w:val="es-ES"/>
              </w:rPr>
            </w:pPr>
          </w:p>
        </w:tc>
        <w:tc>
          <w:tcPr>
            <w:tcW w:w="562" w:type="dxa"/>
            <w:tcBorders>
              <w:top w:val="nil"/>
              <w:bottom w:val="nil"/>
            </w:tcBorders>
          </w:tcPr>
          <w:p w14:paraId="4A048C58"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2B88E68F"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3E01C694"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652BF24E"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61FB92AB"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0B369F63" w14:textId="77777777" w:rsidR="009B1CF2" w:rsidRPr="00A808BF" w:rsidRDefault="009B1CF2" w:rsidP="009B1CF2">
            <w:pPr>
              <w:ind w:right="113"/>
              <w:jc w:val="right"/>
              <w:rPr>
                <w:rFonts w:eastAsia="Times New Roman"/>
                <w:sz w:val="12"/>
                <w:szCs w:val="12"/>
                <w:lang w:val="es-ES"/>
              </w:rPr>
            </w:pPr>
          </w:p>
        </w:tc>
      </w:tr>
      <w:tr w:rsidR="009B1CF2" w:rsidRPr="009B1CF2" w14:paraId="57680F95" w14:textId="77777777" w:rsidTr="00A808BF">
        <w:trPr>
          <w:jc w:val="center"/>
        </w:trPr>
        <w:tc>
          <w:tcPr>
            <w:tcW w:w="2839" w:type="dxa"/>
            <w:tcBorders>
              <w:top w:val="nil"/>
            </w:tcBorders>
          </w:tcPr>
          <w:p w14:paraId="4E442B01"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Economías emergentes de Asia</w:t>
            </w:r>
            <w:r w:rsidRPr="00A808BF">
              <w:rPr>
                <w:rFonts w:eastAsia="Times New Roman"/>
                <w:b/>
                <w:sz w:val="12"/>
                <w:szCs w:val="12"/>
                <w:u w:val="single"/>
                <w:vertAlign w:val="superscript"/>
                <w:lang w:val="es-ES"/>
              </w:rPr>
              <w:t>5</w:t>
            </w:r>
            <w:r w:rsidRPr="00A808BF">
              <w:rPr>
                <w:rFonts w:eastAsia="Times New Roman"/>
                <w:b/>
                <w:sz w:val="12"/>
                <w:szCs w:val="12"/>
                <w:vertAlign w:val="superscript"/>
                <w:lang w:val="es-ES"/>
              </w:rPr>
              <w:t>/</w:t>
            </w:r>
          </w:p>
        </w:tc>
        <w:tc>
          <w:tcPr>
            <w:tcW w:w="540" w:type="dxa"/>
            <w:tcBorders>
              <w:top w:val="nil"/>
            </w:tcBorders>
          </w:tcPr>
          <w:p w14:paraId="2832A99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90" w:type="dxa"/>
            <w:tcBorders>
              <w:top w:val="nil"/>
            </w:tcBorders>
          </w:tcPr>
          <w:p w14:paraId="3AA1ED9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6.6</w:t>
            </w:r>
          </w:p>
        </w:tc>
        <w:tc>
          <w:tcPr>
            <w:tcW w:w="567" w:type="dxa"/>
            <w:tcBorders>
              <w:top w:val="nil"/>
            </w:tcBorders>
          </w:tcPr>
          <w:p w14:paraId="71246F8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567" w:type="dxa"/>
            <w:tcBorders>
              <w:top w:val="nil"/>
            </w:tcBorders>
          </w:tcPr>
          <w:p w14:paraId="1DD683C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67" w:type="dxa"/>
            <w:tcBorders>
              <w:top w:val="nil"/>
            </w:tcBorders>
          </w:tcPr>
          <w:p w14:paraId="498B248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67" w:type="dxa"/>
            <w:tcBorders>
              <w:top w:val="nil"/>
            </w:tcBorders>
          </w:tcPr>
          <w:p w14:paraId="7A04BC02" w14:textId="77777777" w:rsidR="009B1CF2" w:rsidRPr="00A808BF" w:rsidRDefault="009B1CF2" w:rsidP="009B1CF2">
            <w:pPr>
              <w:ind w:right="170"/>
              <w:jc w:val="right"/>
              <w:rPr>
                <w:rFonts w:eastAsia="Times New Roman"/>
                <w:sz w:val="12"/>
                <w:szCs w:val="12"/>
                <w:lang w:val="es-ES"/>
              </w:rPr>
            </w:pPr>
            <w:r w:rsidRPr="00A808BF">
              <w:rPr>
                <w:rFonts w:eastAsia="Times New Roman"/>
                <w:sz w:val="12"/>
                <w:szCs w:val="12"/>
                <w:lang w:val="es-ES"/>
              </w:rPr>
              <w:t>3.0</w:t>
            </w:r>
          </w:p>
        </w:tc>
        <w:tc>
          <w:tcPr>
            <w:tcW w:w="562" w:type="dxa"/>
            <w:tcBorders>
              <w:top w:val="nil"/>
            </w:tcBorders>
          </w:tcPr>
          <w:p w14:paraId="22AD93B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tcBorders>
          </w:tcPr>
          <w:p w14:paraId="78077D4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tcBorders>
          </w:tcPr>
          <w:p w14:paraId="525D414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tcBorders>
          </w:tcPr>
          <w:p w14:paraId="5E9DA3F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tcBorders>
          </w:tcPr>
          <w:p w14:paraId="60A7576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tcBorders>
          </w:tcPr>
          <w:p w14:paraId="0ECFDD4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r>
      <w:tr w:rsidR="009B1CF2" w:rsidRPr="009B1CF2" w14:paraId="7C5B2BF3" w14:textId="77777777" w:rsidTr="008B3DA6">
        <w:trPr>
          <w:jc w:val="center"/>
        </w:trPr>
        <w:tc>
          <w:tcPr>
            <w:tcW w:w="9499" w:type="dxa"/>
            <w:gridSpan w:val="13"/>
            <w:tcBorders>
              <w:left w:val="nil"/>
              <w:bottom w:val="nil"/>
              <w:right w:val="nil"/>
            </w:tcBorders>
          </w:tcPr>
          <w:p w14:paraId="4E2AA277" w14:textId="71F711B2" w:rsidR="009B1CF2" w:rsidRPr="00A808BF" w:rsidRDefault="009B1CF2" w:rsidP="0098560F">
            <w:pPr>
              <w:ind w:left="284" w:right="57" w:hanging="284"/>
              <w:jc w:val="both"/>
              <w:rPr>
                <w:rFonts w:eastAsia="Times New Roman"/>
                <w:sz w:val="12"/>
                <w:szCs w:val="12"/>
                <w:lang w:val="es-ES"/>
              </w:rPr>
            </w:pPr>
            <w:r w:rsidRPr="00A808BF">
              <w:rPr>
                <w:rFonts w:eastAsia="Times New Roman"/>
                <w:sz w:val="12"/>
                <w:szCs w:val="12"/>
                <w:lang w:val="es-ES"/>
              </w:rPr>
              <w:t xml:space="preserve">Nota: Los datos correspondientes a algunos países se basan en el ejercicio fiscal. Véase en el cuadro F del apéndice estadístico </w:t>
            </w:r>
            <w:r w:rsidR="0098560F">
              <w:rPr>
                <w:rFonts w:eastAsia="Times New Roman"/>
                <w:sz w:val="12"/>
                <w:szCs w:val="12"/>
                <w:lang w:val="es-ES"/>
              </w:rPr>
              <w:t xml:space="preserve">del documento original, </w:t>
            </w:r>
            <w:r w:rsidRPr="00A808BF">
              <w:rPr>
                <w:rFonts w:eastAsia="Times New Roman"/>
                <w:sz w:val="12"/>
                <w:szCs w:val="12"/>
                <w:lang w:val="es-ES"/>
              </w:rPr>
              <w:t>la lista de economías con períodos de declaración excepcioneles.</w:t>
            </w:r>
          </w:p>
          <w:p w14:paraId="54A7992E" w14:textId="2E6ED047" w:rsidR="009B1CF2" w:rsidRPr="00A808BF" w:rsidRDefault="009B1CF2" w:rsidP="0098560F">
            <w:pPr>
              <w:ind w:left="125" w:right="57" w:hanging="125"/>
              <w:jc w:val="both"/>
              <w:rPr>
                <w:rFonts w:eastAsia="Times New Roman"/>
                <w:sz w:val="12"/>
                <w:szCs w:val="12"/>
                <w:lang w:val="es-ES"/>
              </w:rPr>
            </w:pPr>
            <w:r w:rsidRPr="00A808BF">
              <w:rPr>
                <w:rFonts w:eastAsia="Times New Roman"/>
                <w:sz w:val="12"/>
                <w:szCs w:val="12"/>
                <w:u w:val="single"/>
                <w:lang w:val="es-ES"/>
              </w:rPr>
              <w:t>1</w:t>
            </w:r>
            <w:r w:rsidRPr="00A808BF">
              <w:rPr>
                <w:rFonts w:eastAsia="Times New Roman"/>
                <w:sz w:val="12"/>
                <w:szCs w:val="12"/>
                <w:lang w:val="es-ES"/>
              </w:rPr>
              <w:t>/ Los movimientos de los precios al consumidor se indica como promedios anuales. Las variaciones de diciembre a diciembre pueden encontrarse en los cuadros A6 y A7 del apéndice estadístico</w:t>
            </w:r>
            <w:r w:rsidR="0098560F">
              <w:rPr>
                <w:rFonts w:eastAsia="Times New Roman"/>
                <w:sz w:val="12"/>
                <w:szCs w:val="12"/>
                <w:lang w:val="es-ES"/>
              </w:rPr>
              <w:t xml:space="preserve"> del documento original</w:t>
            </w:r>
            <w:r w:rsidRPr="00A808BF">
              <w:rPr>
                <w:rFonts w:eastAsia="Times New Roman"/>
                <w:sz w:val="12"/>
                <w:szCs w:val="12"/>
                <w:lang w:val="es-ES"/>
              </w:rPr>
              <w:t>.</w:t>
            </w:r>
          </w:p>
          <w:p w14:paraId="3CAC4D68"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2</w:t>
            </w:r>
            <w:r w:rsidRPr="00A808BF">
              <w:rPr>
                <w:rFonts w:eastAsia="Times New Roman"/>
                <w:sz w:val="12"/>
                <w:szCs w:val="12"/>
                <w:lang w:val="es-ES"/>
              </w:rPr>
              <w:t>/ Porcentaje del PIB.</w:t>
            </w:r>
          </w:p>
          <w:p w14:paraId="39226480"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3</w:t>
            </w:r>
            <w:r w:rsidRPr="00A808BF">
              <w:rPr>
                <w:rFonts w:eastAsia="Times New Roman"/>
                <w:sz w:val="12"/>
                <w:szCs w:val="12"/>
                <w:lang w:val="es-ES"/>
              </w:rPr>
              <w:t>/ Porcentaje. Las definiciones nacionales de desempleo pueden variar.</w:t>
            </w:r>
          </w:p>
          <w:p w14:paraId="7776548B"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4</w:t>
            </w:r>
            <w:r w:rsidRPr="00A808BF">
              <w:rPr>
                <w:rFonts w:eastAsia="Times New Roman"/>
                <w:sz w:val="12"/>
                <w:szCs w:val="12"/>
                <w:lang w:val="es-ES"/>
              </w:rPr>
              <w:t>/ Las otras economías emergentes y en desarrollo de Asia comprenden Bangladesh, Bhután, Brunei Darussalam, Camboya, Fiji, Islas Marshall, Islas Salomón, Kiribati, Maldivas, Micronesia, Mongolia, Myanmar, Nepal, Palau, Papua Nueva Guinea, la República Democrática Popular Lao, Samoa, Sri Lanka, Timor-Leste, Tonga, Tuvalu y Vanuatu.</w:t>
            </w:r>
          </w:p>
          <w:p w14:paraId="119654BB" w14:textId="77777777" w:rsidR="009B1CF2" w:rsidRPr="00A808BF" w:rsidRDefault="009B1CF2" w:rsidP="009B1CF2">
            <w:pPr>
              <w:ind w:left="113" w:right="57" w:hanging="113"/>
              <w:jc w:val="both"/>
              <w:rPr>
                <w:rFonts w:eastAsia="Times New Roman"/>
                <w:sz w:val="12"/>
                <w:szCs w:val="12"/>
                <w:lang w:val="es-ES"/>
              </w:rPr>
            </w:pPr>
            <w:r w:rsidRPr="00A808BF">
              <w:rPr>
                <w:rFonts w:eastAsia="Times New Roman"/>
                <w:sz w:val="12"/>
                <w:szCs w:val="12"/>
                <w:u w:val="single"/>
                <w:lang w:val="es-ES"/>
              </w:rPr>
              <w:t>5</w:t>
            </w:r>
            <w:r w:rsidRPr="00A808BF">
              <w:rPr>
                <w:rFonts w:eastAsia="Times New Roman"/>
                <w:sz w:val="12"/>
                <w:szCs w:val="12"/>
                <w:lang w:val="es-ES"/>
              </w:rPr>
              <w:t>/ Las economías emergentes de Asia comprenden las economías de ASEAN-5 (Filipinas, Indonesia, Malasia, Tailandia y Vietnam), China e India.</w:t>
            </w:r>
          </w:p>
          <w:p w14:paraId="4F3D43B4" w14:textId="77777777" w:rsidR="009B1CF2" w:rsidRPr="00A808BF" w:rsidRDefault="009B1CF2" w:rsidP="009B1CF2">
            <w:pPr>
              <w:ind w:left="113" w:right="57" w:hanging="113"/>
              <w:jc w:val="both"/>
              <w:rPr>
                <w:rFonts w:eastAsia="Times New Roman"/>
                <w:sz w:val="12"/>
                <w:szCs w:val="12"/>
                <w:lang w:val="es-ES"/>
              </w:rPr>
            </w:pPr>
            <w:r w:rsidRPr="00A808BF">
              <w:rPr>
                <w:rFonts w:eastAsia="Times New Roman"/>
                <w:sz w:val="12"/>
                <w:szCs w:val="12"/>
                <w:u w:val="single"/>
                <w:lang w:val="es-ES"/>
              </w:rPr>
              <w:t>FUENTE: FMI.</w:t>
            </w:r>
          </w:p>
        </w:tc>
      </w:tr>
    </w:tbl>
    <w:p w14:paraId="50B20821" w14:textId="77777777" w:rsidR="009B1CF2" w:rsidRPr="009B1CF2" w:rsidRDefault="009B1CF2" w:rsidP="009B1CF2">
      <w:pPr>
        <w:spacing w:after="360" w:line="360" w:lineRule="auto"/>
        <w:ind w:right="-159"/>
        <w:jc w:val="center"/>
        <w:rPr>
          <w:rFonts w:eastAsia="Calibri"/>
          <w:sz w:val="26"/>
          <w:szCs w:val="26"/>
          <w:lang w:eastAsia="en-US"/>
        </w:rPr>
      </w:pPr>
    </w:p>
    <w:p w14:paraId="58EEC7C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todas las economías avanzadas de Europa, los riesgos para las perspectivas son más balanceados que en la edición de octubre de 2014 del informe WEO. El principal riesgo a la baja tiene su origen en la probabilidad de estancamiento e inflación persistentemente baja en la zona del euro, algo que ya ha frenado el crecimiento y la inflación en otras partes de Europa. Los </w:t>
      </w:r>
      <w:r w:rsidRPr="009B1CF2">
        <w:rPr>
          <w:rFonts w:eastAsia="Calibri"/>
          <w:i/>
          <w:sz w:val="26"/>
          <w:szCs w:val="26"/>
          <w:lang w:eastAsia="en-US"/>
        </w:rPr>
        <w:t>shocks</w:t>
      </w:r>
      <w:r w:rsidRPr="009B1CF2">
        <w:rPr>
          <w:rFonts w:eastAsia="Calibri"/>
          <w:sz w:val="26"/>
          <w:szCs w:val="26"/>
          <w:lang w:eastAsia="en-US"/>
        </w:rPr>
        <w:t xml:space="preserve"> económicos —provocados por la desaceleración del crecimiento mundial, los acontecimientos geopolíticos, las vacilantes reformas en la zona del euro, la incertidumbre política y sobre políticas, y los cambios de políticas— podrían rebajar las expectativas de inflación y desencadenar una dinámica de deuda-deflación. Los riesgos al alza vendrían provocados por un impacto positivo mucho mayor de la reducción de los precios del petróleo y por las medidas adoptadas por el BCE. En el Reino Unido, Suecia y Suiza sigue siendo importante contener los riesgos para la estabilidad financiera derivados de los mercados inmobiliarios e hipotecarios. </w:t>
      </w:r>
    </w:p>
    <w:p w14:paraId="5B723B49"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Se requiere una estrategia integral para revertir la baja inflación en la zona del euro y evitar el estancamiento. Dicha estrategia implicará actuaciones simultáneas en varios frentes, además de las medidas adoptadas por el BCE para ampliar su balance a través de la compra de activos soberanos hasta que se observe un ajuste sostenido de la senda de la inflación.  </w:t>
      </w:r>
    </w:p>
    <w:p w14:paraId="4859493E" w14:textId="77777777" w:rsidR="009B1CF2" w:rsidRPr="009B1CF2" w:rsidRDefault="009B1CF2" w:rsidP="003518F4">
      <w:pPr>
        <w:numPr>
          <w:ilvl w:val="1"/>
          <w:numId w:val="157"/>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Es fundamental abordar el problema de los préstamos en mora elevados, mediante esfuerzos coordinados para fortalecer los balances bancarios y mejorar la transmisión monetaria y el crecimiento del crédito. De regularse de forma más estricta los préstamos en mora y mejorarse los procedimientos de insolvencia y ejecución hipotecaria, los bancos tendrían más incentivos para acelerar la disposición de estos préstamos. </w:t>
      </w:r>
    </w:p>
    <w:p w14:paraId="245BB4AE" w14:textId="77777777" w:rsidR="009B1CF2" w:rsidRPr="009B1CF2" w:rsidRDefault="009B1CF2" w:rsidP="003518F4">
      <w:pPr>
        <w:numPr>
          <w:ilvl w:val="1"/>
          <w:numId w:val="157"/>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Una orientación neutra de la política fiscal general logra el equilibrio entre respaldar el crecimiento y alentar la sostenibilidad de la deuda, pero los países con margen de maniobra fiscal deberían adoptar medidas adicionales para fomentar el crecimiento, también a través de la inversión en infraestructura. Los países con margen de maniobra limitado deberían recurrir a la flexibilidad adicional que proporciona el Pacto de Estabilidad y Crecimiento para realizar inversiones y reformas estructurales y poner en práctica políticas fiscales más favorables al crecimiento.  </w:t>
      </w:r>
    </w:p>
    <w:p w14:paraId="6D2F32ED" w14:textId="77777777" w:rsidR="009B1CF2" w:rsidRPr="009B1CF2" w:rsidRDefault="009B1CF2" w:rsidP="003518F4">
      <w:pPr>
        <w:numPr>
          <w:ilvl w:val="1"/>
          <w:numId w:val="157"/>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Deben aplicarse reformas estructurales para incrementar la productividad y el crecimiento a mediano plazo, reactivar la inversión, fomentar la contratación y promover el reequilibrio. Entre las prioridades destacan una mayor flexibilidad del mercado laboral y de productos, la desregulación para suprimir las barreras a la inversión y el avance hacia un mercado común más integrado. En otras economías avanzadas de Europa, las políticas deberían centrarse en mantener la recuperación, garantizando a la vez la estabilidad financiera. En el Reino Unido, </w:t>
      </w:r>
      <w:r w:rsidRPr="009B1CF2">
        <w:rPr>
          <w:rFonts w:eastAsia="Calibri"/>
          <w:sz w:val="26"/>
          <w:szCs w:val="26"/>
          <w:lang w:eastAsia="en-US"/>
        </w:rPr>
        <w:lastRenderedPageBreak/>
        <w:t xml:space="preserve">por ahora, la política monetaria debería seguir siendo acomodaticia, dadas las débiles presiones inflacionarias actuales. Algunos países deberían plantearse aplicar una política más expansiva, que incluya compras de activos en divisas (Suiza) y una mayor expansión cuantitativa (Suecia). Debería fortalecerse el capital bancario para mitigar las vulnerabilidades del sector financiero y, de no contrastarse los riesgos relacionados con la vivienda, deberían endurecerse las medidas macroprudenciales. En caso de que estas medidas resulten insuficientes, podría plantearse un incremento de las tasas de interés, teniendo muy en cuenta la disyuntiva entre el daño a la economía real y los costos finales de las vulnerabilidades financieras. En el Reino Unido y Suecia es prioritario adoptar medidas para aumentar la oferta de vivienda. A escala internacional, debería completarse el calendario más amplio de reformas para el sector financiero, incluidas aquellas reformas dirigidas a los grandes bancos y los bancos de importancia sistémica, así como las que fomentan los mecanismos de resolución transfronteriza. En Suecia, es preciso reformar el mercado laboral para acelerar y mantener la transición de los grupos vulnerables al empleo.  </w:t>
      </w:r>
    </w:p>
    <w:p w14:paraId="0DF2810A" w14:textId="77777777" w:rsidR="009B1CF2" w:rsidRPr="009B1CF2" w:rsidRDefault="009B1CF2" w:rsidP="009B1CF2">
      <w:pPr>
        <w:spacing w:after="360"/>
        <w:ind w:right="-159"/>
        <w:jc w:val="both"/>
        <w:rPr>
          <w:rFonts w:eastAsia="Calibri"/>
          <w:b/>
          <w:sz w:val="26"/>
          <w:szCs w:val="26"/>
          <w:lang w:eastAsia="en-US"/>
        </w:rPr>
      </w:pPr>
      <w:r w:rsidRPr="009B1CF2">
        <w:rPr>
          <w:rFonts w:eastAsia="Calibri"/>
          <w:b/>
          <w:sz w:val="26"/>
          <w:szCs w:val="26"/>
          <w:lang w:eastAsia="en-US"/>
        </w:rPr>
        <w:t xml:space="preserve">Economías emergentes y en desarrollo de Europa: Menor crecimiento en medio de una débil demanda externa </w:t>
      </w:r>
    </w:p>
    <w:p w14:paraId="2B4D0758" w14:textId="27D1064E"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actividad económica se moderó en las economías emergentes y en desarrollo de Europa durante el pasado año y un mayor número de países entraron en deflación. La reducción de los precios del petróleo en el presente año impulsará ligeramente el crecimiento, pero también contribuirá a las presiones desinflacionarias. La demanda externa sigue siendo débil y la elevada deuda corporativa continúa frenando la inversión. Si existe margen de maniobra de la política monetaria, </w:t>
      </w:r>
      <w:r w:rsidR="00B23EA2">
        <w:rPr>
          <w:rFonts w:eastAsia="Calibri"/>
          <w:sz w:val="26"/>
          <w:szCs w:val="26"/>
          <w:lang w:eastAsia="en-US"/>
        </w:rPr>
        <w:t>é</w:t>
      </w:r>
      <w:r w:rsidRPr="009B1CF2">
        <w:rPr>
          <w:rFonts w:eastAsia="Calibri"/>
          <w:sz w:val="26"/>
          <w:szCs w:val="26"/>
          <w:lang w:eastAsia="en-US"/>
        </w:rPr>
        <w:t>ste debería emplearse para respaldar la demanda interna. Por su parte, los países con posiciones fiscales débiles deberían reforzar la sostenibilidad para contrarrestar los riesgos de una posible volatilidad del mercado.</w:t>
      </w:r>
    </w:p>
    <w:p w14:paraId="451F82F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El crecimiento económico se desaceleró en Turquía y Europa sudoriental (donde algunos países entraron en recesión) el año pasado, pero se mantuvo fuerte en Hungría y Polonia (gráfica siguiente). En general, el crecimiento se vio impulsado por la demanda interna (excepto en Turquía), reflejo principalmente de la mayor solidez del consumo privado gracias a la mejora de las condiciones del mercado laboral y el incremento de los salarios reales, así como de una inflación importada menor.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567"/>
        <w:gridCol w:w="567"/>
        <w:gridCol w:w="567"/>
        <w:gridCol w:w="567"/>
        <w:gridCol w:w="567"/>
        <w:gridCol w:w="663"/>
        <w:gridCol w:w="540"/>
        <w:gridCol w:w="605"/>
        <w:gridCol w:w="532"/>
        <w:gridCol w:w="495"/>
        <w:gridCol w:w="567"/>
      </w:tblGrid>
      <w:tr w:rsidR="009B1CF2" w:rsidRPr="00A808BF" w14:paraId="0C78E1CB" w14:textId="77777777" w:rsidTr="00B23EA2">
        <w:trPr>
          <w:jc w:val="center"/>
        </w:trPr>
        <w:tc>
          <w:tcPr>
            <w:tcW w:w="8789" w:type="dxa"/>
            <w:gridSpan w:val="13"/>
            <w:tcBorders>
              <w:top w:val="nil"/>
              <w:left w:val="nil"/>
              <w:right w:val="nil"/>
            </w:tcBorders>
          </w:tcPr>
          <w:p w14:paraId="7B5F5801" w14:textId="77777777" w:rsidR="00A808BF" w:rsidRDefault="009B1CF2" w:rsidP="009B1CF2">
            <w:pPr>
              <w:jc w:val="center"/>
              <w:rPr>
                <w:rFonts w:eastAsia="Times New Roman"/>
                <w:b/>
                <w:sz w:val="14"/>
                <w:szCs w:val="14"/>
                <w:lang w:val="es-ES"/>
              </w:rPr>
            </w:pPr>
            <w:r w:rsidRPr="00A808BF">
              <w:rPr>
                <w:rFonts w:eastAsia="Times New Roman"/>
                <w:b/>
                <w:sz w:val="14"/>
                <w:szCs w:val="14"/>
                <w:lang w:val="es-ES"/>
              </w:rPr>
              <w:t xml:space="preserve">PIB REAL, PRECIOS AL CONSUMIDOR, SALDO EN CUENTA CORRIENTE Y DESEMPLEO </w:t>
            </w:r>
          </w:p>
          <w:p w14:paraId="4053ED55" w14:textId="13C00BD6"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EN ALGUNAS ECONOMÍAS DE AMÉRICA</w:t>
            </w:r>
          </w:p>
          <w:p w14:paraId="6EC4BC4E"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-Variación porcentual anual, salvo indicación en contrario-</w:t>
            </w:r>
          </w:p>
        </w:tc>
      </w:tr>
      <w:tr w:rsidR="009B1CF2" w:rsidRPr="009B1CF2" w14:paraId="49626065" w14:textId="77777777" w:rsidTr="00B23EA2">
        <w:trPr>
          <w:jc w:val="center"/>
        </w:trPr>
        <w:tc>
          <w:tcPr>
            <w:tcW w:w="1985" w:type="dxa"/>
            <w:vMerge w:val="restart"/>
          </w:tcPr>
          <w:p w14:paraId="147ADA20" w14:textId="77777777" w:rsidR="009B1CF2" w:rsidRPr="00A808BF" w:rsidRDefault="009B1CF2" w:rsidP="009B1CF2">
            <w:pPr>
              <w:rPr>
                <w:rFonts w:eastAsia="Times New Roman"/>
                <w:b/>
                <w:sz w:val="12"/>
                <w:szCs w:val="12"/>
                <w:lang w:val="es-ES"/>
              </w:rPr>
            </w:pPr>
          </w:p>
        </w:tc>
        <w:tc>
          <w:tcPr>
            <w:tcW w:w="1701" w:type="dxa"/>
            <w:gridSpan w:val="3"/>
            <w:shd w:val="clear" w:color="auto" w:fill="auto"/>
            <w:vAlign w:val="center"/>
          </w:tcPr>
          <w:p w14:paraId="480ECC0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PIB real</w:t>
            </w:r>
          </w:p>
        </w:tc>
        <w:tc>
          <w:tcPr>
            <w:tcW w:w="1701" w:type="dxa"/>
            <w:gridSpan w:val="3"/>
            <w:shd w:val="clear" w:color="auto" w:fill="auto"/>
            <w:vAlign w:val="center"/>
          </w:tcPr>
          <w:p w14:paraId="7AB4F5B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Precios al consumidor</w:t>
            </w:r>
            <w:r w:rsidRPr="00A808BF">
              <w:rPr>
                <w:rFonts w:eastAsia="Times New Roman"/>
                <w:b/>
                <w:sz w:val="12"/>
                <w:szCs w:val="12"/>
                <w:u w:val="single"/>
                <w:vertAlign w:val="superscript"/>
                <w:lang w:val="es-ES"/>
              </w:rPr>
              <w:t>1</w:t>
            </w:r>
            <w:r w:rsidRPr="00A808BF">
              <w:rPr>
                <w:rFonts w:eastAsia="Times New Roman"/>
                <w:b/>
                <w:sz w:val="12"/>
                <w:szCs w:val="12"/>
                <w:vertAlign w:val="superscript"/>
                <w:lang w:val="es-ES"/>
              </w:rPr>
              <w:t>/</w:t>
            </w:r>
          </w:p>
        </w:tc>
        <w:tc>
          <w:tcPr>
            <w:tcW w:w="1808" w:type="dxa"/>
            <w:gridSpan w:val="3"/>
            <w:vAlign w:val="center"/>
          </w:tcPr>
          <w:p w14:paraId="0B424B0A"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Saldo en cuenta corriente</w:t>
            </w:r>
            <w:r w:rsidRPr="00A808BF">
              <w:rPr>
                <w:rFonts w:eastAsia="Times New Roman"/>
                <w:b/>
                <w:sz w:val="12"/>
                <w:szCs w:val="12"/>
                <w:u w:val="single"/>
                <w:vertAlign w:val="superscript"/>
                <w:lang w:val="es-ES"/>
              </w:rPr>
              <w:t>2</w:t>
            </w:r>
            <w:r w:rsidRPr="00A808BF">
              <w:rPr>
                <w:rFonts w:eastAsia="Times New Roman"/>
                <w:b/>
                <w:sz w:val="12"/>
                <w:szCs w:val="12"/>
                <w:vertAlign w:val="superscript"/>
                <w:lang w:val="es-ES"/>
              </w:rPr>
              <w:t>/</w:t>
            </w:r>
          </w:p>
        </w:tc>
        <w:tc>
          <w:tcPr>
            <w:tcW w:w="1594" w:type="dxa"/>
            <w:gridSpan w:val="3"/>
            <w:vAlign w:val="center"/>
          </w:tcPr>
          <w:p w14:paraId="094579E8"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Desempleo</w:t>
            </w:r>
            <w:r w:rsidRPr="00A808BF">
              <w:rPr>
                <w:rFonts w:eastAsia="Times New Roman"/>
                <w:b/>
                <w:sz w:val="12"/>
                <w:szCs w:val="12"/>
                <w:u w:val="single"/>
                <w:vertAlign w:val="superscript"/>
                <w:lang w:val="es-ES"/>
              </w:rPr>
              <w:t>3</w:t>
            </w:r>
            <w:r w:rsidRPr="00A808BF">
              <w:rPr>
                <w:rFonts w:eastAsia="Times New Roman"/>
                <w:b/>
                <w:sz w:val="12"/>
                <w:szCs w:val="12"/>
                <w:vertAlign w:val="superscript"/>
                <w:lang w:val="es-ES"/>
              </w:rPr>
              <w:t>/</w:t>
            </w:r>
          </w:p>
        </w:tc>
      </w:tr>
      <w:tr w:rsidR="009B1CF2" w:rsidRPr="009B1CF2" w14:paraId="5D223AC2" w14:textId="77777777" w:rsidTr="00B23EA2">
        <w:trPr>
          <w:jc w:val="center"/>
        </w:trPr>
        <w:tc>
          <w:tcPr>
            <w:tcW w:w="1985" w:type="dxa"/>
            <w:vMerge/>
          </w:tcPr>
          <w:p w14:paraId="5E18D57C" w14:textId="77777777" w:rsidR="009B1CF2" w:rsidRPr="00A808BF" w:rsidRDefault="009B1CF2" w:rsidP="009B1CF2">
            <w:pPr>
              <w:rPr>
                <w:rFonts w:eastAsia="Times New Roman"/>
                <w:b/>
                <w:sz w:val="12"/>
                <w:szCs w:val="12"/>
                <w:lang w:val="es-ES"/>
              </w:rPr>
            </w:pPr>
          </w:p>
        </w:tc>
        <w:tc>
          <w:tcPr>
            <w:tcW w:w="567" w:type="dxa"/>
            <w:vMerge w:val="restart"/>
            <w:shd w:val="clear" w:color="auto" w:fill="auto"/>
            <w:vAlign w:val="bottom"/>
          </w:tcPr>
          <w:p w14:paraId="79C2EB3B"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34" w:type="dxa"/>
            <w:gridSpan w:val="2"/>
            <w:shd w:val="clear" w:color="auto" w:fill="auto"/>
            <w:vAlign w:val="center"/>
          </w:tcPr>
          <w:p w14:paraId="45C739E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67" w:type="dxa"/>
            <w:vMerge w:val="restart"/>
            <w:shd w:val="clear" w:color="auto" w:fill="auto"/>
            <w:vAlign w:val="bottom"/>
          </w:tcPr>
          <w:p w14:paraId="0706574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34" w:type="dxa"/>
            <w:gridSpan w:val="2"/>
            <w:shd w:val="clear" w:color="auto" w:fill="auto"/>
            <w:vAlign w:val="center"/>
          </w:tcPr>
          <w:p w14:paraId="194EDCEB"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663" w:type="dxa"/>
            <w:vMerge w:val="restart"/>
            <w:vAlign w:val="bottom"/>
          </w:tcPr>
          <w:p w14:paraId="017DD79A"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45" w:type="dxa"/>
            <w:gridSpan w:val="2"/>
            <w:vAlign w:val="center"/>
          </w:tcPr>
          <w:p w14:paraId="53C4D33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32" w:type="dxa"/>
            <w:vMerge w:val="restart"/>
            <w:vAlign w:val="bottom"/>
          </w:tcPr>
          <w:p w14:paraId="40E7952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62" w:type="dxa"/>
            <w:gridSpan w:val="2"/>
            <w:vAlign w:val="center"/>
          </w:tcPr>
          <w:p w14:paraId="0F522355"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r>
      <w:tr w:rsidR="009B1CF2" w:rsidRPr="009B1CF2" w14:paraId="4A0001C8" w14:textId="77777777" w:rsidTr="00B23EA2">
        <w:trPr>
          <w:jc w:val="center"/>
        </w:trPr>
        <w:tc>
          <w:tcPr>
            <w:tcW w:w="1985" w:type="dxa"/>
            <w:vMerge/>
          </w:tcPr>
          <w:p w14:paraId="05351E3D" w14:textId="77777777" w:rsidR="009B1CF2" w:rsidRPr="00A808BF" w:rsidRDefault="009B1CF2" w:rsidP="009B1CF2">
            <w:pPr>
              <w:rPr>
                <w:rFonts w:eastAsia="Times New Roman"/>
                <w:b/>
                <w:sz w:val="12"/>
                <w:szCs w:val="12"/>
                <w:lang w:val="es-ES"/>
              </w:rPr>
            </w:pPr>
          </w:p>
        </w:tc>
        <w:tc>
          <w:tcPr>
            <w:tcW w:w="567" w:type="dxa"/>
            <w:vMerge/>
          </w:tcPr>
          <w:p w14:paraId="61D5C401" w14:textId="77777777" w:rsidR="009B1CF2" w:rsidRPr="00A808BF" w:rsidRDefault="009B1CF2" w:rsidP="009B1CF2">
            <w:pPr>
              <w:ind w:right="57"/>
              <w:jc w:val="center"/>
              <w:rPr>
                <w:rFonts w:eastAsia="Times New Roman"/>
                <w:b/>
                <w:sz w:val="12"/>
                <w:szCs w:val="12"/>
                <w:lang w:val="es-ES"/>
              </w:rPr>
            </w:pPr>
          </w:p>
        </w:tc>
        <w:tc>
          <w:tcPr>
            <w:tcW w:w="567" w:type="dxa"/>
          </w:tcPr>
          <w:p w14:paraId="60CD3CE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67" w:type="dxa"/>
          </w:tcPr>
          <w:p w14:paraId="3CA5F19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67" w:type="dxa"/>
            <w:vMerge/>
          </w:tcPr>
          <w:p w14:paraId="4530E905" w14:textId="77777777" w:rsidR="009B1CF2" w:rsidRPr="00A808BF" w:rsidRDefault="009B1CF2" w:rsidP="009B1CF2">
            <w:pPr>
              <w:ind w:right="57"/>
              <w:jc w:val="center"/>
              <w:rPr>
                <w:rFonts w:eastAsia="Times New Roman"/>
                <w:b/>
                <w:sz w:val="12"/>
                <w:szCs w:val="12"/>
                <w:lang w:val="es-ES"/>
              </w:rPr>
            </w:pPr>
          </w:p>
        </w:tc>
        <w:tc>
          <w:tcPr>
            <w:tcW w:w="567" w:type="dxa"/>
          </w:tcPr>
          <w:p w14:paraId="0068382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67" w:type="dxa"/>
          </w:tcPr>
          <w:p w14:paraId="393E6FF5"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663" w:type="dxa"/>
            <w:vMerge/>
          </w:tcPr>
          <w:p w14:paraId="2B59CA4C" w14:textId="77777777" w:rsidR="009B1CF2" w:rsidRPr="00A808BF" w:rsidRDefault="009B1CF2" w:rsidP="009B1CF2">
            <w:pPr>
              <w:ind w:right="113"/>
              <w:jc w:val="center"/>
              <w:rPr>
                <w:rFonts w:eastAsia="Times New Roman"/>
                <w:b/>
                <w:sz w:val="12"/>
                <w:szCs w:val="12"/>
                <w:lang w:val="es-ES"/>
              </w:rPr>
            </w:pPr>
          </w:p>
        </w:tc>
        <w:tc>
          <w:tcPr>
            <w:tcW w:w="540" w:type="dxa"/>
          </w:tcPr>
          <w:p w14:paraId="2EB281A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605" w:type="dxa"/>
          </w:tcPr>
          <w:p w14:paraId="1123C3E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32" w:type="dxa"/>
            <w:vMerge/>
          </w:tcPr>
          <w:p w14:paraId="242004AF" w14:textId="77777777" w:rsidR="009B1CF2" w:rsidRPr="00A808BF" w:rsidRDefault="009B1CF2" w:rsidP="009B1CF2">
            <w:pPr>
              <w:ind w:right="113"/>
              <w:jc w:val="center"/>
              <w:rPr>
                <w:rFonts w:eastAsia="Times New Roman"/>
                <w:b/>
                <w:sz w:val="12"/>
                <w:szCs w:val="12"/>
                <w:lang w:val="es-ES"/>
              </w:rPr>
            </w:pPr>
          </w:p>
        </w:tc>
        <w:tc>
          <w:tcPr>
            <w:tcW w:w="495" w:type="dxa"/>
          </w:tcPr>
          <w:p w14:paraId="7B60802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67" w:type="dxa"/>
          </w:tcPr>
          <w:p w14:paraId="4020EBB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r>
      <w:tr w:rsidR="009B1CF2" w:rsidRPr="009B1CF2" w14:paraId="3EF2559E" w14:textId="77777777" w:rsidTr="00B23EA2">
        <w:trPr>
          <w:jc w:val="center"/>
        </w:trPr>
        <w:tc>
          <w:tcPr>
            <w:tcW w:w="1985" w:type="dxa"/>
            <w:tcBorders>
              <w:bottom w:val="single" w:sz="4" w:space="0" w:color="auto"/>
            </w:tcBorders>
          </w:tcPr>
          <w:p w14:paraId="7D512CDF"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América del Norte</w:t>
            </w:r>
          </w:p>
        </w:tc>
        <w:tc>
          <w:tcPr>
            <w:tcW w:w="567" w:type="dxa"/>
            <w:tcBorders>
              <w:bottom w:val="single" w:sz="4" w:space="0" w:color="auto"/>
            </w:tcBorders>
          </w:tcPr>
          <w:p w14:paraId="2E33515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67" w:type="dxa"/>
            <w:tcBorders>
              <w:bottom w:val="single" w:sz="4" w:space="0" w:color="auto"/>
            </w:tcBorders>
          </w:tcPr>
          <w:p w14:paraId="01C4207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3.0</w:t>
            </w:r>
          </w:p>
        </w:tc>
        <w:tc>
          <w:tcPr>
            <w:tcW w:w="567" w:type="dxa"/>
            <w:tcBorders>
              <w:bottom w:val="single" w:sz="4" w:space="0" w:color="auto"/>
            </w:tcBorders>
          </w:tcPr>
          <w:p w14:paraId="5C1F49D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3.0</w:t>
            </w:r>
          </w:p>
        </w:tc>
        <w:tc>
          <w:tcPr>
            <w:tcW w:w="567" w:type="dxa"/>
            <w:tcBorders>
              <w:bottom w:val="single" w:sz="4" w:space="0" w:color="auto"/>
            </w:tcBorders>
          </w:tcPr>
          <w:p w14:paraId="3761265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1.9</w:t>
            </w:r>
          </w:p>
        </w:tc>
        <w:tc>
          <w:tcPr>
            <w:tcW w:w="567" w:type="dxa"/>
            <w:tcBorders>
              <w:bottom w:val="single" w:sz="4" w:space="0" w:color="auto"/>
            </w:tcBorders>
          </w:tcPr>
          <w:p w14:paraId="2509731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0.5</w:t>
            </w:r>
          </w:p>
        </w:tc>
        <w:tc>
          <w:tcPr>
            <w:tcW w:w="567" w:type="dxa"/>
            <w:tcBorders>
              <w:bottom w:val="single" w:sz="4" w:space="0" w:color="auto"/>
            </w:tcBorders>
          </w:tcPr>
          <w:p w14:paraId="768FE5E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1.7</w:t>
            </w:r>
          </w:p>
        </w:tc>
        <w:tc>
          <w:tcPr>
            <w:tcW w:w="663" w:type="dxa"/>
            <w:tcBorders>
              <w:bottom w:val="single" w:sz="4" w:space="0" w:color="auto"/>
            </w:tcBorders>
          </w:tcPr>
          <w:p w14:paraId="0973DED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-2.3</w:t>
            </w:r>
          </w:p>
        </w:tc>
        <w:tc>
          <w:tcPr>
            <w:tcW w:w="540" w:type="dxa"/>
            <w:tcBorders>
              <w:bottom w:val="single" w:sz="4" w:space="0" w:color="auto"/>
            </w:tcBorders>
          </w:tcPr>
          <w:p w14:paraId="3D394EDA"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-2.3</w:t>
            </w:r>
          </w:p>
        </w:tc>
        <w:tc>
          <w:tcPr>
            <w:tcW w:w="605" w:type="dxa"/>
            <w:tcBorders>
              <w:bottom w:val="single" w:sz="4" w:space="0" w:color="auto"/>
            </w:tcBorders>
          </w:tcPr>
          <w:p w14:paraId="5A92CC1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32" w:type="dxa"/>
            <w:tcBorders>
              <w:bottom w:val="single" w:sz="4" w:space="0" w:color="auto"/>
            </w:tcBorders>
          </w:tcPr>
          <w:p w14:paraId="4CADB3A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495" w:type="dxa"/>
            <w:tcBorders>
              <w:bottom w:val="single" w:sz="4" w:space="0" w:color="auto"/>
            </w:tcBorders>
          </w:tcPr>
          <w:p w14:paraId="3ED2DBB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67" w:type="dxa"/>
            <w:tcBorders>
              <w:bottom w:val="single" w:sz="4" w:space="0" w:color="auto"/>
            </w:tcBorders>
          </w:tcPr>
          <w:p w14:paraId="3A43326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428ACC7A" w14:textId="77777777" w:rsidTr="00B23EA2">
        <w:trPr>
          <w:jc w:val="center"/>
        </w:trPr>
        <w:tc>
          <w:tcPr>
            <w:tcW w:w="1985" w:type="dxa"/>
            <w:tcBorders>
              <w:bottom w:val="nil"/>
            </w:tcBorders>
          </w:tcPr>
          <w:p w14:paraId="71CB55F4"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Estados Unido</w:t>
            </w:r>
            <w:r w:rsidRPr="00A808BF">
              <w:rPr>
                <w:rFonts w:eastAsia="Times New Roman"/>
                <w:b/>
                <w:sz w:val="12"/>
                <w:szCs w:val="12"/>
                <w:lang w:val="es-ES"/>
              </w:rPr>
              <w:t>s</w:t>
            </w:r>
            <w:r w:rsidRPr="00A808BF">
              <w:rPr>
                <w:rFonts w:eastAsia="Times New Roman"/>
                <w:sz w:val="12"/>
                <w:szCs w:val="12"/>
                <w:lang w:val="es-ES"/>
              </w:rPr>
              <w:t xml:space="preserve"> de Norteamérica</w:t>
            </w:r>
            <w:r w:rsidRPr="00A808BF">
              <w:rPr>
                <w:rFonts w:eastAsia="Times New Roman"/>
                <w:b/>
                <w:sz w:val="12"/>
                <w:szCs w:val="12"/>
                <w:u w:val="single"/>
                <w:vertAlign w:val="superscript"/>
                <w:lang w:val="es-ES"/>
              </w:rPr>
              <w:t>4</w:t>
            </w:r>
            <w:r w:rsidRPr="00A808BF">
              <w:rPr>
                <w:rFonts w:eastAsia="Times New Roman"/>
                <w:b/>
                <w:sz w:val="12"/>
                <w:szCs w:val="12"/>
                <w:vertAlign w:val="superscript"/>
                <w:lang w:val="es-ES"/>
              </w:rPr>
              <w:t>/</w:t>
            </w:r>
          </w:p>
        </w:tc>
        <w:tc>
          <w:tcPr>
            <w:tcW w:w="567" w:type="dxa"/>
            <w:tcBorders>
              <w:bottom w:val="nil"/>
            </w:tcBorders>
          </w:tcPr>
          <w:p w14:paraId="20AD5D6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67" w:type="dxa"/>
            <w:tcBorders>
              <w:bottom w:val="nil"/>
            </w:tcBorders>
          </w:tcPr>
          <w:p w14:paraId="35E4809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67" w:type="dxa"/>
            <w:tcBorders>
              <w:bottom w:val="nil"/>
            </w:tcBorders>
          </w:tcPr>
          <w:p w14:paraId="1A263B0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67" w:type="dxa"/>
            <w:tcBorders>
              <w:bottom w:val="nil"/>
            </w:tcBorders>
          </w:tcPr>
          <w:p w14:paraId="47B4813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67" w:type="dxa"/>
            <w:tcBorders>
              <w:bottom w:val="nil"/>
            </w:tcBorders>
          </w:tcPr>
          <w:p w14:paraId="72CF1CB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67" w:type="dxa"/>
            <w:tcBorders>
              <w:bottom w:val="nil"/>
            </w:tcBorders>
          </w:tcPr>
          <w:p w14:paraId="0E8D4F4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663" w:type="dxa"/>
            <w:tcBorders>
              <w:bottom w:val="nil"/>
            </w:tcBorders>
          </w:tcPr>
          <w:p w14:paraId="5E26420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bottom w:val="nil"/>
            </w:tcBorders>
          </w:tcPr>
          <w:p w14:paraId="7CC1244B"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-2.3</w:t>
            </w:r>
          </w:p>
        </w:tc>
        <w:tc>
          <w:tcPr>
            <w:tcW w:w="605" w:type="dxa"/>
            <w:tcBorders>
              <w:bottom w:val="nil"/>
            </w:tcBorders>
          </w:tcPr>
          <w:p w14:paraId="189A523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32" w:type="dxa"/>
            <w:tcBorders>
              <w:bottom w:val="nil"/>
            </w:tcBorders>
          </w:tcPr>
          <w:p w14:paraId="7350393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c>
          <w:tcPr>
            <w:tcW w:w="495" w:type="dxa"/>
            <w:tcBorders>
              <w:bottom w:val="nil"/>
            </w:tcBorders>
          </w:tcPr>
          <w:p w14:paraId="67B069F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67" w:type="dxa"/>
            <w:tcBorders>
              <w:bottom w:val="nil"/>
            </w:tcBorders>
          </w:tcPr>
          <w:p w14:paraId="75DD36C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r>
      <w:tr w:rsidR="009B1CF2" w:rsidRPr="009B1CF2" w14:paraId="72E0CE92" w14:textId="77777777" w:rsidTr="00B23EA2">
        <w:trPr>
          <w:jc w:val="center"/>
        </w:trPr>
        <w:tc>
          <w:tcPr>
            <w:tcW w:w="1985" w:type="dxa"/>
            <w:tcBorders>
              <w:top w:val="nil"/>
              <w:bottom w:val="nil"/>
            </w:tcBorders>
          </w:tcPr>
          <w:p w14:paraId="61D3450D"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Canadá</w:t>
            </w:r>
          </w:p>
        </w:tc>
        <w:tc>
          <w:tcPr>
            <w:tcW w:w="567" w:type="dxa"/>
            <w:tcBorders>
              <w:top w:val="nil"/>
              <w:bottom w:val="nil"/>
            </w:tcBorders>
          </w:tcPr>
          <w:p w14:paraId="010CF0A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67" w:type="dxa"/>
            <w:tcBorders>
              <w:top w:val="nil"/>
              <w:bottom w:val="nil"/>
            </w:tcBorders>
          </w:tcPr>
          <w:p w14:paraId="6879AE0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67" w:type="dxa"/>
            <w:tcBorders>
              <w:top w:val="nil"/>
              <w:bottom w:val="nil"/>
            </w:tcBorders>
          </w:tcPr>
          <w:p w14:paraId="1F154D0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67" w:type="dxa"/>
            <w:tcBorders>
              <w:top w:val="nil"/>
              <w:bottom w:val="nil"/>
            </w:tcBorders>
          </w:tcPr>
          <w:p w14:paraId="0F39FE9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67" w:type="dxa"/>
            <w:tcBorders>
              <w:top w:val="nil"/>
              <w:bottom w:val="nil"/>
            </w:tcBorders>
          </w:tcPr>
          <w:p w14:paraId="3EE8749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67" w:type="dxa"/>
            <w:tcBorders>
              <w:top w:val="nil"/>
              <w:bottom w:val="nil"/>
            </w:tcBorders>
          </w:tcPr>
          <w:p w14:paraId="76CCC1B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663" w:type="dxa"/>
            <w:tcBorders>
              <w:top w:val="nil"/>
              <w:bottom w:val="nil"/>
            </w:tcBorders>
          </w:tcPr>
          <w:p w14:paraId="283101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bottom w:val="nil"/>
            </w:tcBorders>
          </w:tcPr>
          <w:p w14:paraId="7B1BC12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-2.6</w:t>
            </w:r>
          </w:p>
        </w:tc>
        <w:tc>
          <w:tcPr>
            <w:tcW w:w="605" w:type="dxa"/>
            <w:tcBorders>
              <w:top w:val="nil"/>
              <w:bottom w:val="nil"/>
            </w:tcBorders>
          </w:tcPr>
          <w:p w14:paraId="72CD5EF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32" w:type="dxa"/>
            <w:tcBorders>
              <w:top w:val="nil"/>
              <w:bottom w:val="nil"/>
            </w:tcBorders>
          </w:tcPr>
          <w:p w14:paraId="4BC1F2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c>
          <w:tcPr>
            <w:tcW w:w="495" w:type="dxa"/>
            <w:tcBorders>
              <w:top w:val="nil"/>
              <w:bottom w:val="nil"/>
            </w:tcBorders>
          </w:tcPr>
          <w:p w14:paraId="6A8A2CF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67" w:type="dxa"/>
            <w:tcBorders>
              <w:top w:val="nil"/>
              <w:bottom w:val="nil"/>
            </w:tcBorders>
          </w:tcPr>
          <w:p w14:paraId="51EC576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r>
      <w:tr w:rsidR="009B1CF2" w:rsidRPr="009B1CF2" w14:paraId="14E9884E" w14:textId="77777777" w:rsidTr="00B23EA2">
        <w:trPr>
          <w:jc w:val="center"/>
        </w:trPr>
        <w:tc>
          <w:tcPr>
            <w:tcW w:w="1985" w:type="dxa"/>
            <w:tcBorders>
              <w:top w:val="nil"/>
              <w:bottom w:val="nil"/>
            </w:tcBorders>
          </w:tcPr>
          <w:p w14:paraId="3561A8EE"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México</w:t>
            </w:r>
          </w:p>
        </w:tc>
        <w:tc>
          <w:tcPr>
            <w:tcW w:w="567" w:type="dxa"/>
            <w:tcBorders>
              <w:top w:val="nil"/>
              <w:bottom w:val="nil"/>
            </w:tcBorders>
          </w:tcPr>
          <w:p w14:paraId="7E9A8FE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67" w:type="dxa"/>
            <w:tcBorders>
              <w:top w:val="nil"/>
              <w:bottom w:val="nil"/>
            </w:tcBorders>
          </w:tcPr>
          <w:p w14:paraId="0A8F31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67" w:type="dxa"/>
            <w:tcBorders>
              <w:top w:val="nil"/>
              <w:bottom w:val="nil"/>
            </w:tcBorders>
          </w:tcPr>
          <w:p w14:paraId="3268693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67" w:type="dxa"/>
            <w:tcBorders>
              <w:top w:val="nil"/>
              <w:bottom w:val="nil"/>
            </w:tcBorders>
          </w:tcPr>
          <w:p w14:paraId="6A99EA9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2DC90A0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67" w:type="dxa"/>
            <w:tcBorders>
              <w:top w:val="nil"/>
              <w:bottom w:val="nil"/>
            </w:tcBorders>
          </w:tcPr>
          <w:p w14:paraId="1493903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663" w:type="dxa"/>
            <w:tcBorders>
              <w:top w:val="nil"/>
              <w:bottom w:val="nil"/>
            </w:tcBorders>
          </w:tcPr>
          <w:p w14:paraId="7C1001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bottom w:val="nil"/>
            </w:tcBorders>
          </w:tcPr>
          <w:p w14:paraId="0D2664D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-2.2</w:t>
            </w:r>
          </w:p>
        </w:tc>
        <w:tc>
          <w:tcPr>
            <w:tcW w:w="605" w:type="dxa"/>
            <w:tcBorders>
              <w:top w:val="nil"/>
              <w:bottom w:val="nil"/>
            </w:tcBorders>
          </w:tcPr>
          <w:p w14:paraId="14F78F9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32" w:type="dxa"/>
            <w:tcBorders>
              <w:top w:val="nil"/>
              <w:bottom w:val="nil"/>
            </w:tcBorders>
          </w:tcPr>
          <w:p w14:paraId="784CFEA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495" w:type="dxa"/>
            <w:tcBorders>
              <w:top w:val="nil"/>
              <w:bottom w:val="nil"/>
            </w:tcBorders>
          </w:tcPr>
          <w:p w14:paraId="3CD33D1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67" w:type="dxa"/>
            <w:tcBorders>
              <w:top w:val="nil"/>
              <w:bottom w:val="nil"/>
            </w:tcBorders>
          </w:tcPr>
          <w:p w14:paraId="0EDB7A2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r>
      <w:tr w:rsidR="009B1CF2" w:rsidRPr="009B1CF2" w14:paraId="20454FD9" w14:textId="77777777" w:rsidTr="00B23EA2">
        <w:trPr>
          <w:jc w:val="center"/>
        </w:trPr>
        <w:tc>
          <w:tcPr>
            <w:tcW w:w="1985" w:type="dxa"/>
            <w:tcBorders>
              <w:top w:val="nil"/>
              <w:bottom w:val="nil"/>
            </w:tcBorders>
          </w:tcPr>
          <w:p w14:paraId="5E1EC7EA"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América del Sur</w:t>
            </w:r>
            <w:r w:rsidRPr="00A808BF">
              <w:rPr>
                <w:rFonts w:eastAsia="Times New Roman"/>
                <w:b/>
                <w:sz w:val="12"/>
                <w:szCs w:val="12"/>
                <w:u w:val="single"/>
                <w:vertAlign w:val="superscript"/>
                <w:lang w:val="es-ES"/>
              </w:rPr>
              <w:t>4</w:t>
            </w:r>
            <w:r w:rsidRPr="00A808BF">
              <w:rPr>
                <w:rFonts w:eastAsia="Times New Roman"/>
                <w:b/>
                <w:sz w:val="12"/>
                <w:szCs w:val="12"/>
                <w:vertAlign w:val="superscript"/>
                <w:lang w:val="es-ES"/>
              </w:rPr>
              <w:t>/</w:t>
            </w:r>
          </w:p>
        </w:tc>
        <w:tc>
          <w:tcPr>
            <w:tcW w:w="567" w:type="dxa"/>
            <w:tcBorders>
              <w:top w:val="nil"/>
              <w:bottom w:val="nil"/>
            </w:tcBorders>
          </w:tcPr>
          <w:p w14:paraId="5DE842F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0.7</w:t>
            </w:r>
          </w:p>
        </w:tc>
        <w:tc>
          <w:tcPr>
            <w:tcW w:w="567" w:type="dxa"/>
            <w:tcBorders>
              <w:top w:val="nil"/>
              <w:bottom w:val="nil"/>
            </w:tcBorders>
          </w:tcPr>
          <w:p w14:paraId="325DA0D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-0.2</w:t>
            </w:r>
          </w:p>
        </w:tc>
        <w:tc>
          <w:tcPr>
            <w:tcW w:w="567" w:type="dxa"/>
            <w:tcBorders>
              <w:top w:val="nil"/>
              <w:bottom w:val="nil"/>
            </w:tcBorders>
          </w:tcPr>
          <w:p w14:paraId="4CF16C1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1.3</w:t>
            </w:r>
          </w:p>
        </w:tc>
        <w:tc>
          <w:tcPr>
            <w:tcW w:w="567" w:type="dxa"/>
            <w:tcBorders>
              <w:top w:val="nil"/>
              <w:bottom w:val="nil"/>
            </w:tcBorders>
          </w:tcPr>
          <w:p w14:paraId="64CDA45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67" w:type="dxa"/>
            <w:tcBorders>
              <w:top w:val="nil"/>
              <w:bottom w:val="nil"/>
            </w:tcBorders>
          </w:tcPr>
          <w:p w14:paraId="4025CD6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67" w:type="dxa"/>
            <w:tcBorders>
              <w:top w:val="nil"/>
              <w:bottom w:val="nil"/>
            </w:tcBorders>
          </w:tcPr>
          <w:p w14:paraId="0546E78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663" w:type="dxa"/>
            <w:tcBorders>
              <w:top w:val="nil"/>
              <w:bottom w:val="nil"/>
            </w:tcBorders>
          </w:tcPr>
          <w:p w14:paraId="0C2CF57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-2.9</w:t>
            </w:r>
          </w:p>
        </w:tc>
        <w:tc>
          <w:tcPr>
            <w:tcW w:w="540" w:type="dxa"/>
            <w:tcBorders>
              <w:top w:val="nil"/>
              <w:bottom w:val="nil"/>
            </w:tcBorders>
          </w:tcPr>
          <w:p w14:paraId="33D1C4C0"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-3.5</w:t>
            </w:r>
          </w:p>
        </w:tc>
        <w:tc>
          <w:tcPr>
            <w:tcW w:w="605" w:type="dxa"/>
            <w:tcBorders>
              <w:top w:val="nil"/>
              <w:bottom w:val="nil"/>
            </w:tcBorders>
          </w:tcPr>
          <w:p w14:paraId="1175D08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-3.2</w:t>
            </w:r>
          </w:p>
        </w:tc>
        <w:tc>
          <w:tcPr>
            <w:tcW w:w="532" w:type="dxa"/>
            <w:tcBorders>
              <w:top w:val="nil"/>
              <w:bottom w:val="nil"/>
            </w:tcBorders>
          </w:tcPr>
          <w:p w14:paraId="6FCD3ED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495" w:type="dxa"/>
            <w:tcBorders>
              <w:top w:val="nil"/>
              <w:bottom w:val="nil"/>
            </w:tcBorders>
          </w:tcPr>
          <w:p w14:paraId="2FF033E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67" w:type="dxa"/>
            <w:tcBorders>
              <w:top w:val="nil"/>
              <w:bottom w:val="nil"/>
            </w:tcBorders>
          </w:tcPr>
          <w:p w14:paraId="2D047D3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33977261" w14:textId="77777777" w:rsidTr="00B23EA2">
        <w:trPr>
          <w:jc w:val="center"/>
        </w:trPr>
        <w:tc>
          <w:tcPr>
            <w:tcW w:w="1985" w:type="dxa"/>
            <w:tcBorders>
              <w:top w:val="nil"/>
              <w:bottom w:val="nil"/>
            </w:tcBorders>
          </w:tcPr>
          <w:p w14:paraId="1E1504A3"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Brasil</w:t>
            </w:r>
          </w:p>
        </w:tc>
        <w:tc>
          <w:tcPr>
            <w:tcW w:w="567" w:type="dxa"/>
            <w:tcBorders>
              <w:top w:val="nil"/>
              <w:bottom w:val="nil"/>
            </w:tcBorders>
          </w:tcPr>
          <w:p w14:paraId="275F9BA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67" w:type="dxa"/>
            <w:tcBorders>
              <w:top w:val="nil"/>
              <w:bottom w:val="nil"/>
            </w:tcBorders>
          </w:tcPr>
          <w:p w14:paraId="19E36F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67" w:type="dxa"/>
            <w:tcBorders>
              <w:top w:val="nil"/>
              <w:bottom w:val="nil"/>
            </w:tcBorders>
          </w:tcPr>
          <w:p w14:paraId="454A70A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67" w:type="dxa"/>
            <w:tcBorders>
              <w:top w:val="nil"/>
              <w:bottom w:val="nil"/>
            </w:tcBorders>
          </w:tcPr>
          <w:p w14:paraId="53D18D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67" w:type="dxa"/>
            <w:tcBorders>
              <w:top w:val="nil"/>
              <w:bottom w:val="nil"/>
            </w:tcBorders>
          </w:tcPr>
          <w:p w14:paraId="293E278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7.8</w:t>
            </w:r>
          </w:p>
        </w:tc>
        <w:tc>
          <w:tcPr>
            <w:tcW w:w="567" w:type="dxa"/>
            <w:tcBorders>
              <w:top w:val="nil"/>
              <w:bottom w:val="nil"/>
            </w:tcBorders>
          </w:tcPr>
          <w:p w14:paraId="507EE72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5.9</w:t>
            </w:r>
          </w:p>
        </w:tc>
        <w:tc>
          <w:tcPr>
            <w:tcW w:w="663" w:type="dxa"/>
            <w:tcBorders>
              <w:top w:val="nil"/>
              <w:bottom w:val="nil"/>
            </w:tcBorders>
          </w:tcPr>
          <w:p w14:paraId="2F772BE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-3.9</w:t>
            </w:r>
          </w:p>
        </w:tc>
        <w:tc>
          <w:tcPr>
            <w:tcW w:w="540" w:type="dxa"/>
            <w:tcBorders>
              <w:top w:val="nil"/>
              <w:bottom w:val="nil"/>
            </w:tcBorders>
          </w:tcPr>
          <w:p w14:paraId="09DBD0C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-3.7</w:t>
            </w:r>
          </w:p>
        </w:tc>
        <w:tc>
          <w:tcPr>
            <w:tcW w:w="605" w:type="dxa"/>
            <w:tcBorders>
              <w:top w:val="nil"/>
              <w:bottom w:val="nil"/>
            </w:tcBorders>
          </w:tcPr>
          <w:p w14:paraId="50E51A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32" w:type="dxa"/>
            <w:tcBorders>
              <w:top w:val="nil"/>
              <w:bottom w:val="nil"/>
            </w:tcBorders>
          </w:tcPr>
          <w:p w14:paraId="00474F5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495" w:type="dxa"/>
            <w:tcBorders>
              <w:top w:val="nil"/>
              <w:bottom w:val="nil"/>
            </w:tcBorders>
          </w:tcPr>
          <w:p w14:paraId="4ABAA00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5.9</w:t>
            </w:r>
          </w:p>
        </w:tc>
        <w:tc>
          <w:tcPr>
            <w:tcW w:w="567" w:type="dxa"/>
            <w:tcBorders>
              <w:top w:val="nil"/>
              <w:bottom w:val="nil"/>
            </w:tcBorders>
          </w:tcPr>
          <w:p w14:paraId="74992E7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r>
      <w:tr w:rsidR="009B1CF2" w:rsidRPr="009B1CF2" w14:paraId="5A41CBFC" w14:textId="77777777" w:rsidTr="00B23EA2">
        <w:trPr>
          <w:jc w:val="center"/>
        </w:trPr>
        <w:tc>
          <w:tcPr>
            <w:tcW w:w="1985" w:type="dxa"/>
            <w:tcBorders>
              <w:top w:val="nil"/>
              <w:bottom w:val="nil"/>
            </w:tcBorders>
          </w:tcPr>
          <w:p w14:paraId="540BB819"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Argentina</w:t>
            </w:r>
            <w:r w:rsidRPr="00A808BF">
              <w:rPr>
                <w:rFonts w:eastAsia="Times New Roman"/>
                <w:b/>
                <w:sz w:val="12"/>
                <w:szCs w:val="12"/>
                <w:u w:val="single"/>
                <w:vertAlign w:val="superscript"/>
                <w:lang w:val="es-ES"/>
              </w:rPr>
              <w:t>5</w:t>
            </w:r>
            <w:r w:rsidRPr="00A808BF">
              <w:rPr>
                <w:rFonts w:eastAsia="Times New Roman"/>
                <w:b/>
                <w:sz w:val="12"/>
                <w:szCs w:val="12"/>
                <w:vertAlign w:val="superscript"/>
                <w:lang w:val="es-ES"/>
              </w:rPr>
              <w:t>/</w:t>
            </w:r>
            <w:r w:rsidRPr="00A808BF">
              <w:rPr>
                <w:rFonts w:eastAsia="Times New Roman"/>
                <w:b/>
                <w:sz w:val="12"/>
                <w:szCs w:val="12"/>
                <w:u w:val="single"/>
                <w:vertAlign w:val="superscript"/>
                <w:lang w:val="es-ES"/>
              </w:rPr>
              <w:t xml:space="preserve"> 6</w:t>
            </w:r>
            <w:r w:rsidRPr="00A808BF">
              <w:rPr>
                <w:rFonts w:eastAsia="Times New Roman"/>
                <w:b/>
                <w:sz w:val="12"/>
                <w:szCs w:val="12"/>
                <w:vertAlign w:val="superscript"/>
                <w:lang w:val="es-ES"/>
              </w:rPr>
              <w:t>/</w:t>
            </w:r>
          </w:p>
        </w:tc>
        <w:tc>
          <w:tcPr>
            <w:tcW w:w="567" w:type="dxa"/>
            <w:tcBorders>
              <w:top w:val="nil"/>
              <w:bottom w:val="nil"/>
            </w:tcBorders>
          </w:tcPr>
          <w:p w14:paraId="60A26E2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67" w:type="dxa"/>
            <w:tcBorders>
              <w:top w:val="nil"/>
              <w:bottom w:val="nil"/>
            </w:tcBorders>
          </w:tcPr>
          <w:p w14:paraId="5268843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67" w:type="dxa"/>
            <w:tcBorders>
              <w:top w:val="nil"/>
              <w:bottom w:val="nil"/>
            </w:tcBorders>
          </w:tcPr>
          <w:p w14:paraId="0EA424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67" w:type="dxa"/>
            <w:tcBorders>
              <w:top w:val="nil"/>
              <w:bottom w:val="nil"/>
            </w:tcBorders>
          </w:tcPr>
          <w:p w14:paraId="4A0E38B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67" w:type="dxa"/>
            <w:tcBorders>
              <w:top w:val="nil"/>
              <w:bottom w:val="nil"/>
            </w:tcBorders>
          </w:tcPr>
          <w:p w14:paraId="1EA252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18.6</w:t>
            </w:r>
          </w:p>
        </w:tc>
        <w:tc>
          <w:tcPr>
            <w:tcW w:w="567" w:type="dxa"/>
            <w:tcBorders>
              <w:top w:val="nil"/>
              <w:bottom w:val="nil"/>
            </w:tcBorders>
          </w:tcPr>
          <w:p w14:paraId="544C23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23.2</w:t>
            </w:r>
          </w:p>
        </w:tc>
        <w:tc>
          <w:tcPr>
            <w:tcW w:w="663" w:type="dxa"/>
            <w:tcBorders>
              <w:top w:val="nil"/>
              <w:bottom w:val="nil"/>
            </w:tcBorders>
          </w:tcPr>
          <w:p w14:paraId="080C09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bottom w:val="nil"/>
            </w:tcBorders>
          </w:tcPr>
          <w:p w14:paraId="50D8469C"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-1.7</w:t>
            </w:r>
          </w:p>
        </w:tc>
        <w:tc>
          <w:tcPr>
            <w:tcW w:w="605" w:type="dxa"/>
            <w:tcBorders>
              <w:top w:val="nil"/>
              <w:bottom w:val="nil"/>
            </w:tcBorders>
          </w:tcPr>
          <w:p w14:paraId="1419B25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32" w:type="dxa"/>
            <w:tcBorders>
              <w:top w:val="nil"/>
              <w:bottom w:val="nil"/>
            </w:tcBorders>
          </w:tcPr>
          <w:p w14:paraId="38DB0A5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7.3</w:t>
            </w:r>
          </w:p>
        </w:tc>
        <w:tc>
          <w:tcPr>
            <w:tcW w:w="495" w:type="dxa"/>
            <w:tcBorders>
              <w:top w:val="nil"/>
              <w:bottom w:val="nil"/>
            </w:tcBorders>
          </w:tcPr>
          <w:p w14:paraId="4627C26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67" w:type="dxa"/>
            <w:tcBorders>
              <w:top w:val="nil"/>
              <w:bottom w:val="nil"/>
            </w:tcBorders>
          </w:tcPr>
          <w:p w14:paraId="7E59E8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8.1</w:t>
            </w:r>
          </w:p>
        </w:tc>
      </w:tr>
      <w:tr w:rsidR="009B1CF2" w:rsidRPr="009B1CF2" w14:paraId="2D9684FD" w14:textId="77777777" w:rsidTr="00B23EA2">
        <w:trPr>
          <w:jc w:val="center"/>
        </w:trPr>
        <w:tc>
          <w:tcPr>
            <w:tcW w:w="1985" w:type="dxa"/>
            <w:tcBorders>
              <w:top w:val="nil"/>
              <w:bottom w:val="nil"/>
            </w:tcBorders>
          </w:tcPr>
          <w:p w14:paraId="293B672D"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Colombia</w:t>
            </w:r>
          </w:p>
        </w:tc>
        <w:tc>
          <w:tcPr>
            <w:tcW w:w="567" w:type="dxa"/>
            <w:tcBorders>
              <w:top w:val="nil"/>
              <w:bottom w:val="nil"/>
            </w:tcBorders>
          </w:tcPr>
          <w:p w14:paraId="66F2010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4.6</w:t>
            </w:r>
          </w:p>
        </w:tc>
        <w:tc>
          <w:tcPr>
            <w:tcW w:w="567" w:type="dxa"/>
            <w:tcBorders>
              <w:top w:val="nil"/>
              <w:bottom w:val="nil"/>
            </w:tcBorders>
          </w:tcPr>
          <w:p w14:paraId="6D1DBDD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67" w:type="dxa"/>
            <w:tcBorders>
              <w:top w:val="nil"/>
              <w:bottom w:val="nil"/>
            </w:tcBorders>
          </w:tcPr>
          <w:p w14:paraId="29097EB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c>
          <w:tcPr>
            <w:tcW w:w="567" w:type="dxa"/>
            <w:tcBorders>
              <w:top w:val="nil"/>
              <w:bottom w:val="nil"/>
            </w:tcBorders>
          </w:tcPr>
          <w:p w14:paraId="6C4FB5A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67" w:type="dxa"/>
            <w:tcBorders>
              <w:top w:val="nil"/>
              <w:bottom w:val="nil"/>
            </w:tcBorders>
          </w:tcPr>
          <w:p w14:paraId="48F8D32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67" w:type="dxa"/>
            <w:tcBorders>
              <w:top w:val="nil"/>
              <w:bottom w:val="nil"/>
            </w:tcBorders>
          </w:tcPr>
          <w:p w14:paraId="0CCA944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663" w:type="dxa"/>
            <w:tcBorders>
              <w:top w:val="nil"/>
              <w:bottom w:val="nil"/>
            </w:tcBorders>
          </w:tcPr>
          <w:p w14:paraId="52A8533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1E8C7D5B"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-5.8</w:t>
            </w:r>
          </w:p>
        </w:tc>
        <w:tc>
          <w:tcPr>
            <w:tcW w:w="605" w:type="dxa"/>
            <w:tcBorders>
              <w:top w:val="nil"/>
              <w:bottom w:val="nil"/>
            </w:tcBorders>
          </w:tcPr>
          <w:p w14:paraId="0EB1DDE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32" w:type="dxa"/>
            <w:tcBorders>
              <w:top w:val="nil"/>
              <w:bottom w:val="nil"/>
            </w:tcBorders>
          </w:tcPr>
          <w:p w14:paraId="5899E8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9.1</w:t>
            </w:r>
          </w:p>
        </w:tc>
        <w:tc>
          <w:tcPr>
            <w:tcW w:w="495" w:type="dxa"/>
            <w:tcBorders>
              <w:top w:val="nil"/>
              <w:bottom w:val="nil"/>
            </w:tcBorders>
          </w:tcPr>
          <w:p w14:paraId="23689A2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9.0</w:t>
            </w:r>
          </w:p>
        </w:tc>
        <w:tc>
          <w:tcPr>
            <w:tcW w:w="567" w:type="dxa"/>
            <w:tcBorders>
              <w:top w:val="nil"/>
              <w:bottom w:val="nil"/>
            </w:tcBorders>
          </w:tcPr>
          <w:p w14:paraId="7EEEE36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8.9</w:t>
            </w:r>
          </w:p>
        </w:tc>
      </w:tr>
      <w:tr w:rsidR="009B1CF2" w:rsidRPr="009B1CF2" w14:paraId="416AAA2C" w14:textId="77777777" w:rsidTr="00B23EA2">
        <w:trPr>
          <w:jc w:val="center"/>
        </w:trPr>
        <w:tc>
          <w:tcPr>
            <w:tcW w:w="1985" w:type="dxa"/>
            <w:tcBorders>
              <w:top w:val="nil"/>
              <w:bottom w:val="nil"/>
            </w:tcBorders>
          </w:tcPr>
          <w:p w14:paraId="0278BBF3"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Venezuela</w:t>
            </w:r>
          </w:p>
        </w:tc>
        <w:tc>
          <w:tcPr>
            <w:tcW w:w="567" w:type="dxa"/>
            <w:tcBorders>
              <w:top w:val="nil"/>
              <w:bottom w:val="nil"/>
            </w:tcBorders>
          </w:tcPr>
          <w:p w14:paraId="6CCF0B2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5DECBC8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67" w:type="dxa"/>
            <w:tcBorders>
              <w:top w:val="nil"/>
              <w:bottom w:val="nil"/>
            </w:tcBorders>
          </w:tcPr>
          <w:p w14:paraId="5E0874B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057227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62.2</w:t>
            </w:r>
          </w:p>
        </w:tc>
        <w:tc>
          <w:tcPr>
            <w:tcW w:w="567" w:type="dxa"/>
            <w:tcBorders>
              <w:top w:val="nil"/>
              <w:bottom w:val="nil"/>
            </w:tcBorders>
          </w:tcPr>
          <w:p w14:paraId="075EB0F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96.8</w:t>
            </w:r>
          </w:p>
        </w:tc>
        <w:tc>
          <w:tcPr>
            <w:tcW w:w="567" w:type="dxa"/>
            <w:tcBorders>
              <w:top w:val="nil"/>
              <w:bottom w:val="nil"/>
            </w:tcBorders>
          </w:tcPr>
          <w:p w14:paraId="56B730E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83.7</w:t>
            </w:r>
          </w:p>
        </w:tc>
        <w:tc>
          <w:tcPr>
            <w:tcW w:w="663" w:type="dxa"/>
            <w:tcBorders>
              <w:top w:val="nil"/>
              <w:bottom w:val="nil"/>
            </w:tcBorders>
          </w:tcPr>
          <w:p w14:paraId="4CDB9A2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40" w:type="dxa"/>
            <w:tcBorders>
              <w:top w:val="nil"/>
              <w:bottom w:val="nil"/>
            </w:tcBorders>
          </w:tcPr>
          <w:p w14:paraId="1FB4D52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-4.7</w:t>
            </w:r>
          </w:p>
        </w:tc>
        <w:tc>
          <w:tcPr>
            <w:tcW w:w="605" w:type="dxa"/>
            <w:tcBorders>
              <w:top w:val="nil"/>
              <w:bottom w:val="nil"/>
            </w:tcBorders>
          </w:tcPr>
          <w:p w14:paraId="7761377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32" w:type="dxa"/>
            <w:tcBorders>
              <w:top w:val="nil"/>
              <w:bottom w:val="nil"/>
            </w:tcBorders>
          </w:tcPr>
          <w:p w14:paraId="6799C05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8.0</w:t>
            </w:r>
          </w:p>
        </w:tc>
        <w:tc>
          <w:tcPr>
            <w:tcW w:w="495" w:type="dxa"/>
            <w:tcBorders>
              <w:top w:val="nil"/>
              <w:bottom w:val="nil"/>
            </w:tcBorders>
          </w:tcPr>
          <w:p w14:paraId="1073FFC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12.8</w:t>
            </w:r>
          </w:p>
        </w:tc>
        <w:tc>
          <w:tcPr>
            <w:tcW w:w="567" w:type="dxa"/>
            <w:tcBorders>
              <w:top w:val="nil"/>
              <w:bottom w:val="nil"/>
            </w:tcBorders>
          </w:tcPr>
          <w:p w14:paraId="4D29388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16.1</w:t>
            </w:r>
          </w:p>
        </w:tc>
      </w:tr>
      <w:tr w:rsidR="009B1CF2" w:rsidRPr="009B1CF2" w14:paraId="7E126525" w14:textId="77777777" w:rsidTr="00B23EA2">
        <w:trPr>
          <w:jc w:val="center"/>
        </w:trPr>
        <w:tc>
          <w:tcPr>
            <w:tcW w:w="1985" w:type="dxa"/>
            <w:tcBorders>
              <w:top w:val="nil"/>
              <w:bottom w:val="nil"/>
            </w:tcBorders>
          </w:tcPr>
          <w:p w14:paraId="340F41FC"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Chile</w:t>
            </w:r>
          </w:p>
        </w:tc>
        <w:tc>
          <w:tcPr>
            <w:tcW w:w="567" w:type="dxa"/>
            <w:tcBorders>
              <w:top w:val="nil"/>
              <w:bottom w:val="nil"/>
            </w:tcBorders>
          </w:tcPr>
          <w:p w14:paraId="48633EE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67" w:type="dxa"/>
            <w:tcBorders>
              <w:top w:val="nil"/>
              <w:bottom w:val="nil"/>
            </w:tcBorders>
          </w:tcPr>
          <w:p w14:paraId="227031E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67" w:type="dxa"/>
            <w:tcBorders>
              <w:top w:val="nil"/>
              <w:bottom w:val="nil"/>
            </w:tcBorders>
          </w:tcPr>
          <w:p w14:paraId="45364D0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67" w:type="dxa"/>
            <w:tcBorders>
              <w:top w:val="nil"/>
              <w:bottom w:val="nil"/>
            </w:tcBorders>
          </w:tcPr>
          <w:p w14:paraId="4F3683B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67" w:type="dxa"/>
            <w:tcBorders>
              <w:top w:val="nil"/>
              <w:bottom w:val="nil"/>
            </w:tcBorders>
          </w:tcPr>
          <w:p w14:paraId="796748A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67" w:type="dxa"/>
            <w:tcBorders>
              <w:top w:val="nil"/>
              <w:bottom w:val="nil"/>
            </w:tcBorders>
          </w:tcPr>
          <w:p w14:paraId="0A5B650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663" w:type="dxa"/>
            <w:tcBorders>
              <w:top w:val="nil"/>
              <w:bottom w:val="nil"/>
            </w:tcBorders>
          </w:tcPr>
          <w:p w14:paraId="6F40355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bottom w:val="nil"/>
            </w:tcBorders>
          </w:tcPr>
          <w:p w14:paraId="0D4ACBA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-1.2</w:t>
            </w:r>
          </w:p>
        </w:tc>
        <w:tc>
          <w:tcPr>
            <w:tcW w:w="605" w:type="dxa"/>
            <w:tcBorders>
              <w:top w:val="nil"/>
              <w:bottom w:val="nil"/>
            </w:tcBorders>
          </w:tcPr>
          <w:p w14:paraId="0973B47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32" w:type="dxa"/>
            <w:tcBorders>
              <w:top w:val="nil"/>
              <w:bottom w:val="nil"/>
            </w:tcBorders>
          </w:tcPr>
          <w:p w14:paraId="36DFEBB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495" w:type="dxa"/>
            <w:tcBorders>
              <w:top w:val="nil"/>
              <w:bottom w:val="nil"/>
            </w:tcBorders>
          </w:tcPr>
          <w:p w14:paraId="4761955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7.2</w:t>
            </w:r>
          </w:p>
        </w:tc>
        <w:tc>
          <w:tcPr>
            <w:tcW w:w="567" w:type="dxa"/>
            <w:tcBorders>
              <w:top w:val="nil"/>
              <w:bottom w:val="nil"/>
            </w:tcBorders>
          </w:tcPr>
          <w:p w14:paraId="05AAA1E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r>
      <w:tr w:rsidR="009B1CF2" w:rsidRPr="009B1CF2" w14:paraId="4F783DD8" w14:textId="77777777" w:rsidTr="00B23EA2">
        <w:trPr>
          <w:jc w:val="center"/>
        </w:trPr>
        <w:tc>
          <w:tcPr>
            <w:tcW w:w="1985" w:type="dxa"/>
            <w:tcBorders>
              <w:top w:val="nil"/>
              <w:bottom w:val="nil"/>
            </w:tcBorders>
          </w:tcPr>
          <w:p w14:paraId="22BF4629"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Perú</w:t>
            </w:r>
          </w:p>
        </w:tc>
        <w:tc>
          <w:tcPr>
            <w:tcW w:w="567" w:type="dxa"/>
            <w:tcBorders>
              <w:top w:val="nil"/>
              <w:bottom w:val="nil"/>
            </w:tcBorders>
          </w:tcPr>
          <w:p w14:paraId="1EF3675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67" w:type="dxa"/>
            <w:tcBorders>
              <w:top w:val="nil"/>
              <w:bottom w:val="nil"/>
            </w:tcBorders>
          </w:tcPr>
          <w:p w14:paraId="7AD0434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3.8</w:t>
            </w:r>
          </w:p>
        </w:tc>
        <w:tc>
          <w:tcPr>
            <w:tcW w:w="567" w:type="dxa"/>
            <w:tcBorders>
              <w:top w:val="nil"/>
              <w:bottom w:val="nil"/>
            </w:tcBorders>
          </w:tcPr>
          <w:p w14:paraId="22B1F05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67" w:type="dxa"/>
            <w:tcBorders>
              <w:top w:val="nil"/>
              <w:bottom w:val="nil"/>
            </w:tcBorders>
          </w:tcPr>
          <w:p w14:paraId="1F5EACC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67" w:type="dxa"/>
            <w:tcBorders>
              <w:top w:val="nil"/>
              <w:bottom w:val="nil"/>
            </w:tcBorders>
          </w:tcPr>
          <w:p w14:paraId="0E16057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67" w:type="dxa"/>
            <w:tcBorders>
              <w:top w:val="nil"/>
              <w:bottom w:val="nil"/>
            </w:tcBorders>
          </w:tcPr>
          <w:p w14:paraId="7DDD47A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663" w:type="dxa"/>
            <w:tcBorders>
              <w:top w:val="nil"/>
              <w:bottom w:val="nil"/>
            </w:tcBorders>
          </w:tcPr>
          <w:p w14:paraId="2D13ABB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bottom w:val="nil"/>
            </w:tcBorders>
          </w:tcPr>
          <w:p w14:paraId="66AE51E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-4.6</w:t>
            </w:r>
          </w:p>
        </w:tc>
        <w:tc>
          <w:tcPr>
            <w:tcW w:w="605" w:type="dxa"/>
            <w:tcBorders>
              <w:top w:val="nil"/>
              <w:bottom w:val="nil"/>
            </w:tcBorders>
          </w:tcPr>
          <w:p w14:paraId="488827D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32" w:type="dxa"/>
            <w:tcBorders>
              <w:top w:val="nil"/>
              <w:bottom w:val="nil"/>
            </w:tcBorders>
          </w:tcPr>
          <w:p w14:paraId="2A6E1E2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495" w:type="dxa"/>
            <w:tcBorders>
              <w:top w:val="nil"/>
              <w:bottom w:val="nil"/>
            </w:tcBorders>
          </w:tcPr>
          <w:p w14:paraId="5D889CD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67" w:type="dxa"/>
            <w:tcBorders>
              <w:top w:val="nil"/>
              <w:bottom w:val="nil"/>
            </w:tcBorders>
          </w:tcPr>
          <w:p w14:paraId="5CF5743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r>
      <w:tr w:rsidR="009B1CF2" w:rsidRPr="009B1CF2" w14:paraId="71A15FD2" w14:textId="77777777" w:rsidTr="00B23EA2">
        <w:trPr>
          <w:jc w:val="center"/>
        </w:trPr>
        <w:tc>
          <w:tcPr>
            <w:tcW w:w="1985" w:type="dxa"/>
            <w:tcBorders>
              <w:top w:val="nil"/>
              <w:bottom w:val="nil"/>
            </w:tcBorders>
          </w:tcPr>
          <w:p w14:paraId="52E95578"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Ecuador</w:t>
            </w:r>
          </w:p>
        </w:tc>
        <w:tc>
          <w:tcPr>
            <w:tcW w:w="567" w:type="dxa"/>
            <w:tcBorders>
              <w:top w:val="nil"/>
              <w:bottom w:val="nil"/>
            </w:tcBorders>
          </w:tcPr>
          <w:p w14:paraId="5C80B9C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67" w:type="dxa"/>
            <w:tcBorders>
              <w:top w:val="nil"/>
              <w:bottom w:val="nil"/>
            </w:tcBorders>
          </w:tcPr>
          <w:p w14:paraId="5164EC2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67" w:type="dxa"/>
            <w:tcBorders>
              <w:top w:val="nil"/>
              <w:bottom w:val="nil"/>
            </w:tcBorders>
          </w:tcPr>
          <w:p w14:paraId="27C55A1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67" w:type="dxa"/>
            <w:tcBorders>
              <w:top w:val="nil"/>
              <w:bottom w:val="nil"/>
            </w:tcBorders>
          </w:tcPr>
          <w:p w14:paraId="591E9CE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67" w:type="dxa"/>
            <w:tcBorders>
              <w:top w:val="nil"/>
              <w:bottom w:val="nil"/>
            </w:tcBorders>
          </w:tcPr>
          <w:p w14:paraId="0675C3E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67" w:type="dxa"/>
            <w:tcBorders>
              <w:top w:val="nil"/>
              <w:bottom w:val="nil"/>
            </w:tcBorders>
          </w:tcPr>
          <w:p w14:paraId="6EEA208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663" w:type="dxa"/>
            <w:tcBorders>
              <w:top w:val="nil"/>
              <w:bottom w:val="nil"/>
            </w:tcBorders>
          </w:tcPr>
          <w:p w14:paraId="26EFD00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40" w:type="dxa"/>
            <w:tcBorders>
              <w:top w:val="nil"/>
              <w:bottom w:val="nil"/>
            </w:tcBorders>
          </w:tcPr>
          <w:p w14:paraId="590CCB3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-3.3</w:t>
            </w:r>
          </w:p>
        </w:tc>
        <w:tc>
          <w:tcPr>
            <w:tcW w:w="605" w:type="dxa"/>
            <w:tcBorders>
              <w:top w:val="nil"/>
              <w:bottom w:val="nil"/>
            </w:tcBorders>
          </w:tcPr>
          <w:p w14:paraId="5ADC4CE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32" w:type="dxa"/>
            <w:tcBorders>
              <w:top w:val="nil"/>
              <w:bottom w:val="nil"/>
            </w:tcBorders>
          </w:tcPr>
          <w:p w14:paraId="507E160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495" w:type="dxa"/>
            <w:tcBorders>
              <w:top w:val="nil"/>
              <w:bottom w:val="nil"/>
            </w:tcBorders>
          </w:tcPr>
          <w:p w14:paraId="1020C10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67" w:type="dxa"/>
            <w:tcBorders>
              <w:top w:val="nil"/>
              <w:bottom w:val="nil"/>
            </w:tcBorders>
          </w:tcPr>
          <w:p w14:paraId="539AB86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r>
      <w:tr w:rsidR="009B1CF2" w:rsidRPr="009B1CF2" w14:paraId="5B08A83A" w14:textId="77777777" w:rsidTr="00B23EA2">
        <w:trPr>
          <w:jc w:val="center"/>
        </w:trPr>
        <w:tc>
          <w:tcPr>
            <w:tcW w:w="1985" w:type="dxa"/>
            <w:tcBorders>
              <w:top w:val="nil"/>
              <w:bottom w:val="nil"/>
            </w:tcBorders>
          </w:tcPr>
          <w:p w14:paraId="56E5E6A9"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Bolivia</w:t>
            </w:r>
          </w:p>
        </w:tc>
        <w:tc>
          <w:tcPr>
            <w:tcW w:w="567" w:type="dxa"/>
            <w:tcBorders>
              <w:top w:val="nil"/>
              <w:bottom w:val="nil"/>
            </w:tcBorders>
          </w:tcPr>
          <w:p w14:paraId="4CCEC67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c>
          <w:tcPr>
            <w:tcW w:w="567" w:type="dxa"/>
            <w:tcBorders>
              <w:top w:val="nil"/>
              <w:bottom w:val="nil"/>
            </w:tcBorders>
          </w:tcPr>
          <w:p w14:paraId="33A0EB1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67" w:type="dxa"/>
            <w:tcBorders>
              <w:top w:val="nil"/>
              <w:bottom w:val="nil"/>
            </w:tcBorders>
          </w:tcPr>
          <w:p w14:paraId="3F66E6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67" w:type="dxa"/>
            <w:tcBorders>
              <w:top w:val="nil"/>
              <w:bottom w:val="nil"/>
            </w:tcBorders>
          </w:tcPr>
          <w:p w14:paraId="69A8C22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5.8</w:t>
            </w:r>
          </w:p>
        </w:tc>
        <w:tc>
          <w:tcPr>
            <w:tcW w:w="567" w:type="dxa"/>
            <w:tcBorders>
              <w:top w:val="nil"/>
              <w:bottom w:val="nil"/>
            </w:tcBorders>
          </w:tcPr>
          <w:p w14:paraId="0A2E80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c>
          <w:tcPr>
            <w:tcW w:w="567" w:type="dxa"/>
            <w:tcBorders>
              <w:top w:val="nil"/>
              <w:bottom w:val="nil"/>
            </w:tcBorders>
          </w:tcPr>
          <w:p w14:paraId="34F28F8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663" w:type="dxa"/>
            <w:tcBorders>
              <w:top w:val="nil"/>
              <w:bottom w:val="nil"/>
            </w:tcBorders>
          </w:tcPr>
          <w:p w14:paraId="5878A84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40" w:type="dxa"/>
            <w:tcBorders>
              <w:top w:val="nil"/>
              <w:bottom w:val="nil"/>
            </w:tcBorders>
          </w:tcPr>
          <w:p w14:paraId="27DC5FCC"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-2.8</w:t>
            </w:r>
          </w:p>
        </w:tc>
        <w:tc>
          <w:tcPr>
            <w:tcW w:w="605" w:type="dxa"/>
            <w:tcBorders>
              <w:top w:val="nil"/>
              <w:bottom w:val="nil"/>
            </w:tcBorders>
          </w:tcPr>
          <w:p w14:paraId="4C53CAD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32" w:type="dxa"/>
            <w:tcBorders>
              <w:top w:val="nil"/>
              <w:bottom w:val="nil"/>
            </w:tcBorders>
          </w:tcPr>
          <w:p w14:paraId="4599304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495" w:type="dxa"/>
            <w:tcBorders>
              <w:top w:val="nil"/>
              <w:bottom w:val="nil"/>
            </w:tcBorders>
          </w:tcPr>
          <w:p w14:paraId="20DE315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0718BC9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r>
      <w:tr w:rsidR="009B1CF2" w:rsidRPr="009B1CF2" w14:paraId="16A7DC76" w14:textId="77777777" w:rsidTr="00B23EA2">
        <w:trPr>
          <w:jc w:val="center"/>
        </w:trPr>
        <w:tc>
          <w:tcPr>
            <w:tcW w:w="1985" w:type="dxa"/>
            <w:tcBorders>
              <w:top w:val="nil"/>
              <w:bottom w:val="nil"/>
            </w:tcBorders>
          </w:tcPr>
          <w:p w14:paraId="762AA710"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Uruguay</w:t>
            </w:r>
          </w:p>
        </w:tc>
        <w:tc>
          <w:tcPr>
            <w:tcW w:w="567" w:type="dxa"/>
            <w:tcBorders>
              <w:top w:val="nil"/>
              <w:bottom w:val="nil"/>
            </w:tcBorders>
          </w:tcPr>
          <w:p w14:paraId="5D58038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67" w:type="dxa"/>
            <w:tcBorders>
              <w:top w:val="nil"/>
              <w:bottom w:val="nil"/>
            </w:tcBorders>
          </w:tcPr>
          <w:p w14:paraId="148C2F7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67" w:type="dxa"/>
            <w:tcBorders>
              <w:top w:val="nil"/>
              <w:bottom w:val="nil"/>
            </w:tcBorders>
          </w:tcPr>
          <w:p w14:paraId="6106489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67" w:type="dxa"/>
            <w:tcBorders>
              <w:top w:val="nil"/>
              <w:bottom w:val="nil"/>
            </w:tcBorders>
          </w:tcPr>
          <w:p w14:paraId="491AB61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8.9</w:t>
            </w:r>
          </w:p>
        </w:tc>
        <w:tc>
          <w:tcPr>
            <w:tcW w:w="567" w:type="dxa"/>
            <w:tcBorders>
              <w:top w:val="nil"/>
              <w:bottom w:val="nil"/>
            </w:tcBorders>
          </w:tcPr>
          <w:p w14:paraId="20C7B0C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7.9</w:t>
            </w:r>
          </w:p>
        </w:tc>
        <w:tc>
          <w:tcPr>
            <w:tcW w:w="567" w:type="dxa"/>
            <w:tcBorders>
              <w:top w:val="nil"/>
              <w:bottom w:val="nil"/>
            </w:tcBorders>
          </w:tcPr>
          <w:p w14:paraId="27D471E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7.5</w:t>
            </w:r>
          </w:p>
        </w:tc>
        <w:tc>
          <w:tcPr>
            <w:tcW w:w="663" w:type="dxa"/>
            <w:tcBorders>
              <w:top w:val="nil"/>
              <w:bottom w:val="nil"/>
            </w:tcBorders>
          </w:tcPr>
          <w:p w14:paraId="1C2318B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bottom w:val="nil"/>
            </w:tcBorders>
          </w:tcPr>
          <w:p w14:paraId="0978F8BC"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-3.8</w:t>
            </w:r>
          </w:p>
        </w:tc>
        <w:tc>
          <w:tcPr>
            <w:tcW w:w="605" w:type="dxa"/>
            <w:tcBorders>
              <w:top w:val="nil"/>
              <w:bottom w:val="nil"/>
            </w:tcBorders>
          </w:tcPr>
          <w:p w14:paraId="00EAF14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32" w:type="dxa"/>
            <w:tcBorders>
              <w:top w:val="nil"/>
              <w:bottom w:val="nil"/>
            </w:tcBorders>
          </w:tcPr>
          <w:p w14:paraId="503623D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6.5</w:t>
            </w:r>
          </w:p>
        </w:tc>
        <w:tc>
          <w:tcPr>
            <w:tcW w:w="495" w:type="dxa"/>
            <w:tcBorders>
              <w:top w:val="nil"/>
              <w:bottom w:val="nil"/>
            </w:tcBorders>
          </w:tcPr>
          <w:p w14:paraId="480A48D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67" w:type="dxa"/>
            <w:tcBorders>
              <w:top w:val="nil"/>
              <w:bottom w:val="nil"/>
            </w:tcBorders>
          </w:tcPr>
          <w:p w14:paraId="4D998C4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r>
      <w:tr w:rsidR="009B1CF2" w:rsidRPr="009B1CF2" w14:paraId="5990AF03" w14:textId="77777777" w:rsidTr="00B23EA2">
        <w:trPr>
          <w:jc w:val="center"/>
        </w:trPr>
        <w:tc>
          <w:tcPr>
            <w:tcW w:w="1985" w:type="dxa"/>
            <w:tcBorders>
              <w:top w:val="nil"/>
              <w:bottom w:val="nil"/>
            </w:tcBorders>
          </w:tcPr>
          <w:p w14:paraId="40C14BB9"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Paraguay</w:t>
            </w:r>
          </w:p>
        </w:tc>
        <w:tc>
          <w:tcPr>
            <w:tcW w:w="567" w:type="dxa"/>
            <w:tcBorders>
              <w:top w:val="nil"/>
              <w:bottom w:val="nil"/>
            </w:tcBorders>
          </w:tcPr>
          <w:p w14:paraId="5282BC2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67" w:type="dxa"/>
            <w:tcBorders>
              <w:top w:val="nil"/>
              <w:bottom w:val="nil"/>
            </w:tcBorders>
          </w:tcPr>
          <w:p w14:paraId="7C798DC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5E418C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13AD3AB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67" w:type="dxa"/>
            <w:tcBorders>
              <w:top w:val="nil"/>
              <w:bottom w:val="nil"/>
            </w:tcBorders>
          </w:tcPr>
          <w:p w14:paraId="77B1D69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67" w:type="dxa"/>
            <w:tcBorders>
              <w:top w:val="nil"/>
              <w:bottom w:val="nil"/>
            </w:tcBorders>
          </w:tcPr>
          <w:p w14:paraId="7C83535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663" w:type="dxa"/>
            <w:tcBorders>
              <w:top w:val="nil"/>
              <w:bottom w:val="nil"/>
            </w:tcBorders>
          </w:tcPr>
          <w:p w14:paraId="55206E9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40" w:type="dxa"/>
            <w:tcBorders>
              <w:top w:val="nil"/>
              <w:bottom w:val="nil"/>
            </w:tcBorders>
          </w:tcPr>
          <w:p w14:paraId="583F962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-1.7</w:t>
            </w:r>
          </w:p>
        </w:tc>
        <w:tc>
          <w:tcPr>
            <w:tcW w:w="605" w:type="dxa"/>
            <w:tcBorders>
              <w:top w:val="nil"/>
              <w:bottom w:val="nil"/>
            </w:tcBorders>
          </w:tcPr>
          <w:p w14:paraId="1A706DA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32" w:type="dxa"/>
            <w:tcBorders>
              <w:top w:val="nil"/>
              <w:bottom w:val="nil"/>
            </w:tcBorders>
          </w:tcPr>
          <w:p w14:paraId="662C43F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495" w:type="dxa"/>
            <w:tcBorders>
              <w:top w:val="nil"/>
              <w:bottom w:val="nil"/>
            </w:tcBorders>
          </w:tcPr>
          <w:p w14:paraId="4B38247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67" w:type="dxa"/>
            <w:tcBorders>
              <w:top w:val="nil"/>
              <w:bottom w:val="nil"/>
            </w:tcBorders>
          </w:tcPr>
          <w:p w14:paraId="43DB928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r>
      <w:tr w:rsidR="009B1CF2" w:rsidRPr="009B1CF2" w14:paraId="0B265A62" w14:textId="77777777" w:rsidTr="00B23EA2">
        <w:trPr>
          <w:jc w:val="center"/>
        </w:trPr>
        <w:tc>
          <w:tcPr>
            <w:tcW w:w="1985" w:type="dxa"/>
            <w:tcBorders>
              <w:top w:val="nil"/>
              <w:bottom w:val="nil"/>
            </w:tcBorders>
          </w:tcPr>
          <w:p w14:paraId="1E96F6DC"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América Central</w:t>
            </w:r>
            <w:r w:rsidRPr="00A808BF">
              <w:rPr>
                <w:rFonts w:eastAsia="Times New Roman"/>
                <w:b/>
                <w:sz w:val="12"/>
                <w:szCs w:val="12"/>
                <w:u w:val="single"/>
                <w:vertAlign w:val="superscript"/>
                <w:lang w:val="es-ES"/>
              </w:rPr>
              <w:t>7</w:t>
            </w:r>
            <w:r w:rsidRPr="00A808BF">
              <w:rPr>
                <w:rFonts w:eastAsia="Times New Roman"/>
                <w:b/>
                <w:sz w:val="12"/>
                <w:szCs w:val="12"/>
                <w:vertAlign w:val="superscript"/>
                <w:lang w:val="es-ES"/>
              </w:rPr>
              <w:t>/</w:t>
            </w:r>
          </w:p>
        </w:tc>
        <w:tc>
          <w:tcPr>
            <w:tcW w:w="567" w:type="dxa"/>
            <w:tcBorders>
              <w:top w:val="nil"/>
              <w:bottom w:val="nil"/>
            </w:tcBorders>
          </w:tcPr>
          <w:p w14:paraId="2089179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4.0</w:t>
            </w:r>
          </w:p>
        </w:tc>
        <w:tc>
          <w:tcPr>
            <w:tcW w:w="567" w:type="dxa"/>
            <w:tcBorders>
              <w:top w:val="nil"/>
              <w:bottom w:val="nil"/>
            </w:tcBorders>
          </w:tcPr>
          <w:p w14:paraId="4659A74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4.2</w:t>
            </w:r>
          </w:p>
        </w:tc>
        <w:tc>
          <w:tcPr>
            <w:tcW w:w="567" w:type="dxa"/>
            <w:tcBorders>
              <w:top w:val="nil"/>
              <w:bottom w:val="nil"/>
            </w:tcBorders>
          </w:tcPr>
          <w:p w14:paraId="7873694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4.3</w:t>
            </w:r>
          </w:p>
        </w:tc>
        <w:tc>
          <w:tcPr>
            <w:tcW w:w="567" w:type="dxa"/>
            <w:tcBorders>
              <w:top w:val="nil"/>
              <w:bottom w:val="nil"/>
            </w:tcBorders>
          </w:tcPr>
          <w:p w14:paraId="7E9B50E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3.4</w:t>
            </w:r>
          </w:p>
        </w:tc>
        <w:tc>
          <w:tcPr>
            <w:tcW w:w="567" w:type="dxa"/>
            <w:tcBorders>
              <w:top w:val="nil"/>
              <w:bottom w:val="nil"/>
            </w:tcBorders>
          </w:tcPr>
          <w:p w14:paraId="277C05C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2.6</w:t>
            </w:r>
          </w:p>
        </w:tc>
        <w:tc>
          <w:tcPr>
            <w:tcW w:w="567" w:type="dxa"/>
            <w:tcBorders>
              <w:top w:val="nil"/>
              <w:bottom w:val="nil"/>
            </w:tcBorders>
          </w:tcPr>
          <w:p w14:paraId="5BF6D5B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3.3</w:t>
            </w:r>
          </w:p>
        </w:tc>
        <w:tc>
          <w:tcPr>
            <w:tcW w:w="663" w:type="dxa"/>
            <w:tcBorders>
              <w:top w:val="nil"/>
              <w:bottom w:val="nil"/>
            </w:tcBorders>
          </w:tcPr>
          <w:p w14:paraId="2770FA2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-5.9</w:t>
            </w:r>
          </w:p>
        </w:tc>
        <w:tc>
          <w:tcPr>
            <w:tcW w:w="540" w:type="dxa"/>
            <w:tcBorders>
              <w:top w:val="nil"/>
              <w:bottom w:val="nil"/>
            </w:tcBorders>
          </w:tcPr>
          <w:p w14:paraId="3439D156"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-5.0</w:t>
            </w:r>
          </w:p>
        </w:tc>
        <w:tc>
          <w:tcPr>
            <w:tcW w:w="605" w:type="dxa"/>
            <w:tcBorders>
              <w:top w:val="nil"/>
              <w:bottom w:val="nil"/>
            </w:tcBorders>
          </w:tcPr>
          <w:p w14:paraId="29208CF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-5.2</w:t>
            </w:r>
          </w:p>
        </w:tc>
        <w:tc>
          <w:tcPr>
            <w:tcW w:w="532" w:type="dxa"/>
            <w:tcBorders>
              <w:top w:val="nil"/>
              <w:bottom w:val="nil"/>
            </w:tcBorders>
          </w:tcPr>
          <w:p w14:paraId="60CB8B9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495" w:type="dxa"/>
            <w:tcBorders>
              <w:top w:val="nil"/>
              <w:bottom w:val="nil"/>
            </w:tcBorders>
          </w:tcPr>
          <w:p w14:paraId="7BB7B0E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67" w:type="dxa"/>
            <w:tcBorders>
              <w:top w:val="nil"/>
              <w:bottom w:val="nil"/>
            </w:tcBorders>
          </w:tcPr>
          <w:p w14:paraId="510A172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0DFEEB68" w14:textId="77777777" w:rsidTr="00B23EA2">
        <w:trPr>
          <w:jc w:val="center"/>
        </w:trPr>
        <w:tc>
          <w:tcPr>
            <w:tcW w:w="1985" w:type="dxa"/>
            <w:tcBorders>
              <w:top w:val="nil"/>
              <w:bottom w:val="nil"/>
            </w:tcBorders>
          </w:tcPr>
          <w:p w14:paraId="59660BB6"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El Caribe</w:t>
            </w:r>
            <w:r w:rsidRPr="00A808BF">
              <w:rPr>
                <w:rFonts w:eastAsia="Times New Roman"/>
                <w:b/>
                <w:sz w:val="12"/>
                <w:szCs w:val="12"/>
                <w:u w:val="single"/>
                <w:vertAlign w:val="superscript"/>
                <w:lang w:val="es-ES"/>
              </w:rPr>
              <w:t>8</w:t>
            </w:r>
            <w:r w:rsidRPr="00A808BF">
              <w:rPr>
                <w:rFonts w:eastAsia="Times New Roman"/>
                <w:b/>
                <w:sz w:val="12"/>
                <w:szCs w:val="12"/>
                <w:vertAlign w:val="superscript"/>
                <w:lang w:val="es-ES"/>
              </w:rPr>
              <w:t>/</w:t>
            </w:r>
          </w:p>
        </w:tc>
        <w:tc>
          <w:tcPr>
            <w:tcW w:w="567" w:type="dxa"/>
            <w:tcBorders>
              <w:top w:val="nil"/>
              <w:bottom w:val="nil"/>
            </w:tcBorders>
          </w:tcPr>
          <w:p w14:paraId="3ADC221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4.7</w:t>
            </w:r>
          </w:p>
        </w:tc>
        <w:tc>
          <w:tcPr>
            <w:tcW w:w="567" w:type="dxa"/>
            <w:tcBorders>
              <w:top w:val="nil"/>
              <w:bottom w:val="nil"/>
            </w:tcBorders>
          </w:tcPr>
          <w:p w14:paraId="2A15293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3.7</w:t>
            </w:r>
          </w:p>
        </w:tc>
        <w:tc>
          <w:tcPr>
            <w:tcW w:w="567" w:type="dxa"/>
            <w:tcBorders>
              <w:top w:val="nil"/>
              <w:bottom w:val="nil"/>
            </w:tcBorders>
          </w:tcPr>
          <w:p w14:paraId="08DC1BA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3.5</w:t>
            </w:r>
          </w:p>
        </w:tc>
        <w:tc>
          <w:tcPr>
            <w:tcW w:w="567" w:type="dxa"/>
            <w:tcBorders>
              <w:top w:val="nil"/>
              <w:bottom w:val="nil"/>
            </w:tcBorders>
          </w:tcPr>
          <w:p w14:paraId="7F1D66E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4.0</w:t>
            </w:r>
          </w:p>
        </w:tc>
        <w:tc>
          <w:tcPr>
            <w:tcW w:w="567" w:type="dxa"/>
            <w:tcBorders>
              <w:top w:val="nil"/>
              <w:bottom w:val="nil"/>
            </w:tcBorders>
          </w:tcPr>
          <w:p w14:paraId="26017D3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3.3</w:t>
            </w:r>
          </w:p>
        </w:tc>
        <w:tc>
          <w:tcPr>
            <w:tcW w:w="567" w:type="dxa"/>
            <w:tcBorders>
              <w:top w:val="nil"/>
              <w:bottom w:val="nil"/>
            </w:tcBorders>
          </w:tcPr>
          <w:p w14:paraId="222D83F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4.2</w:t>
            </w:r>
          </w:p>
        </w:tc>
        <w:tc>
          <w:tcPr>
            <w:tcW w:w="663" w:type="dxa"/>
            <w:tcBorders>
              <w:top w:val="nil"/>
              <w:bottom w:val="nil"/>
            </w:tcBorders>
          </w:tcPr>
          <w:p w14:paraId="472C848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-3.1</w:t>
            </w:r>
          </w:p>
        </w:tc>
        <w:tc>
          <w:tcPr>
            <w:tcW w:w="540" w:type="dxa"/>
            <w:tcBorders>
              <w:top w:val="nil"/>
              <w:bottom w:val="nil"/>
            </w:tcBorders>
          </w:tcPr>
          <w:p w14:paraId="11E51B2B"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-2.4</w:t>
            </w:r>
          </w:p>
        </w:tc>
        <w:tc>
          <w:tcPr>
            <w:tcW w:w="605" w:type="dxa"/>
            <w:tcBorders>
              <w:top w:val="nil"/>
              <w:bottom w:val="nil"/>
            </w:tcBorders>
          </w:tcPr>
          <w:p w14:paraId="1D4FF83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-2.7</w:t>
            </w:r>
          </w:p>
        </w:tc>
        <w:tc>
          <w:tcPr>
            <w:tcW w:w="532" w:type="dxa"/>
            <w:tcBorders>
              <w:top w:val="nil"/>
              <w:bottom w:val="nil"/>
            </w:tcBorders>
          </w:tcPr>
          <w:p w14:paraId="1FF24DA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495" w:type="dxa"/>
            <w:tcBorders>
              <w:top w:val="nil"/>
              <w:bottom w:val="nil"/>
            </w:tcBorders>
          </w:tcPr>
          <w:p w14:paraId="2D99697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67" w:type="dxa"/>
            <w:tcBorders>
              <w:top w:val="nil"/>
              <w:bottom w:val="nil"/>
            </w:tcBorders>
          </w:tcPr>
          <w:p w14:paraId="7170C33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7EC93FC0" w14:textId="77777777" w:rsidTr="00B23EA2">
        <w:trPr>
          <w:jc w:val="center"/>
        </w:trPr>
        <w:tc>
          <w:tcPr>
            <w:tcW w:w="1985" w:type="dxa"/>
            <w:tcBorders>
              <w:top w:val="nil"/>
              <w:bottom w:val="nil"/>
            </w:tcBorders>
          </w:tcPr>
          <w:p w14:paraId="0799AC28"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Partidas informativas</w:t>
            </w:r>
          </w:p>
        </w:tc>
        <w:tc>
          <w:tcPr>
            <w:tcW w:w="567" w:type="dxa"/>
            <w:tcBorders>
              <w:top w:val="nil"/>
              <w:bottom w:val="nil"/>
            </w:tcBorders>
          </w:tcPr>
          <w:p w14:paraId="2D6E36ED" w14:textId="77777777" w:rsidR="009B1CF2" w:rsidRPr="00A808BF" w:rsidRDefault="009B1CF2" w:rsidP="009B1CF2">
            <w:pPr>
              <w:ind w:right="113"/>
              <w:jc w:val="right"/>
              <w:rPr>
                <w:rFonts w:eastAsia="Times New Roman"/>
                <w:b/>
                <w:sz w:val="12"/>
                <w:szCs w:val="12"/>
                <w:lang w:val="es-ES"/>
              </w:rPr>
            </w:pPr>
          </w:p>
        </w:tc>
        <w:tc>
          <w:tcPr>
            <w:tcW w:w="567" w:type="dxa"/>
            <w:tcBorders>
              <w:top w:val="nil"/>
              <w:bottom w:val="nil"/>
            </w:tcBorders>
          </w:tcPr>
          <w:p w14:paraId="783DE501" w14:textId="77777777" w:rsidR="009B1CF2" w:rsidRPr="00A808BF" w:rsidRDefault="009B1CF2" w:rsidP="009B1CF2">
            <w:pPr>
              <w:ind w:right="113"/>
              <w:jc w:val="right"/>
              <w:rPr>
                <w:rFonts w:eastAsia="Times New Roman"/>
                <w:b/>
                <w:sz w:val="12"/>
                <w:szCs w:val="12"/>
                <w:lang w:val="es-ES"/>
              </w:rPr>
            </w:pPr>
          </w:p>
        </w:tc>
        <w:tc>
          <w:tcPr>
            <w:tcW w:w="567" w:type="dxa"/>
            <w:tcBorders>
              <w:top w:val="nil"/>
              <w:bottom w:val="nil"/>
            </w:tcBorders>
          </w:tcPr>
          <w:p w14:paraId="79875F6E" w14:textId="77777777" w:rsidR="009B1CF2" w:rsidRPr="00A808BF" w:rsidRDefault="009B1CF2" w:rsidP="009B1CF2">
            <w:pPr>
              <w:ind w:right="113"/>
              <w:jc w:val="right"/>
              <w:rPr>
                <w:rFonts w:eastAsia="Times New Roman"/>
                <w:b/>
                <w:sz w:val="12"/>
                <w:szCs w:val="12"/>
                <w:lang w:val="es-ES"/>
              </w:rPr>
            </w:pPr>
          </w:p>
        </w:tc>
        <w:tc>
          <w:tcPr>
            <w:tcW w:w="567" w:type="dxa"/>
            <w:tcBorders>
              <w:top w:val="nil"/>
              <w:bottom w:val="nil"/>
            </w:tcBorders>
          </w:tcPr>
          <w:p w14:paraId="5964F9C4" w14:textId="77777777" w:rsidR="009B1CF2" w:rsidRPr="00A808BF" w:rsidRDefault="009B1CF2" w:rsidP="009B1CF2">
            <w:pPr>
              <w:ind w:right="113"/>
              <w:jc w:val="right"/>
              <w:rPr>
                <w:rFonts w:eastAsia="Times New Roman"/>
                <w:b/>
                <w:sz w:val="12"/>
                <w:szCs w:val="12"/>
                <w:lang w:val="es-ES"/>
              </w:rPr>
            </w:pPr>
          </w:p>
        </w:tc>
        <w:tc>
          <w:tcPr>
            <w:tcW w:w="567" w:type="dxa"/>
            <w:tcBorders>
              <w:top w:val="nil"/>
              <w:bottom w:val="nil"/>
            </w:tcBorders>
          </w:tcPr>
          <w:p w14:paraId="11CEC952" w14:textId="77777777" w:rsidR="009B1CF2" w:rsidRPr="00A808BF" w:rsidRDefault="009B1CF2" w:rsidP="009B1CF2">
            <w:pPr>
              <w:ind w:right="113"/>
              <w:jc w:val="right"/>
              <w:rPr>
                <w:rFonts w:eastAsia="Times New Roman"/>
                <w:b/>
                <w:sz w:val="12"/>
                <w:szCs w:val="12"/>
                <w:lang w:val="es-ES"/>
              </w:rPr>
            </w:pPr>
          </w:p>
        </w:tc>
        <w:tc>
          <w:tcPr>
            <w:tcW w:w="567" w:type="dxa"/>
            <w:tcBorders>
              <w:top w:val="nil"/>
              <w:bottom w:val="nil"/>
            </w:tcBorders>
          </w:tcPr>
          <w:p w14:paraId="450DFE98" w14:textId="77777777" w:rsidR="009B1CF2" w:rsidRPr="00A808BF" w:rsidRDefault="009B1CF2" w:rsidP="009B1CF2">
            <w:pPr>
              <w:ind w:right="113"/>
              <w:jc w:val="right"/>
              <w:rPr>
                <w:rFonts w:eastAsia="Times New Roman"/>
                <w:b/>
                <w:sz w:val="12"/>
                <w:szCs w:val="12"/>
                <w:lang w:val="es-ES"/>
              </w:rPr>
            </w:pPr>
          </w:p>
        </w:tc>
        <w:tc>
          <w:tcPr>
            <w:tcW w:w="663" w:type="dxa"/>
            <w:tcBorders>
              <w:top w:val="nil"/>
              <w:bottom w:val="nil"/>
            </w:tcBorders>
          </w:tcPr>
          <w:p w14:paraId="44ECE2B6" w14:textId="77777777" w:rsidR="009B1CF2" w:rsidRPr="00A808BF" w:rsidRDefault="009B1CF2" w:rsidP="009B1CF2">
            <w:pPr>
              <w:ind w:right="113"/>
              <w:jc w:val="right"/>
              <w:rPr>
                <w:rFonts w:eastAsia="Times New Roman"/>
                <w:b/>
                <w:sz w:val="12"/>
                <w:szCs w:val="12"/>
                <w:lang w:val="es-ES"/>
              </w:rPr>
            </w:pPr>
          </w:p>
        </w:tc>
        <w:tc>
          <w:tcPr>
            <w:tcW w:w="540" w:type="dxa"/>
            <w:tcBorders>
              <w:top w:val="nil"/>
              <w:bottom w:val="nil"/>
            </w:tcBorders>
          </w:tcPr>
          <w:p w14:paraId="4EC2439F" w14:textId="77777777" w:rsidR="009B1CF2" w:rsidRPr="00A808BF" w:rsidRDefault="009B1CF2" w:rsidP="009B1CF2">
            <w:pPr>
              <w:ind w:right="57"/>
              <w:jc w:val="right"/>
              <w:rPr>
                <w:rFonts w:eastAsia="Times New Roman"/>
                <w:b/>
                <w:sz w:val="12"/>
                <w:szCs w:val="12"/>
                <w:lang w:val="es-ES"/>
              </w:rPr>
            </w:pPr>
          </w:p>
        </w:tc>
        <w:tc>
          <w:tcPr>
            <w:tcW w:w="605" w:type="dxa"/>
            <w:tcBorders>
              <w:top w:val="nil"/>
              <w:bottom w:val="nil"/>
            </w:tcBorders>
          </w:tcPr>
          <w:p w14:paraId="0DA90CFF" w14:textId="77777777" w:rsidR="009B1CF2" w:rsidRPr="00A808BF" w:rsidRDefault="009B1CF2" w:rsidP="009B1CF2">
            <w:pPr>
              <w:ind w:right="113"/>
              <w:jc w:val="right"/>
              <w:rPr>
                <w:rFonts w:eastAsia="Times New Roman"/>
                <w:b/>
                <w:sz w:val="12"/>
                <w:szCs w:val="12"/>
                <w:lang w:val="es-ES"/>
              </w:rPr>
            </w:pPr>
          </w:p>
        </w:tc>
        <w:tc>
          <w:tcPr>
            <w:tcW w:w="532" w:type="dxa"/>
            <w:tcBorders>
              <w:top w:val="nil"/>
              <w:bottom w:val="nil"/>
            </w:tcBorders>
          </w:tcPr>
          <w:p w14:paraId="29644B22" w14:textId="77777777" w:rsidR="009B1CF2" w:rsidRPr="00A808BF" w:rsidRDefault="009B1CF2" w:rsidP="009B1CF2">
            <w:pPr>
              <w:ind w:right="113"/>
              <w:jc w:val="right"/>
              <w:rPr>
                <w:rFonts w:eastAsia="Times New Roman"/>
                <w:b/>
                <w:sz w:val="12"/>
                <w:szCs w:val="12"/>
                <w:lang w:val="es-ES"/>
              </w:rPr>
            </w:pPr>
          </w:p>
        </w:tc>
        <w:tc>
          <w:tcPr>
            <w:tcW w:w="495" w:type="dxa"/>
            <w:tcBorders>
              <w:top w:val="nil"/>
              <w:bottom w:val="nil"/>
            </w:tcBorders>
          </w:tcPr>
          <w:p w14:paraId="07A32F8C" w14:textId="77777777" w:rsidR="009B1CF2" w:rsidRPr="00A808BF" w:rsidRDefault="009B1CF2" w:rsidP="009B1CF2">
            <w:pPr>
              <w:ind w:right="113"/>
              <w:jc w:val="right"/>
              <w:rPr>
                <w:rFonts w:eastAsia="Times New Roman"/>
                <w:b/>
                <w:sz w:val="12"/>
                <w:szCs w:val="12"/>
                <w:lang w:val="es-ES"/>
              </w:rPr>
            </w:pPr>
          </w:p>
        </w:tc>
        <w:tc>
          <w:tcPr>
            <w:tcW w:w="567" w:type="dxa"/>
            <w:tcBorders>
              <w:top w:val="nil"/>
              <w:bottom w:val="nil"/>
            </w:tcBorders>
          </w:tcPr>
          <w:p w14:paraId="1A63B952" w14:textId="77777777" w:rsidR="009B1CF2" w:rsidRPr="00A808BF" w:rsidRDefault="009B1CF2" w:rsidP="009B1CF2">
            <w:pPr>
              <w:ind w:right="113"/>
              <w:jc w:val="right"/>
              <w:rPr>
                <w:rFonts w:eastAsia="Times New Roman"/>
                <w:b/>
                <w:sz w:val="12"/>
                <w:szCs w:val="12"/>
                <w:lang w:val="es-ES"/>
              </w:rPr>
            </w:pPr>
          </w:p>
        </w:tc>
      </w:tr>
      <w:tr w:rsidR="009B1CF2" w:rsidRPr="009B1CF2" w14:paraId="2E9ECDAF" w14:textId="77777777" w:rsidTr="00B23EA2">
        <w:trPr>
          <w:jc w:val="center"/>
        </w:trPr>
        <w:tc>
          <w:tcPr>
            <w:tcW w:w="1985" w:type="dxa"/>
            <w:tcBorders>
              <w:top w:val="nil"/>
              <w:bottom w:val="nil"/>
            </w:tcBorders>
          </w:tcPr>
          <w:p w14:paraId="099F951A"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América Latina y el Caribe</w:t>
            </w:r>
            <w:r w:rsidRPr="00A808BF">
              <w:rPr>
                <w:rFonts w:eastAsia="Times New Roman"/>
                <w:sz w:val="12"/>
                <w:szCs w:val="12"/>
                <w:u w:val="single"/>
                <w:vertAlign w:val="superscript"/>
                <w:lang w:val="es-ES"/>
              </w:rPr>
              <w:t>9</w:t>
            </w:r>
            <w:r w:rsidRPr="00A808BF">
              <w:rPr>
                <w:rFonts w:eastAsia="Times New Roman"/>
                <w:sz w:val="12"/>
                <w:szCs w:val="12"/>
                <w:vertAlign w:val="superscript"/>
                <w:lang w:val="es-ES"/>
              </w:rPr>
              <w:t>/</w:t>
            </w:r>
          </w:p>
        </w:tc>
        <w:tc>
          <w:tcPr>
            <w:tcW w:w="567" w:type="dxa"/>
            <w:tcBorders>
              <w:top w:val="nil"/>
              <w:bottom w:val="nil"/>
            </w:tcBorders>
          </w:tcPr>
          <w:p w14:paraId="4A27ACB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67" w:type="dxa"/>
            <w:tcBorders>
              <w:top w:val="nil"/>
              <w:bottom w:val="nil"/>
            </w:tcBorders>
          </w:tcPr>
          <w:p w14:paraId="6F1A7B2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67" w:type="dxa"/>
            <w:tcBorders>
              <w:top w:val="nil"/>
              <w:bottom w:val="nil"/>
            </w:tcBorders>
          </w:tcPr>
          <w:p w14:paraId="65F3F66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67" w:type="dxa"/>
            <w:tcBorders>
              <w:top w:val="nil"/>
              <w:bottom w:val="nil"/>
            </w:tcBorders>
          </w:tcPr>
          <w:p w14:paraId="5B41199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67" w:type="dxa"/>
            <w:tcBorders>
              <w:top w:val="nil"/>
              <w:bottom w:val="nil"/>
            </w:tcBorders>
          </w:tcPr>
          <w:p w14:paraId="6B7FDB4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67" w:type="dxa"/>
            <w:tcBorders>
              <w:top w:val="nil"/>
              <w:bottom w:val="nil"/>
            </w:tcBorders>
          </w:tcPr>
          <w:p w14:paraId="230CCED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663" w:type="dxa"/>
            <w:tcBorders>
              <w:top w:val="nil"/>
              <w:bottom w:val="nil"/>
            </w:tcBorders>
          </w:tcPr>
          <w:p w14:paraId="3D68256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40" w:type="dxa"/>
            <w:tcBorders>
              <w:top w:val="nil"/>
              <w:bottom w:val="nil"/>
            </w:tcBorders>
          </w:tcPr>
          <w:p w14:paraId="5F6F168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-3.2</w:t>
            </w:r>
          </w:p>
        </w:tc>
        <w:tc>
          <w:tcPr>
            <w:tcW w:w="605" w:type="dxa"/>
            <w:tcBorders>
              <w:top w:val="nil"/>
              <w:bottom w:val="nil"/>
            </w:tcBorders>
          </w:tcPr>
          <w:p w14:paraId="43C0823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32" w:type="dxa"/>
            <w:tcBorders>
              <w:top w:val="nil"/>
              <w:bottom w:val="nil"/>
            </w:tcBorders>
          </w:tcPr>
          <w:p w14:paraId="4B50B99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495" w:type="dxa"/>
            <w:tcBorders>
              <w:top w:val="nil"/>
              <w:bottom w:val="nil"/>
            </w:tcBorders>
          </w:tcPr>
          <w:p w14:paraId="72ECE3D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67" w:type="dxa"/>
            <w:tcBorders>
              <w:top w:val="nil"/>
              <w:bottom w:val="nil"/>
            </w:tcBorders>
          </w:tcPr>
          <w:p w14:paraId="04EDB75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r>
      <w:tr w:rsidR="009B1CF2" w:rsidRPr="009B1CF2" w14:paraId="57D2E910" w14:textId="77777777" w:rsidTr="00B23EA2">
        <w:trPr>
          <w:jc w:val="center"/>
        </w:trPr>
        <w:tc>
          <w:tcPr>
            <w:tcW w:w="1985" w:type="dxa"/>
            <w:tcBorders>
              <w:top w:val="nil"/>
              <w:bottom w:val="nil"/>
            </w:tcBorders>
          </w:tcPr>
          <w:p w14:paraId="1D4586F2"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Excluido Argentina</w:t>
            </w:r>
          </w:p>
        </w:tc>
        <w:tc>
          <w:tcPr>
            <w:tcW w:w="567" w:type="dxa"/>
            <w:tcBorders>
              <w:top w:val="nil"/>
              <w:bottom w:val="nil"/>
            </w:tcBorders>
          </w:tcPr>
          <w:p w14:paraId="0F56B9A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67" w:type="dxa"/>
            <w:tcBorders>
              <w:top w:val="nil"/>
              <w:bottom w:val="nil"/>
            </w:tcBorders>
          </w:tcPr>
          <w:p w14:paraId="0D1BDC1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67" w:type="dxa"/>
            <w:tcBorders>
              <w:top w:val="nil"/>
              <w:bottom w:val="nil"/>
            </w:tcBorders>
          </w:tcPr>
          <w:p w14:paraId="00D6EAD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67" w:type="dxa"/>
            <w:tcBorders>
              <w:top w:val="nil"/>
              <w:bottom w:val="nil"/>
            </w:tcBorders>
          </w:tcPr>
          <w:p w14:paraId="4FFD2D4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7.9</w:t>
            </w:r>
          </w:p>
        </w:tc>
        <w:tc>
          <w:tcPr>
            <w:tcW w:w="567" w:type="dxa"/>
            <w:tcBorders>
              <w:top w:val="nil"/>
              <w:bottom w:val="nil"/>
            </w:tcBorders>
          </w:tcPr>
          <w:p w14:paraId="3EBFB6F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9.0</w:t>
            </w:r>
          </w:p>
        </w:tc>
        <w:tc>
          <w:tcPr>
            <w:tcW w:w="567" w:type="dxa"/>
            <w:tcBorders>
              <w:top w:val="nil"/>
              <w:bottom w:val="nil"/>
            </w:tcBorders>
          </w:tcPr>
          <w:p w14:paraId="5BDB1EC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c>
          <w:tcPr>
            <w:tcW w:w="663" w:type="dxa"/>
            <w:tcBorders>
              <w:top w:val="nil"/>
              <w:bottom w:val="nil"/>
            </w:tcBorders>
          </w:tcPr>
          <w:p w14:paraId="0038E4E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21B3451F"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-3.4</w:t>
            </w:r>
          </w:p>
        </w:tc>
        <w:tc>
          <w:tcPr>
            <w:tcW w:w="605" w:type="dxa"/>
            <w:tcBorders>
              <w:top w:val="nil"/>
              <w:bottom w:val="nil"/>
            </w:tcBorders>
          </w:tcPr>
          <w:p w14:paraId="756F74C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32" w:type="dxa"/>
            <w:tcBorders>
              <w:top w:val="nil"/>
              <w:bottom w:val="nil"/>
            </w:tcBorders>
          </w:tcPr>
          <w:p w14:paraId="4FDEE4B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495" w:type="dxa"/>
            <w:tcBorders>
              <w:top w:val="nil"/>
              <w:bottom w:val="nil"/>
            </w:tcBorders>
          </w:tcPr>
          <w:p w14:paraId="34F8D0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67" w:type="dxa"/>
            <w:tcBorders>
              <w:top w:val="nil"/>
              <w:bottom w:val="nil"/>
            </w:tcBorders>
          </w:tcPr>
          <w:p w14:paraId="48614CF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r>
      <w:tr w:rsidR="009B1CF2" w:rsidRPr="009B1CF2" w14:paraId="1388D444" w14:textId="77777777" w:rsidTr="00B23EA2">
        <w:trPr>
          <w:jc w:val="center"/>
        </w:trPr>
        <w:tc>
          <w:tcPr>
            <w:tcW w:w="1985" w:type="dxa"/>
            <w:tcBorders>
              <w:top w:val="nil"/>
            </w:tcBorders>
          </w:tcPr>
          <w:p w14:paraId="5143E746"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Unión Monetaria del Caribe Oriental</w:t>
            </w:r>
            <w:r w:rsidRPr="00A808BF">
              <w:rPr>
                <w:rFonts w:eastAsia="Times New Roman"/>
                <w:b/>
                <w:sz w:val="12"/>
                <w:szCs w:val="12"/>
                <w:u w:val="single"/>
                <w:vertAlign w:val="superscript"/>
                <w:lang w:val="es-ES"/>
              </w:rPr>
              <w:t>10</w:t>
            </w:r>
            <w:r w:rsidRPr="00A808BF">
              <w:rPr>
                <w:rFonts w:eastAsia="Times New Roman"/>
                <w:b/>
                <w:sz w:val="12"/>
                <w:szCs w:val="12"/>
                <w:vertAlign w:val="superscript"/>
                <w:lang w:val="es-ES"/>
              </w:rPr>
              <w:t>/</w:t>
            </w:r>
          </w:p>
        </w:tc>
        <w:tc>
          <w:tcPr>
            <w:tcW w:w="567" w:type="dxa"/>
            <w:tcBorders>
              <w:top w:val="nil"/>
            </w:tcBorders>
            <w:vAlign w:val="center"/>
          </w:tcPr>
          <w:p w14:paraId="350C47D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w:t>
            </w:r>
          </w:p>
        </w:tc>
        <w:tc>
          <w:tcPr>
            <w:tcW w:w="567" w:type="dxa"/>
            <w:tcBorders>
              <w:top w:val="nil"/>
            </w:tcBorders>
            <w:vAlign w:val="center"/>
          </w:tcPr>
          <w:p w14:paraId="332BD92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67" w:type="dxa"/>
            <w:tcBorders>
              <w:top w:val="nil"/>
            </w:tcBorders>
            <w:vAlign w:val="center"/>
          </w:tcPr>
          <w:p w14:paraId="343721F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67" w:type="dxa"/>
            <w:tcBorders>
              <w:top w:val="nil"/>
            </w:tcBorders>
            <w:vAlign w:val="center"/>
          </w:tcPr>
          <w:p w14:paraId="421E9DF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0.8</w:t>
            </w:r>
          </w:p>
        </w:tc>
        <w:tc>
          <w:tcPr>
            <w:tcW w:w="567" w:type="dxa"/>
            <w:tcBorders>
              <w:top w:val="nil"/>
            </w:tcBorders>
            <w:vAlign w:val="center"/>
          </w:tcPr>
          <w:p w14:paraId="2B9E6D5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67" w:type="dxa"/>
            <w:tcBorders>
              <w:top w:val="nil"/>
            </w:tcBorders>
            <w:vAlign w:val="center"/>
          </w:tcPr>
          <w:p w14:paraId="77D551F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663" w:type="dxa"/>
            <w:tcBorders>
              <w:top w:val="nil"/>
            </w:tcBorders>
            <w:vAlign w:val="center"/>
          </w:tcPr>
          <w:p w14:paraId="4DB61C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-15.8</w:t>
            </w:r>
          </w:p>
        </w:tc>
        <w:tc>
          <w:tcPr>
            <w:tcW w:w="540" w:type="dxa"/>
            <w:tcBorders>
              <w:top w:val="nil"/>
            </w:tcBorders>
            <w:vAlign w:val="center"/>
          </w:tcPr>
          <w:p w14:paraId="5E6CE47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-13.9</w:t>
            </w:r>
          </w:p>
        </w:tc>
        <w:tc>
          <w:tcPr>
            <w:tcW w:w="605" w:type="dxa"/>
            <w:tcBorders>
              <w:top w:val="nil"/>
            </w:tcBorders>
            <w:vAlign w:val="center"/>
          </w:tcPr>
          <w:p w14:paraId="1284F6B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-14.5</w:t>
            </w:r>
          </w:p>
        </w:tc>
        <w:tc>
          <w:tcPr>
            <w:tcW w:w="532" w:type="dxa"/>
            <w:tcBorders>
              <w:top w:val="nil"/>
            </w:tcBorders>
            <w:vAlign w:val="center"/>
          </w:tcPr>
          <w:p w14:paraId="11FA2D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495" w:type="dxa"/>
            <w:tcBorders>
              <w:top w:val="nil"/>
            </w:tcBorders>
            <w:vAlign w:val="center"/>
          </w:tcPr>
          <w:p w14:paraId="45AE02C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67" w:type="dxa"/>
            <w:tcBorders>
              <w:top w:val="nil"/>
            </w:tcBorders>
            <w:vAlign w:val="center"/>
          </w:tcPr>
          <w:p w14:paraId="3FAE0F2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r>
      <w:tr w:rsidR="009B1CF2" w:rsidRPr="009B1CF2" w14:paraId="551159C1" w14:textId="77777777" w:rsidTr="00B23EA2">
        <w:trPr>
          <w:jc w:val="center"/>
        </w:trPr>
        <w:tc>
          <w:tcPr>
            <w:tcW w:w="8789" w:type="dxa"/>
            <w:gridSpan w:val="13"/>
            <w:tcBorders>
              <w:left w:val="nil"/>
              <w:bottom w:val="nil"/>
              <w:right w:val="nil"/>
            </w:tcBorders>
          </w:tcPr>
          <w:p w14:paraId="034400E9" w14:textId="7D44AF53" w:rsidR="009B1CF2" w:rsidRPr="00A808BF" w:rsidRDefault="009B1CF2" w:rsidP="00A808BF">
            <w:pPr>
              <w:ind w:left="284" w:right="57" w:hanging="284"/>
              <w:jc w:val="both"/>
              <w:rPr>
                <w:rFonts w:eastAsia="Times New Roman"/>
                <w:sz w:val="12"/>
                <w:szCs w:val="12"/>
                <w:lang w:val="es-ES"/>
              </w:rPr>
            </w:pPr>
            <w:r w:rsidRPr="00A808BF">
              <w:rPr>
                <w:rFonts w:eastAsia="Times New Roman"/>
                <w:sz w:val="12"/>
                <w:szCs w:val="12"/>
                <w:lang w:val="es-ES"/>
              </w:rPr>
              <w:t>Nota: Los datos correspondientes a algunos países se basan en el ejercicio fiscal. Véase en el cuadro F del apéndice estadístico</w:t>
            </w:r>
            <w:r w:rsidR="0098560F">
              <w:rPr>
                <w:rFonts w:eastAsia="Times New Roman"/>
                <w:sz w:val="12"/>
                <w:szCs w:val="12"/>
                <w:lang w:val="es-ES"/>
              </w:rPr>
              <w:t xml:space="preserve"> del documento original</w:t>
            </w:r>
            <w:r w:rsidRPr="00A808BF">
              <w:rPr>
                <w:rFonts w:eastAsia="Times New Roman"/>
                <w:sz w:val="12"/>
                <w:szCs w:val="12"/>
                <w:lang w:val="es-ES"/>
              </w:rPr>
              <w:t xml:space="preserve"> la lista de economías con períodos de declaración excepcionales.</w:t>
            </w:r>
          </w:p>
          <w:p w14:paraId="62E393B4" w14:textId="4F070680" w:rsidR="009B1CF2" w:rsidRPr="00A808BF" w:rsidRDefault="009B1CF2" w:rsidP="00A808BF">
            <w:pPr>
              <w:ind w:left="113" w:right="57" w:hanging="113"/>
              <w:jc w:val="both"/>
              <w:rPr>
                <w:rFonts w:eastAsia="Times New Roman"/>
                <w:sz w:val="12"/>
                <w:szCs w:val="12"/>
                <w:lang w:val="es-ES"/>
              </w:rPr>
            </w:pPr>
            <w:r w:rsidRPr="00A808BF">
              <w:rPr>
                <w:rFonts w:eastAsia="Times New Roman"/>
                <w:sz w:val="12"/>
                <w:szCs w:val="12"/>
                <w:u w:val="single"/>
                <w:lang w:val="es-ES"/>
              </w:rPr>
              <w:t>1</w:t>
            </w:r>
            <w:r w:rsidRPr="00A808BF">
              <w:rPr>
                <w:rFonts w:eastAsia="Times New Roman"/>
                <w:sz w:val="12"/>
                <w:szCs w:val="12"/>
                <w:lang w:val="es-ES"/>
              </w:rPr>
              <w:t>/ La variación de los precios al consumidor se indica como promedio anual. Las variaciones de diciembre a diciembre pueden encontrarse en los cuadros A6 y A7 del apéndice estadístico</w:t>
            </w:r>
            <w:r w:rsidR="0098560F">
              <w:rPr>
                <w:rFonts w:eastAsia="Times New Roman"/>
                <w:sz w:val="12"/>
                <w:szCs w:val="12"/>
                <w:lang w:val="es-ES"/>
              </w:rPr>
              <w:t xml:space="preserve"> del documento original</w:t>
            </w:r>
            <w:r w:rsidRPr="00A808BF">
              <w:rPr>
                <w:rFonts w:eastAsia="Times New Roman"/>
                <w:sz w:val="12"/>
                <w:szCs w:val="12"/>
                <w:lang w:val="es-ES"/>
              </w:rPr>
              <w:t>.</w:t>
            </w:r>
          </w:p>
          <w:p w14:paraId="4FA64EE9"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2</w:t>
            </w:r>
            <w:r w:rsidRPr="00A808BF">
              <w:rPr>
                <w:rFonts w:eastAsia="Times New Roman"/>
                <w:sz w:val="12"/>
                <w:szCs w:val="12"/>
                <w:lang w:val="es-ES"/>
              </w:rPr>
              <w:t>/ Porcentaje del PIB.</w:t>
            </w:r>
          </w:p>
          <w:p w14:paraId="3A2E2E6A"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3</w:t>
            </w:r>
            <w:r w:rsidRPr="00A808BF">
              <w:rPr>
                <w:rFonts w:eastAsia="Times New Roman"/>
                <w:sz w:val="12"/>
                <w:szCs w:val="12"/>
                <w:lang w:val="es-ES"/>
              </w:rPr>
              <w:t>/ Porcentaje. Las definiciones nacionales de desempleo pueden variar.</w:t>
            </w:r>
          </w:p>
          <w:p w14:paraId="18B77652"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4</w:t>
            </w:r>
            <w:r w:rsidRPr="00A808BF">
              <w:rPr>
                <w:rFonts w:eastAsia="Times New Roman"/>
                <w:sz w:val="12"/>
                <w:szCs w:val="12"/>
                <w:lang w:val="es-ES"/>
              </w:rPr>
              <w:t>/ También incluye Guyana y Suriname. Véase la nota 6 sobre precios de consumo.</w:t>
            </w:r>
          </w:p>
          <w:p w14:paraId="5142EB26"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5</w:t>
            </w:r>
            <w:r w:rsidRPr="00A808BF">
              <w:rPr>
                <w:rFonts w:eastAsia="Times New Roman"/>
                <w:sz w:val="12"/>
                <w:szCs w:val="12"/>
                <w:lang w:val="es-ES"/>
              </w:rPr>
              <w:t>/ Las cifras de Argentina son los datos oficiales declarados, revisados en mayo de 2014. El 1 de febrero de 2013 el FMI emitió una declaración de censura, y en diciembre de 2013 instó a Argentina a adoptar medidas especificadas para mejorar la calidad de los datos oficiales del PBI dentro de un calendario especificado. El 15 de diciembre de 2014, el Directorio Ejecutivo reconoció la implementación de las medidas especificadas que había solicitado para fines de septiembre de 2014 y los pasos iniciales que habían tomado las autoridades argentinas para remediar las deficiencias en el suministro de datos. El Directorio Ejecutivo volverá a examinar esta cuestión según el calendario especificado en diciembre de 2013 y conforme a los procedimientos establecidos en el marco jurídico del FMI.</w:t>
            </w:r>
          </w:p>
          <w:p w14:paraId="0F43F5F6"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6</w:t>
            </w:r>
            <w:r w:rsidRPr="00A808BF">
              <w:rPr>
                <w:rFonts w:eastAsia="Times New Roman"/>
                <w:sz w:val="12"/>
                <w:szCs w:val="12"/>
                <w:lang w:val="es-ES"/>
              </w:rPr>
              <w:t>/ A partir de diciembre de 2013, los datos de precios al consumidor reflejan el nuevo Índice de Precios al Consumidor Nacional Urbano (IPCNu), que difiere sustancialmente del anterior IPC (el IPC del Gran Buenos Aires, IPC-GBA). Dadas las diferencias en cobertura geográfica, ponderaciones, muestreo y metodología, los datos del IPCNu no pueden compararse directamente con los datos del anterior IPC-GBA. Debido a este corte estructural en los datos, en la edición de abril de 2015 de Perspectivas de la economía mundial no se presentan los datos sobre la inflación del IPC promedio para 2014. Tras una declaración de censura emitida por el FMI el 1 de febrero de 2013, la divulgación pública en un nuevo IPC nacional a más tardar a fines de marzo de 2014 fue una de las medidas especificadas en la decisión del Directorio Ejecutivo del FMI de diciembre de 2013 en la que se solicitaba a Argentina que abordara la calidad de los datos oficiales de su IPC. El 15 de diciembre de 2014, el Directorio Ejecutivo reconoció la implementación de las medidas especificadas que había solicitado para fines de septiembre de 2014 y los pasos iniciales que habían tomado las autoridades argentinas para remediar las deficiencias en el suministro de datos. El Directorio Ejecutivo volverá a examinar este tema conforme al calendario especificado en diciembre de 2013 y en consonancia con los procedimientos establecidos en el marco jurídico del FMI.</w:t>
            </w:r>
          </w:p>
          <w:p w14:paraId="3D3F9A16"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7</w:t>
            </w:r>
            <w:r w:rsidRPr="00A808BF">
              <w:rPr>
                <w:rFonts w:eastAsia="Times New Roman"/>
                <w:sz w:val="12"/>
                <w:szCs w:val="12"/>
                <w:lang w:val="es-ES"/>
              </w:rPr>
              <w:t>/ América Central comprende Belice, Costa Rica, El Salvador, Guatemala, Honduras, Nicaragua y Panamá.</w:t>
            </w:r>
          </w:p>
          <w:p w14:paraId="4C070EEA" w14:textId="77777777" w:rsidR="009B1CF2" w:rsidRPr="00A808BF" w:rsidRDefault="009B1CF2" w:rsidP="00A808BF">
            <w:pPr>
              <w:ind w:left="136" w:hanging="136"/>
              <w:jc w:val="both"/>
              <w:rPr>
                <w:rFonts w:eastAsia="Times New Roman"/>
                <w:sz w:val="12"/>
                <w:szCs w:val="12"/>
                <w:lang w:val="es-ES"/>
              </w:rPr>
            </w:pPr>
            <w:r w:rsidRPr="00A808BF">
              <w:rPr>
                <w:rFonts w:eastAsia="Times New Roman"/>
                <w:sz w:val="12"/>
                <w:szCs w:val="12"/>
                <w:u w:val="single"/>
                <w:lang w:val="es-ES"/>
              </w:rPr>
              <w:t>8</w:t>
            </w:r>
            <w:r w:rsidRPr="00A808BF">
              <w:rPr>
                <w:rFonts w:eastAsia="Times New Roman"/>
                <w:sz w:val="12"/>
                <w:szCs w:val="12"/>
                <w:lang w:val="es-ES"/>
              </w:rPr>
              <w:t>/ El Caribe cmprende Antigua y Bárbuda, Las Bahamas, Bárbados, Dominica, Granada, Haití, Jamaica, la República Dominicana, Saint Kitts y Nevis, San Vicente, y las Granadinas Santa Lucía y Trinidad y Tabago.</w:t>
            </w:r>
          </w:p>
          <w:p w14:paraId="45D40771"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lang w:val="es-ES"/>
              </w:rPr>
              <w:t>9/ América Latina y El Caribe incluye México y las economías del Caribe, América Central y América del Sur. Véase también la nota 6.</w:t>
            </w:r>
          </w:p>
          <w:p w14:paraId="722E4B1F" w14:textId="77777777" w:rsidR="009B1CF2" w:rsidRPr="00A808BF" w:rsidRDefault="009B1CF2" w:rsidP="009B1CF2">
            <w:pPr>
              <w:ind w:left="170" w:hanging="170"/>
              <w:jc w:val="both"/>
              <w:rPr>
                <w:rFonts w:eastAsia="Times New Roman"/>
                <w:sz w:val="12"/>
                <w:szCs w:val="12"/>
                <w:lang w:val="es-ES"/>
              </w:rPr>
            </w:pPr>
            <w:r w:rsidRPr="00A808BF">
              <w:rPr>
                <w:rFonts w:eastAsia="Times New Roman"/>
                <w:sz w:val="12"/>
                <w:szCs w:val="12"/>
                <w:u w:val="single"/>
                <w:lang w:val="es-ES"/>
              </w:rPr>
              <w:t>1</w:t>
            </w:r>
            <w:r w:rsidRPr="00A808BF">
              <w:rPr>
                <w:rFonts w:eastAsia="Times New Roman"/>
                <w:sz w:val="12"/>
                <w:szCs w:val="12"/>
                <w:lang w:val="es-ES"/>
              </w:rPr>
              <w:t>0/ La Unión Monetaria del Caribe Oriental comprende Antigua y Barbuda, Dominica, Granada, Saint Kitts y Nevis, San Vicente y las Granadinas y Santa Lucía así como Anguila y Montserrat, que no son miembros del FMI.</w:t>
            </w:r>
          </w:p>
          <w:p w14:paraId="7504D2A1"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lang w:val="es-ES"/>
              </w:rPr>
              <w:t>FUENTE: FMI.</w:t>
            </w:r>
          </w:p>
        </w:tc>
      </w:tr>
    </w:tbl>
    <w:p w14:paraId="15AD3747" w14:textId="77777777" w:rsidR="009B1CF2" w:rsidRPr="009B1CF2" w:rsidRDefault="009B1CF2" w:rsidP="009B1CF2">
      <w:pPr>
        <w:rPr>
          <w:rFonts w:eastAsia="Times New Roman"/>
          <w:lang w:val="es-ES"/>
        </w:rPr>
      </w:pPr>
    </w:p>
    <w:p w14:paraId="312E636E"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inflación general y básica siguió disminuyendo debido a la muy baja inflación de la zona del euro, el descenso de los precios de los alimentos y la energía, y la capacidad económica ociosa. Hungría y Polonia pasaron a formar parte del grupo de países en deflación, mientras que la inflación se mantuvo elevada en Turquía, como consecuencia </w:t>
      </w:r>
      <w:r w:rsidRPr="009B1CF2">
        <w:rPr>
          <w:rFonts w:eastAsia="Calibri"/>
          <w:sz w:val="26"/>
          <w:szCs w:val="26"/>
          <w:lang w:eastAsia="en-US"/>
        </w:rPr>
        <w:lastRenderedPageBreak/>
        <w:t xml:space="preserve">de la depreciación del tipo de cambio, la expansión monetaria y el aumento de los precios internos de los alimentos. </w:t>
      </w:r>
    </w:p>
    <w:p w14:paraId="5BA9351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espera que la disminución de los precios del petróleo dé un impulso a la región y compense los efectos del débil crecimiento en la zona del euro, la recesión en Rusia y la deuda corporativa, todavía elevada (cuadro </w:t>
      </w:r>
      <w:r w:rsidRPr="009B1CF2">
        <w:rPr>
          <w:rFonts w:eastAsia="Calibri"/>
          <w:i/>
          <w:sz w:val="26"/>
          <w:szCs w:val="26"/>
          <w:lang w:eastAsia="en-US"/>
        </w:rPr>
        <w:t>PIB real, precios al consumidor, saldo cuenta corriente y desempleo den las economías de Europa</w:t>
      </w:r>
      <w:r w:rsidRPr="009B1CF2">
        <w:rPr>
          <w:rFonts w:eastAsia="Calibri"/>
          <w:sz w:val="26"/>
          <w:szCs w:val="26"/>
          <w:lang w:eastAsia="en-US"/>
        </w:rPr>
        <w:t xml:space="preserve">): </w:t>
      </w:r>
    </w:p>
    <w:p w14:paraId="0567CF04" w14:textId="77777777" w:rsidR="009B1CF2" w:rsidRPr="009B1CF2" w:rsidRDefault="009B1CF2" w:rsidP="003518F4">
      <w:pPr>
        <w:numPr>
          <w:ilvl w:val="1"/>
          <w:numId w:val="158"/>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Según las previsiones, el crecimiento se moderará en Hungría durante 2015, hasta 2.7%, debido a la disminución del crecimiento de la inversión, así como a las condiciones fiscales menos favorables. Se proyecta que el crecimiento en Polonia aumentará a 3.5% en 2015, impulsado por la demanda interna y la mejora de las condiciones económicas de sus socios comerciales. </w:t>
      </w:r>
    </w:p>
    <w:p w14:paraId="7A7D7D61" w14:textId="77777777" w:rsidR="009B1CF2" w:rsidRPr="009B1CF2" w:rsidRDefault="009B1CF2" w:rsidP="003518F4">
      <w:pPr>
        <w:numPr>
          <w:ilvl w:val="1"/>
          <w:numId w:val="158"/>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Turquía, se espera que el crecimiento alcance un promedio de 3.1% en    2015–16 y supere 2.9% de 2014, a causa del aumento del consumo privado provocado por el descenso de los precios de la energía. El déficit en cuenta corriente seguirá reduciéndose gracias a la considerable caída del valor de las importaciones energéticas. </w:t>
      </w:r>
    </w:p>
    <w:p w14:paraId="3B3FE388" w14:textId="77777777" w:rsidR="009B1CF2" w:rsidRPr="009B1CF2" w:rsidRDefault="009B1CF2" w:rsidP="003518F4">
      <w:pPr>
        <w:numPr>
          <w:ilvl w:val="1"/>
          <w:numId w:val="158"/>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Europa sudoriental, se prevé que el crecimiento mejore en 2015–16, impulsado por la reconstrucción de las zonas afectadas por las inundaciones en Bosnia y Herzegovina y Serbia, y por la creación de empleo en los demás países. </w:t>
      </w:r>
    </w:p>
    <w:p w14:paraId="1D08A47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riesgos siguen apuntando a la baja. Una recesión más profunda en Rusia o una desaceleración en la zona del euro plantean riesgos externos sobre la demanda, mientras que un incremento repentino de la prima a plazo de Estados Unidos de Norteamérica y las fluctuaciones del dólar estadounidense podrían desencadenar la volatilidad de los mercados de aquellos países con déficit fiscales y externos todavía cuantiosos. La expansión cuantitativa del BCE podría tener efectos más positivos si las repercusiones </w:t>
      </w:r>
      <w:r w:rsidRPr="009B1CF2">
        <w:rPr>
          <w:rFonts w:eastAsia="Calibri"/>
          <w:sz w:val="26"/>
          <w:szCs w:val="26"/>
          <w:lang w:eastAsia="en-US"/>
        </w:rPr>
        <w:lastRenderedPageBreak/>
        <w:t>sobre el crecimiento y la inflación en la zona del euro son mayores. Los impulsos favorables que genera el descenso de los precios del petróleo plantean riesgos al alza sobre la actividad.</w:t>
      </w:r>
    </w:p>
    <w:p w14:paraId="5FED411C"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ECONOMÍAS EMERGENTES Y EN DESARROLLO DE EUROPA: MENOR CRECIMIENTO EN MEDIO DE UNA DÉBIL DEMANDA EXTERNA</w:t>
      </w:r>
    </w:p>
    <w:p w14:paraId="2BE7A770" w14:textId="5CEEEF25" w:rsidR="009B1CF2" w:rsidRPr="009B1CF2" w:rsidRDefault="009B1CF2" w:rsidP="009B1CF2">
      <w:pPr>
        <w:spacing w:after="120"/>
        <w:ind w:left="1134" w:right="1134"/>
        <w:jc w:val="center"/>
        <w:rPr>
          <w:rFonts w:eastAsia="Calibri"/>
          <w:b/>
          <w:sz w:val="20"/>
          <w:szCs w:val="20"/>
          <w:lang w:eastAsia="en-US"/>
        </w:rPr>
      </w:pPr>
      <w:r w:rsidRPr="009B1CF2">
        <w:rPr>
          <w:rFonts w:eastAsia="Calibri"/>
          <w:b/>
          <w:sz w:val="20"/>
          <w:szCs w:val="20"/>
          <w:lang w:eastAsia="en-US"/>
        </w:rPr>
        <w:t>La actividad económica experimentó una desaceleración en 2014</w:t>
      </w:r>
      <w:r w:rsidR="00BB19E0">
        <w:rPr>
          <w:rFonts w:eastAsia="Calibri"/>
          <w:b/>
          <w:sz w:val="20"/>
          <w:szCs w:val="20"/>
          <w:lang w:eastAsia="en-US"/>
        </w:rPr>
        <w:t>,</w:t>
      </w:r>
      <w:r w:rsidRPr="009B1CF2">
        <w:rPr>
          <w:rFonts w:eastAsia="Calibri"/>
          <w:b/>
          <w:sz w:val="20"/>
          <w:szCs w:val="20"/>
          <w:lang w:eastAsia="en-US"/>
        </w:rPr>
        <w:t xml:space="preserve"> pero se mantuvo sólida en Hungría y Polonia. El consumo privado se convirtió en el principal impulsor del crecimiento y las condiciones del mercado laboral mejoraron. La inflación siguió reduciéndose, excepto en Turquía, debido a la baja inflación en la zona del euro, la capacidad económica ociosa restante y los bajos precios de la energía y los alimentos</w:t>
      </w:r>
    </w:p>
    <w:tbl>
      <w:tblPr>
        <w:tblW w:w="0" w:type="auto"/>
        <w:tblLook w:val="04A0" w:firstRow="1" w:lastRow="0" w:firstColumn="1" w:lastColumn="0" w:noHBand="0" w:noVBand="1"/>
      </w:tblPr>
      <w:tblGrid>
        <w:gridCol w:w="8828"/>
      </w:tblGrid>
      <w:tr w:rsidR="009B1CF2" w:rsidRPr="009B1CF2" w14:paraId="71EA0B0B" w14:textId="77777777" w:rsidTr="008B3DA6">
        <w:tc>
          <w:tcPr>
            <w:tcW w:w="8828" w:type="dxa"/>
          </w:tcPr>
          <w:p w14:paraId="710F4C7A"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MONETARIO.pptx!277"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B00EAD4" wp14:editId="6D3DB4EF">
                  <wp:extent cx="3280410" cy="1661795"/>
                  <wp:effectExtent l="0" t="0" r="0" b="0"/>
                  <wp:docPr id="1718" name="Imagen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68" cstate="print">
                            <a:extLst>
                              <a:ext uri="{28A0092B-C50C-407E-A947-70E740481C1C}">
                                <a14:useLocalDpi xmlns:a14="http://schemas.microsoft.com/office/drawing/2010/main" val="0"/>
                              </a:ext>
                            </a:extLst>
                          </a:blip>
                          <a:srcRect l="12488" t="3282" r="10492" b="27202"/>
                          <a:stretch>
                            <a:fillRect/>
                          </a:stretch>
                        </pic:blipFill>
                        <pic:spPr bwMode="auto">
                          <a:xfrm>
                            <a:off x="0" y="0"/>
                            <a:ext cx="3280410" cy="166179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72F5C786"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MONETARIO.pptx!278"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35320A5" wp14:editId="57184277">
                  <wp:extent cx="3367405" cy="1520190"/>
                  <wp:effectExtent l="0" t="0" r="4445" b="3810"/>
                  <wp:docPr id="1728" name="Imagen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69" cstate="print">
                            <a:extLst>
                              <a:ext uri="{28A0092B-C50C-407E-A947-70E740481C1C}">
                                <a14:useLocalDpi xmlns:a14="http://schemas.microsoft.com/office/drawing/2010/main" val="0"/>
                              </a:ext>
                            </a:extLst>
                          </a:blip>
                          <a:srcRect l="12624" t="12849" r="9366" b="24680"/>
                          <a:stretch>
                            <a:fillRect/>
                          </a:stretch>
                        </pic:blipFill>
                        <pic:spPr bwMode="auto">
                          <a:xfrm>
                            <a:off x="0" y="0"/>
                            <a:ext cx="3367405" cy="152019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59F44C66"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MONETARIO.pptx!279"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58BAB80E" wp14:editId="0E33CF59">
                  <wp:extent cx="3305175" cy="1575435"/>
                  <wp:effectExtent l="0" t="0" r="9525" b="5715"/>
                  <wp:docPr id="1738" name="Imagen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70" cstate="print">
                            <a:extLst>
                              <a:ext uri="{28A0092B-C50C-407E-A947-70E740481C1C}">
                                <a14:useLocalDpi xmlns:a14="http://schemas.microsoft.com/office/drawing/2010/main" val="0"/>
                              </a:ext>
                            </a:extLst>
                          </a:blip>
                          <a:srcRect l="14607" t="8307" r="8656" b="26701"/>
                          <a:stretch>
                            <a:fillRect/>
                          </a:stretch>
                        </pic:blipFill>
                        <pic:spPr bwMode="auto">
                          <a:xfrm>
                            <a:off x="0" y="0"/>
                            <a:ext cx="3305175" cy="157543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0C23D47A" w14:textId="77777777" w:rsidR="009B1CF2" w:rsidRPr="009B1CF2" w:rsidRDefault="009B1CF2" w:rsidP="009B1CF2">
            <w:pPr>
              <w:jc w:val="center"/>
              <w:rPr>
                <w:rFonts w:ascii="Calibri" w:eastAsia="Calibri" w:hAnsi="Calibri"/>
                <w:sz w:val="22"/>
                <w:szCs w:val="22"/>
                <w:lang w:eastAsia="en-US"/>
              </w:rPr>
            </w:pPr>
          </w:p>
          <w:p w14:paraId="559B039E" w14:textId="77777777" w:rsidR="009B1CF2" w:rsidRPr="009B1CF2" w:rsidRDefault="009B1CF2" w:rsidP="009B1CF2">
            <w:pPr>
              <w:jc w:val="center"/>
              <w:rPr>
                <w:rFonts w:ascii="Calibri" w:eastAsia="Calibri" w:hAnsi="Calibri"/>
                <w:sz w:val="22"/>
                <w:szCs w:val="22"/>
                <w:lang w:eastAsia="en-US"/>
              </w:rPr>
            </w:pPr>
          </w:p>
          <w:p w14:paraId="36E6A030" w14:textId="77777777" w:rsidR="009B1CF2" w:rsidRPr="009B1CF2" w:rsidRDefault="009B1CF2" w:rsidP="009B1CF2">
            <w:pPr>
              <w:jc w:val="center"/>
              <w:rPr>
                <w:rFonts w:ascii="Calibri" w:eastAsia="Calibri" w:hAnsi="Calibri"/>
                <w:sz w:val="22"/>
                <w:szCs w:val="22"/>
                <w:lang w:eastAsia="en-US"/>
              </w:rPr>
            </w:pPr>
          </w:p>
          <w:p w14:paraId="489C1878" w14:textId="77777777" w:rsidR="009B1CF2" w:rsidRPr="009B1CF2" w:rsidRDefault="009B1CF2" w:rsidP="009B1CF2">
            <w:pPr>
              <w:jc w:val="center"/>
              <w:rPr>
                <w:rFonts w:ascii="Calibri" w:eastAsia="Calibri" w:hAnsi="Calibri"/>
                <w:sz w:val="22"/>
                <w:szCs w:val="22"/>
                <w:lang w:eastAsia="en-US"/>
              </w:rPr>
            </w:pPr>
          </w:p>
          <w:p w14:paraId="276394ED" w14:textId="77777777" w:rsidR="009B1CF2" w:rsidRPr="009B1CF2" w:rsidRDefault="009B1CF2" w:rsidP="009B1CF2">
            <w:pPr>
              <w:jc w:val="center"/>
              <w:rPr>
                <w:rFonts w:ascii="Calibri" w:eastAsia="Calibri" w:hAnsi="Calibri"/>
                <w:sz w:val="22"/>
                <w:szCs w:val="22"/>
                <w:lang w:eastAsia="en-US"/>
              </w:rPr>
            </w:pPr>
          </w:p>
          <w:p w14:paraId="32552011"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MONETARIO.pptx!280"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4A65023" wp14:editId="2B5D4182">
                  <wp:extent cx="3268345" cy="1618615"/>
                  <wp:effectExtent l="0" t="0" r="8255" b="635"/>
                  <wp:docPr id="1856" name="Imagen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a:blip r:embed="rId71" cstate="print">
                            <a:extLst>
                              <a:ext uri="{28A0092B-C50C-407E-A947-70E740481C1C}">
                                <a14:useLocalDpi xmlns:a14="http://schemas.microsoft.com/office/drawing/2010/main" val="0"/>
                              </a:ext>
                            </a:extLst>
                          </a:blip>
                          <a:srcRect l="13908" t="2521" r="10075" b="28723"/>
                          <a:stretch>
                            <a:fillRect/>
                          </a:stretch>
                        </pic:blipFill>
                        <pic:spPr bwMode="auto">
                          <a:xfrm>
                            <a:off x="0" y="0"/>
                            <a:ext cx="3268345" cy="161861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06BBE919"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MONETARIO.pptx!289"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33A6D631" wp14:editId="2273F7F5">
                  <wp:extent cx="4114800" cy="1439545"/>
                  <wp:effectExtent l="0" t="0" r="0" b="8255"/>
                  <wp:docPr id="1857" name="Imagen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72" cstate="print">
                            <a:extLst>
                              <a:ext uri="{28A0092B-C50C-407E-A947-70E740481C1C}">
                                <a14:useLocalDpi xmlns:a14="http://schemas.microsoft.com/office/drawing/2010/main" val="0"/>
                              </a:ext>
                            </a:extLst>
                          </a:blip>
                          <a:srcRect l="13467" t="2782" r="18867" b="55164"/>
                          <a:stretch>
                            <a:fillRect/>
                          </a:stretch>
                        </pic:blipFill>
                        <pic:spPr bwMode="auto">
                          <a:xfrm>
                            <a:off x="0" y="0"/>
                            <a:ext cx="4114800" cy="143954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tc>
      </w:tr>
    </w:tbl>
    <w:p w14:paraId="3AB69038" w14:textId="77777777" w:rsidR="009B1CF2" w:rsidRPr="009B1CF2" w:rsidRDefault="009B1CF2" w:rsidP="009B1CF2">
      <w:pPr>
        <w:spacing w:after="360" w:line="360" w:lineRule="auto"/>
        <w:ind w:right="-159"/>
        <w:jc w:val="center"/>
        <w:rPr>
          <w:rFonts w:eastAsia="Calibri"/>
          <w:sz w:val="26"/>
          <w:szCs w:val="26"/>
          <w:lang w:eastAsia="en-US"/>
        </w:rPr>
      </w:pPr>
    </w:p>
    <w:p w14:paraId="08C78B7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Sigue siendo una prioridad respaldar la demanda interna, en especial en los países con fuertes vínculos con la zona del euro. Muchas economías deben mantener las condiciones monetarias expansivas hasta que haya concluido la reconstitución gradual de las defensas fiscales. </w:t>
      </w:r>
    </w:p>
    <w:p w14:paraId="6A3EF766" w14:textId="77777777" w:rsidR="009B1CF2" w:rsidRPr="009B1CF2" w:rsidRDefault="009B1CF2" w:rsidP="003518F4">
      <w:pPr>
        <w:numPr>
          <w:ilvl w:val="1"/>
          <w:numId w:val="15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 política monetaria debería seguir siendo acomodaticia en Polonia y Rumania, dadas las buenas perspectivas de inflación y la expansión monetaria en la zona del euro. Hungría, sujeta a persistentes presiones desinflacionarias y cuyo producto sigue por debajo de su potencial, tiene margen de maniobra para aplicar una política monetaria prudente más expansiva. En Turquía, la aplicación de una política monetaria más expansiva debería plantearse únicamente una vez que las expectativas de inflación se encuentren ancladas en la tasa objetivo y la tasa de interés real registre claramente cifras positivas. </w:t>
      </w:r>
    </w:p>
    <w:p w14:paraId="0CA5FEB7" w14:textId="77777777" w:rsidR="009B1CF2" w:rsidRPr="009B1CF2" w:rsidRDefault="009B1CF2" w:rsidP="003518F4">
      <w:pPr>
        <w:numPr>
          <w:ilvl w:val="1"/>
          <w:numId w:val="15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una serie de países, la elevada deuda pública y los grandes déficit fiscales subrayan la necesidad de consolidación fiscal, por ejemplo a través de la moderación del gasto (Hungría, Serbia) y la reestructuración de las empresas </w:t>
      </w:r>
      <w:r w:rsidRPr="009B1CF2">
        <w:rPr>
          <w:rFonts w:eastAsia="Calibri"/>
          <w:sz w:val="26"/>
          <w:szCs w:val="26"/>
          <w:lang w:eastAsia="en-US"/>
        </w:rPr>
        <w:lastRenderedPageBreak/>
        <w:t xml:space="preserve">estatales clave (Serbia). Podría adelantarse la inversión pública para compensar el lastre que supone el endurecimiento fiscal previsto para el corto plazo, como en el caso de Polonia y Rumania, con el respaldo de una mayor absorción de fondos de la Unión Europea. La orientación fiscal más restrictiva en Turquía —como prevé el nuevo programa a mediano plazo— contribuirá a reducir gradualmente los desequilibrios externos y atenuará la presión sobre la política monetaria. </w:t>
      </w:r>
    </w:p>
    <w:p w14:paraId="57297338" w14:textId="77777777" w:rsidR="009B1CF2" w:rsidRPr="009B1CF2" w:rsidRDefault="009B1CF2" w:rsidP="003518F4">
      <w:pPr>
        <w:numPr>
          <w:ilvl w:val="1"/>
          <w:numId w:val="159"/>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Avanzar en la lucha contra el elevado saldo de préstamos en mora es una prioridad en muchos países. Es de vital importancia mejorar el tratamiento  jurídico y fiscal de las cancelaciones de préstamos  —como hizo recientemente Albania— y seguir reforzando los marcos de reestructuración de la deuda y resolución bancaria.</w:t>
      </w:r>
    </w:p>
    <w:p w14:paraId="6C3602C8"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Asia y el Pacífico: Desempeño moderado pero aún superior al de otras regiones </w:t>
      </w:r>
    </w:p>
    <w:p w14:paraId="6F15B1E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pronostica que el crecimiento de Asia permanecerá estable en 2015, previéndose que a mediano plazo la región siga teniendo un desempeño mejor que el del resto del mundo. Si bien la economía china está adquiriendo un ritmo más sostenible, para el resto de la región se proyecta un repunte del crecimiento. Esto se debe al retroceso de los precios internacionales del petróleo, el afianzamiento de la demanda externa y condiciones financieras que aún son acomodaticias pese a una cierta contracción reciente. Hay riesgos en ambos sentidos, pero dominan los que apuntan a la baja. Los elevados niveles de deuda de los hogares y las empresas en un entorno de tasas de interés reales más altas y un dólar estadounidense fuerte podrían amplificar los </w:t>
      </w:r>
      <w:r w:rsidRPr="009B1CF2">
        <w:rPr>
          <w:rFonts w:eastAsia="Calibri"/>
          <w:i/>
          <w:sz w:val="26"/>
          <w:szCs w:val="26"/>
          <w:lang w:eastAsia="en-US"/>
        </w:rPr>
        <w:t>shocks</w:t>
      </w:r>
      <w:r w:rsidRPr="009B1CF2">
        <w:rPr>
          <w:rFonts w:eastAsia="Calibri"/>
          <w:sz w:val="26"/>
          <w:szCs w:val="26"/>
          <w:lang w:eastAsia="en-US"/>
        </w:rPr>
        <w:t xml:space="preserve">. Los riesgos para el crecimiento originados en la misma región también están en alza, y las realineaciones de las principales monedas de reserva podrían plantear una difícil disyuntiva entre la estabilidad financiera y la competitividad. Las autoridades deberían mantener marcos de política prudentes y recomponer las defensas para reforzar la capacidad de </w:t>
      </w:r>
      <w:r w:rsidRPr="009B1CF2">
        <w:rPr>
          <w:rFonts w:eastAsia="Calibri"/>
          <w:sz w:val="26"/>
          <w:szCs w:val="26"/>
          <w:lang w:eastAsia="en-US"/>
        </w:rPr>
        <w:lastRenderedPageBreak/>
        <w:t>resiliencia, y ejecutar reformas para facilitar el reequilibrio de la demanda y aliviar los cuellos de botella que restringen el crecimiento.</w:t>
      </w:r>
    </w:p>
    <w:p w14:paraId="2E56156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Si bien la región de Asia y el Pacífico sigue siendo la de mayor crecimiento a escala mundial, su actividad se desaceleró ligeramente en 2014, debido a obstáculos provenientes de dentro y fuera de la región. El año pasado el crecimiento se desaceleró a 5.6%, frente al 5.9% registrado en 2013. El crecimiento repuntó en buena parte de la región, pero con un contrapeso proveniente de desaceleraciones en varias economías grandes, entre ellas China, Indonesia y Japón. El crecimiento del volumen de las exportaciones disminuyó a raíz de la floja demanda en China, Japón y la zona del euro, factor que neutralizó con creces el dinamismo de Estados Unidos de Norteamérica (gráfica siguiente). La inversión en general sufrió una desaceleración, sobre todo en China, donde la corrección en el sector inmobiliario se hizo más notoria. El consumo, que se mantuvo relativamente vigoroso salvo en Japón, fue el principal factor que propulsó el crecimiento en la mayor parte de la región. </w:t>
      </w:r>
    </w:p>
    <w:p w14:paraId="517049F4" w14:textId="77777777" w:rsidR="009A3433" w:rsidRDefault="009A3433" w:rsidP="009A3433">
      <w:pPr>
        <w:jc w:val="center"/>
      </w:pPr>
      <w:r>
        <w:fldChar w:fldCharType="begin"/>
      </w:r>
      <w:r>
        <w:instrText xml:space="preserve"> LINK PowerPoint.Slide.8 "D:\\2015\\ABRIL\\DOCUMENTOS\\25.-GRÁFICAS  DEL FONDO MONETARIO.pptx!282" "" \a \p </w:instrText>
      </w:r>
      <w:r>
        <w:fldChar w:fldCharType="separate"/>
      </w:r>
      <w:r>
        <w:rPr>
          <w:noProof/>
          <w:lang w:eastAsia="es-MX"/>
        </w:rPr>
        <w:drawing>
          <wp:inline distT="0" distB="0" distL="0" distR="0" wp14:anchorId="0BEAD47D" wp14:editId="4AE688B1">
            <wp:extent cx="3867785" cy="269367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
                    <pic:cNvPicPr>
                      <a:picLocks noChangeAspect="1" noChangeArrowheads="1"/>
                    </pic:cNvPicPr>
                  </pic:nvPicPr>
                  <pic:blipFill>
                    <a:blip r:embed="rId73" cstate="print">
                      <a:extLst>
                        <a:ext uri="{28A0092B-C50C-407E-A947-70E740481C1C}">
                          <a14:useLocalDpi xmlns:a14="http://schemas.microsoft.com/office/drawing/2010/main" val="0"/>
                        </a:ext>
                      </a:extLst>
                    </a:blip>
                    <a:srcRect l="12758" r="11778" b="6805"/>
                    <a:stretch>
                      <a:fillRect/>
                    </a:stretch>
                  </pic:blipFill>
                  <pic:spPr bwMode="auto">
                    <a:xfrm>
                      <a:off x="0" y="0"/>
                      <a:ext cx="3867785" cy="2693670"/>
                    </a:xfrm>
                    <a:prstGeom prst="rect">
                      <a:avLst/>
                    </a:prstGeom>
                    <a:noFill/>
                    <a:ln>
                      <a:noFill/>
                    </a:ln>
                  </pic:spPr>
                </pic:pic>
              </a:graphicData>
            </a:graphic>
          </wp:inline>
        </w:drawing>
      </w:r>
      <w:r>
        <w:fldChar w:fldCharType="end"/>
      </w:r>
    </w:p>
    <w:p w14:paraId="5BD1FC97" w14:textId="77777777" w:rsidR="009A3433" w:rsidRDefault="009A3433" w:rsidP="009A3433">
      <w:pPr>
        <w:jc w:val="center"/>
      </w:pPr>
      <w:r>
        <w:lastRenderedPageBreak/>
        <w:fldChar w:fldCharType="begin"/>
      </w:r>
      <w:r>
        <w:instrText xml:space="preserve"> LINK PowerPoint.Slide.8 "D:\\2015\\ABRIL\\GRÁFICAS POWER POINT\\25.-GRÁFICAS  DEL FONDO MONETARIO.pptx!283" "" \a \p </w:instrText>
      </w:r>
      <w:r>
        <w:fldChar w:fldCharType="separate"/>
      </w:r>
      <w:r>
        <w:rPr>
          <w:noProof/>
          <w:lang w:eastAsia="es-MX"/>
        </w:rPr>
        <w:drawing>
          <wp:inline distT="0" distB="0" distL="0" distR="0" wp14:anchorId="0916BA82" wp14:editId="47FDB64A">
            <wp:extent cx="3422650" cy="177292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74" cstate="print">
                      <a:extLst>
                        <a:ext uri="{28A0092B-C50C-407E-A947-70E740481C1C}">
                          <a14:useLocalDpi xmlns:a14="http://schemas.microsoft.com/office/drawing/2010/main" val="0"/>
                        </a:ext>
                      </a:extLst>
                    </a:blip>
                    <a:srcRect l="12059" r="11349" b="28964"/>
                    <a:stretch>
                      <a:fillRect/>
                    </a:stretch>
                  </pic:blipFill>
                  <pic:spPr bwMode="auto">
                    <a:xfrm>
                      <a:off x="0" y="0"/>
                      <a:ext cx="3422650" cy="1772920"/>
                    </a:xfrm>
                    <a:prstGeom prst="rect">
                      <a:avLst/>
                    </a:prstGeom>
                    <a:noFill/>
                    <a:ln>
                      <a:noFill/>
                    </a:ln>
                  </pic:spPr>
                </pic:pic>
              </a:graphicData>
            </a:graphic>
          </wp:inline>
        </w:drawing>
      </w:r>
      <w:r>
        <w:fldChar w:fldCharType="end"/>
      </w:r>
    </w:p>
    <w:p w14:paraId="21D41CBA" w14:textId="77777777" w:rsidR="009A3433" w:rsidRDefault="009A3433" w:rsidP="009A3433">
      <w:pPr>
        <w:jc w:val="center"/>
      </w:pPr>
      <w:r>
        <w:fldChar w:fldCharType="begin"/>
      </w:r>
      <w:r>
        <w:instrText xml:space="preserve"> LINK PowerPoint.Slide.8 "D:\\2015\\ABRIL\\GRÁFICAS POWER POINT\\25.-GRÁFICAS  DEL FONDO MONETARIO.pptx!284" "" \a \p </w:instrText>
      </w:r>
      <w:r>
        <w:fldChar w:fldCharType="separate"/>
      </w:r>
      <w:r>
        <w:rPr>
          <w:noProof/>
          <w:lang w:eastAsia="es-MX"/>
        </w:rPr>
        <w:drawing>
          <wp:inline distT="0" distB="0" distL="0" distR="0" wp14:anchorId="6B46FD09" wp14:editId="1D663F67">
            <wp:extent cx="3719195" cy="1933575"/>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spect="1" noChangeArrowheads="1"/>
                    </pic:cNvPicPr>
                  </pic:nvPicPr>
                  <pic:blipFill>
                    <a:blip r:embed="rId75" cstate="print">
                      <a:extLst>
                        <a:ext uri="{28A0092B-C50C-407E-A947-70E740481C1C}">
                          <a14:useLocalDpi xmlns:a14="http://schemas.microsoft.com/office/drawing/2010/main" val="0"/>
                        </a:ext>
                      </a:extLst>
                    </a:blip>
                    <a:srcRect l="13480" t="6804" r="12769" b="25700"/>
                    <a:stretch>
                      <a:fillRect/>
                    </a:stretch>
                  </pic:blipFill>
                  <pic:spPr bwMode="auto">
                    <a:xfrm>
                      <a:off x="0" y="0"/>
                      <a:ext cx="3719195" cy="1933575"/>
                    </a:xfrm>
                    <a:prstGeom prst="rect">
                      <a:avLst/>
                    </a:prstGeom>
                    <a:noFill/>
                    <a:ln>
                      <a:noFill/>
                    </a:ln>
                  </pic:spPr>
                </pic:pic>
              </a:graphicData>
            </a:graphic>
          </wp:inline>
        </w:drawing>
      </w:r>
      <w:r>
        <w:fldChar w:fldCharType="end"/>
      </w:r>
    </w:p>
    <w:p w14:paraId="3643CA54" w14:textId="182A0B95" w:rsidR="009B1CF2" w:rsidRPr="009B1CF2" w:rsidRDefault="009A3433" w:rsidP="009A3433">
      <w:pPr>
        <w:spacing w:after="360" w:line="360" w:lineRule="auto"/>
        <w:ind w:right="-159"/>
        <w:jc w:val="center"/>
        <w:rPr>
          <w:rFonts w:eastAsia="Calibri"/>
          <w:sz w:val="26"/>
          <w:szCs w:val="26"/>
          <w:lang w:eastAsia="en-US"/>
        </w:rPr>
      </w:pPr>
      <w:r>
        <w:fldChar w:fldCharType="begin"/>
      </w:r>
      <w:r>
        <w:instrText xml:space="preserve"> LINK PowerPoint.Slide.8 "D:\\2015\\ABRIL\\DOCUMENTOS\\25.-GRÁFICAS  DEL FONDO MONETARIO.pptx!290" "" \a \p </w:instrText>
      </w:r>
      <w:r>
        <w:fldChar w:fldCharType="separate"/>
      </w:r>
      <w:r>
        <w:rPr>
          <w:noProof/>
          <w:lang w:eastAsia="es-MX"/>
        </w:rPr>
        <w:drawing>
          <wp:inline distT="0" distB="0" distL="0" distR="0" wp14:anchorId="769B1314" wp14:editId="3637DD1A">
            <wp:extent cx="4547235" cy="1445895"/>
            <wp:effectExtent l="0" t="0" r="5715" b="190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76" cstate="print">
                      <a:extLst>
                        <a:ext uri="{28A0092B-C50C-407E-A947-70E740481C1C}">
                          <a14:useLocalDpi xmlns:a14="http://schemas.microsoft.com/office/drawing/2010/main" val="0"/>
                        </a:ext>
                      </a:extLst>
                    </a:blip>
                    <a:srcRect l="8792" t="11330" r="11632" b="43575"/>
                    <a:stretch>
                      <a:fillRect/>
                    </a:stretch>
                  </pic:blipFill>
                  <pic:spPr bwMode="auto">
                    <a:xfrm>
                      <a:off x="0" y="0"/>
                      <a:ext cx="4547235" cy="1445895"/>
                    </a:xfrm>
                    <a:prstGeom prst="rect">
                      <a:avLst/>
                    </a:prstGeom>
                    <a:noFill/>
                    <a:ln>
                      <a:noFill/>
                    </a:ln>
                  </pic:spPr>
                </pic:pic>
              </a:graphicData>
            </a:graphic>
          </wp:inline>
        </w:drawing>
      </w:r>
      <w:r>
        <w:fldChar w:fldCharType="end"/>
      </w:r>
    </w:p>
    <w:p w14:paraId="61B5C4F1" w14:textId="5559447E"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2015, el notable descenso de los precios de las materias primas apoyará el crecimiento del PIB en toda la región. Dado que la que región es importadora neta de petróleo, el descenso de los precios del crudo impartirá un estímulo excepcional al poder adquisitivo de alrededor de 1.7% del PIB regional en 2015, lo cual estimulará el gasto interno y elevará las cuentas corrientes. Los países exportadores de materias primas (Australia, Indonesia, Malasia y Nueva Zelanda) experimentarán una merma de las ganancias externas y una desaceleración del crecimiento, aunque la depreciación de sus monedas ofrecerá algo de amortiguación. Se prevé que el nivel general de inflación —que ya muestra una tendencia a la baja debido al enfriamiento del crecimiento y a tipos de cambio ponderados en función del comercio más fuertes— se modere aún más </w:t>
      </w:r>
      <w:r w:rsidRPr="009B1CF2">
        <w:rPr>
          <w:rFonts w:eastAsia="Calibri"/>
          <w:sz w:val="26"/>
          <w:szCs w:val="26"/>
          <w:lang w:eastAsia="en-US"/>
        </w:rPr>
        <w:lastRenderedPageBreak/>
        <w:t xml:space="preserve">a medida que la reciente baja del precio del petróleo se sienta en los surtidores, pese a que la inflación subyacente ha cedido tan solo moderadamente. </w:t>
      </w:r>
    </w:p>
    <w:p w14:paraId="155135E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condiciones financieras acomodaticias han empezado a tornarse más restrictivas. Las relaciones crédito privado/PIB están bastante por encima de la tendencia en algunos países. Las cuantiosas salidas de inversión de cartera, la emisión más pausada de deuda empresarial (en especial en las economías emergentes de Asia) y el aumento de las tasas de interés de mercado a corto plazo desde el último trimestre de 2014 se condicen con las tendencias mundiales y reflejan las expectativas de subida de las tasas de política monetaria en Estados Unidos de Norteamérica. Además, las tasas de interés reales a corto plazo han aumentado marginalmente con la moderación de la inflación subyacente, en tanto que la apreciación del dólar estadounidense  ha incrementado los costos del servicio de la deuda para las entidades de la región que emiten bonos empresariales denominados en moneda extranjera sin cobertura. En el caso de los hogares, los costos más altos del servicio de la deuda real podrían frenar el gasto de consumo. El crédito bancario está expandiéndose a un ritmo algo más lento (aunque aún dinámico en las principales economías), y el aumento de las relaciones préstamos/depósitos quizá sea un presagio de una mayor desaceleración. </w:t>
      </w:r>
    </w:p>
    <w:p w14:paraId="678CDAE4" w14:textId="5CA57EBF"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Pese al estímulo proporcionado por los precios del petróleo, las perspectivas de crecimiento a corto plazo de Asia han sido revisadas a la baja levemente. Las revisiones a la baja del crecimiento en los principales mercados emergentes fuera de Asia y el continuo endurecimiento de las condiciones financieras internacionales implican una menor contribución externa al crecimiento de Asia. Otro freno será la desaceleración del crecimiento en China a una trayectoria más lenta pero sostenible. En relación con la edición de octubre de 2014 del informe WEO, el pronóstico de crecimiento de Asia se ha recortado muy ligeramente a 5.6 y 5.5% en 2015 y 2016, respectivamente, pero con diversas cifras de desempeño en toda la región (cuadro </w:t>
      </w:r>
      <w:r w:rsidRPr="009B1CF2">
        <w:rPr>
          <w:rFonts w:eastAsia="Calibri"/>
          <w:i/>
          <w:sz w:val="26"/>
          <w:szCs w:val="26"/>
          <w:lang w:eastAsia="en-US"/>
        </w:rPr>
        <w:t xml:space="preserve">PIB real, precios al </w:t>
      </w:r>
      <w:r w:rsidRPr="009B1CF2">
        <w:rPr>
          <w:rFonts w:eastAsia="Calibri"/>
          <w:i/>
          <w:sz w:val="26"/>
          <w:szCs w:val="26"/>
          <w:lang w:eastAsia="en-US"/>
        </w:rPr>
        <w:lastRenderedPageBreak/>
        <w:t>consumidor, saldo en cuenta corriente y desempleo en las economías de Asia y el Pacífico</w:t>
      </w:r>
      <w:r w:rsidRPr="009B1CF2">
        <w:rPr>
          <w:rFonts w:eastAsia="Calibri"/>
          <w:sz w:val="26"/>
          <w:szCs w:val="26"/>
          <w:lang w:eastAsia="en-US"/>
        </w:rPr>
        <w:t xml:space="preserve">): </w:t>
      </w:r>
    </w:p>
    <w:p w14:paraId="21B65B16" w14:textId="11D2A60F"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En China, el crecimiento cayó a 7.4% en 2014 y se prevé que continúe descendiendo hasta 6.8% en 2015 (0</w:t>
      </w:r>
      <w:r w:rsidR="00BB19E0">
        <w:rPr>
          <w:rFonts w:eastAsia="Calibri"/>
          <w:sz w:val="26"/>
          <w:szCs w:val="26"/>
          <w:lang w:eastAsia="en-US"/>
        </w:rPr>
        <w:t>.</w:t>
      </w:r>
      <w:r w:rsidRPr="009B1CF2">
        <w:rPr>
          <w:rFonts w:eastAsia="Calibri"/>
          <w:sz w:val="26"/>
          <w:szCs w:val="26"/>
          <w:lang w:eastAsia="en-US"/>
        </w:rPr>
        <w:t xml:space="preserve">3 puntos porcentuales por debajo de lo pronosticado en la edición de octubre de 2014 del informe WEO) a medida que se vayan corrigiendo los excesos previos en los sectores de inmobiliario, crediticio y de inversión. Se prevé que las reformas estructurales que se están implementando y el nivel más bajo de los precios de las materias primas den impulso a las actividades enfocadas en el consumidor, lo cual contrarrestará en parte la desaceleración. </w:t>
      </w:r>
    </w:p>
    <w:p w14:paraId="6BD110F0"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En Japón, la actividad decepcionó después de que a mediados de 2014 aumentara el impuesto sobre el consumo, lo cual provocó una contracción del consumo mayor de lo previsto. Se proyecta que el crecimiento del PIB repuntará de –0.1% registrado en 2014 a 1% en 2015 (por encima del potencial y sin mayores cambios con respecto a lo pronosticado en la edición de octubre de 2014 del informe WEO). El aumento se debe al estímulo derivado del debilitamiento del yen, salarios reales más altos y el repunte de los precios de las acciones gracias a la expansión cuantitativa y cualitativa adicional adoptada por el Banco de Japón, así como a los precios más bajos de las materias primas. Se prevé que para 2016, con el producto situado por encima del potencial, el ritmo de crecimiento ayude a impulsar la inflación subyacente de precios y salarios.</w:t>
      </w:r>
    </w:p>
    <w:p w14:paraId="4E83BEFF"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 prevé que el crecimiento en India se afiance de 7.2% en 2014 a 7.5% en 2015. El crecimiento se verá beneficiado por las recientes reformas en materia de política, el consiguiente repunte de la inversión y los precios más bajos del petróleo. El abaratamiento del petróleo incrementará el ingreso real disponible, sobre todo en los hogares más pobres, y ayudará a moderar la inflación. </w:t>
      </w:r>
    </w:p>
    <w:p w14:paraId="2F432790"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El descenso en el ciclo mundial de las materias primas continúa golpeando a la economía de Australia, y eso exacerba la merma de la inversión relacionada con los recursos naturales, que se preveía desde hace mucho tiempo. Sin embargo, la política monetaria de apoyo y un tipo de cambio algo más débil apuntalarán la actividad no relacionada con los recursos naturales, y el crecimiento aumentará paulatinamente en 2015–16 a aproximadamente 3% (en general de acuerdo con lo proyectado en la edición de octubre de 2014 del informe WEO). </w:t>
      </w:r>
    </w:p>
    <w:p w14:paraId="3E517A82"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El ímpetu del crecimiento en Corea ha sufrido un cierto traspié debido a la frágil actitud de los hogares y los inversionistas. El crecimiento proyectado de 3.3% para este año se basa en el supuesto de que las políticas monetarias y macroprudenciales de apoyo y los términos de intercambio más favorables faciliten una reactivación de la demanda agregada. </w:t>
      </w:r>
    </w:p>
    <w:p w14:paraId="56D593BC"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la Asociación de Naciones de Asia Sudoriental las tendencias siguen siendo divergentes. Según el pronóstico, el crecimiento en Indonesia no registrará mayores cambios en 2015 (aunque esto constituye una revisión a la baja de lo que se había proyectado), pero aumentará en 2016 conforme se implementen las reformas. Se prevé que el crecimiento en Malasia se desacelere este año (a 4.8%) a raíz del debilitamiento de los términos de intercambio mientras que las perspectivas para Tailandia mejorarán gracias a una mayor claridad de las políticas a corto plazo. El crecimiento en Filipinas ha sido revisado al alza, a 6.7% en 2015, en vista de un consumo más fuerte relacionado con los ingresos extraordinarios del petróleo. </w:t>
      </w:r>
    </w:p>
    <w:p w14:paraId="5A916A36" w14:textId="7AE26073"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 proyecta que, como grupo, las otras economías emergentes y en desarrollo de Asia experimentarán un repunte del crecimiento, pero con variaciones de un país </w:t>
      </w:r>
      <w:r w:rsidR="00BB19E0">
        <w:rPr>
          <w:rFonts w:eastAsia="Calibri"/>
          <w:sz w:val="26"/>
          <w:szCs w:val="26"/>
          <w:lang w:eastAsia="en-US"/>
        </w:rPr>
        <w:t>a otro. En Papú</w:t>
      </w:r>
      <w:r w:rsidRPr="009B1CF2">
        <w:rPr>
          <w:rFonts w:eastAsia="Calibri"/>
          <w:sz w:val="26"/>
          <w:szCs w:val="26"/>
          <w:lang w:eastAsia="en-US"/>
        </w:rPr>
        <w:t xml:space="preserve">a Nueva Guinea, la entrada en funcionamiento de un importante proyecto de gas natural dará un impulso excepcional al crecimiento. Se prevé </w:t>
      </w:r>
      <w:r w:rsidRPr="009B1CF2">
        <w:rPr>
          <w:rFonts w:eastAsia="Calibri"/>
          <w:sz w:val="26"/>
          <w:szCs w:val="26"/>
          <w:lang w:eastAsia="en-US"/>
        </w:rPr>
        <w:lastRenderedPageBreak/>
        <w:t xml:space="preserve">asimismo una actividad robusta en los países insulares y otros Estados pequeños del Pacífico. Por otro lado, los bajos precios de las materias primas afectarán negativamente al crecimiento en Mongolia. Los riesgos a la baja continúan dominando las perspectivas de crecimiento, y cabe mencionar los siguientes: </w:t>
      </w:r>
    </w:p>
    <w:p w14:paraId="17A48E6F"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Crecimiento más lento en China y Japón: Un crecimiento mucho más lento de lo actualmente proyectado en China o Japón también afectaría al resto de la región y a la economía mundial en vista de la magnitud de estas economías y sus profundos vínculos comerciales y financieros con otras naciones. En el caso de China, el principal riesgo es que no se ejecute el programa de reformas para abordar los riesgos financieros, reequilibrar la economía y aprovechar nuevas fuentes de crecimiento. En Japón, el desafío está en llevar a cabo reformas estructurales para mejorar las perspectivas de crecimiento a mediano plazo y al mismo tiempo equilibrar el estímulo fiscal a corto plazo teniendo presente un plan de consolidación creíble a mediano plazo. Las perspectivas de crecimiento a mediano plazo de Asia también dependen en gran medida del éxito de estas estrategias de reforma. </w:t>
      </w:r>
    </w:p>
    <w:p w14:paraId="1EF8F29F"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Continua fortaleza del dólar estadounidense frente al euro y el yen: Las persistentes realineaciones de las principales monedas de reserva provocadas por las políticas monetarias asíncronas podrían entrañar un riesgo para el crecimiento de Asia que se transmitiría por los canales del comercio y los balances. Los mercados emergentes de Asia cuyas empresas se endeudaron masivamente en dólares estadounidense posiblemente necesiten encontrar un equilibrio adecuado entre preservar la estabilidad financiera (haciendo fluctuar sus monedas al unísono con el dólar estadounidense) y mantener la competitividad externa (estabilizando sus tipos de cambio con respecto a sus principales socios comerciales y competidores). Este proceso también podría desencadenar una serie de ajustes con efectos perturbadores. </w:t>
      </w:r>
    </w:p>
    <w:p w14:paraId="4F807D60"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Efectos colaterales de las condiciones financieras mundiales: El mayor apalancamiento de los hogares y las empresas dentro de Asia, propiciado por las condiciones financieras mundiales favorables, agudiza la sensibilidad a las variaciones de la política monetaria en el extranjero. Los costos más altos de servicio de la deuda y los índices de refinanciamiento más bajos afectarían la rentabilidad y la inversión de las empresas y podrían imponer un lastre significativo al consumo de los hogares, sobre todo si al mismo tiempo se produce una caída de los precios de la vivienda. Las políticas deben permanecer centradas en mantener marcos de política prudentes y afianzar la capacidad de resiliencia y el crecimiento potencial: </w:t>
      </w:r>
    </w:p>
    <w:p w14:paraId="0F56ADE2"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 política monetaria no debe responder a la reducción del nivel general de inflación relacionada con la caída de los precios del petróleo. Sin embargo, un relajamiento de la política sería aconsejable si el efecto de los precios más bajos del petróleo se transmitiera a la inflación subyacente y a las expectativas inflacionarias. Hasta la fecha, la moderación de los precios se observa solamente en categorías reducidas de la cesta de consumo. No obstante, en economías que actualmente presentan brechas del producto negativas (Australia, Corea, Japón, Tailandia) quizá sea necesario que las autoridades actúen para evitar un descenso persistente de las expectativas de inflación. </w:t>
      </w:r>
    </w:p>
    <w:p w14:paraId="0B59810F"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cuanto a la política fiscal, y siguiendo el ejemplo de India, Indonesia y Malasia, los países deberían aprovechar la oportunidad que presenta el actual nivel bajo de los precios de los combustibles y los alimentos para avanzar más en la reforma o la eliminación gradual de los subsidios, que tienden a estar mal focalizados. Esto mejoraría la eficiencia del gasto y protegería al gasto público de futuras fluctuaciones de los precios del petróleo. Los países con niveles elevados de deuda pública (Japón, Malasia) deben seguir adelante con la consolidación, gestionando la política fiscal de manera acorde con las </w:t>
      </w:r>
      <w:r w:rsidRPr="009B1CF2">
        <w:rPr>
          <w:rFonts w:eastAsia="Calibri"/>
          <w:sz w:val="26"/>
          <w:szCs w:val="26"/>
          <w:lang w:eastAsia="en-US"/>
        </w:rPr>
        <w:lastRenderedPageBreak/>
        <w:t xml:space="preserve">condiciones y perspectivas económicas. Los mercados emergentes de Asia con grandes deficiencias en materia de infraestructura deben considerar dar más prioridad al gasto en inversión pública y menos a la aplicación de una política monetaria más laxa. </w:t>
      </w:r>
    </w:p>
    <w:p w14:paraId="03B8DAA5"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 debe permitir que los tipos de cambio respondan a las reorientaciones de los flujos de balanza de pagos que obedecen a variaciones en los precios de las materias primas y los flujos de capitales, incluidas las provocadas por el asincronismo de las políticas monetarias en las economías avanzadas. La intervención cambiaria debe seguir siendo una de las herramientas disponibles para subsanar trastornos en los mercados, sobre todo en los casos en que los reajustes excesivos amenacen la estabilidad financiera. </w:t>
      </w:r>
    </w:p>
    <w:p w14:paraId="65A89646"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Además de la regulación y supervisión estrictas, para proteger la estabilidad financiera quizá también sea necesario recurrir activamente a políticas macroprudenciales para moderar los efectos del ciclo financiero en los precios de los activos, el crédito y la demanda agregada. </w:t>
      </w:r>
    </w:p>
    <w:p w14:paraId="0F99ED53" w14:textId="77777777" w:rsidR="009B1CF2" w:rsidRPr="009B1CF2" w:rsidRDefault="009B1CF2" w:rsidP="003518F4">
      <w:pPr>
        <w:numPr>
          <w:ilvl w:val="1"/>
          <w:numId w:val="160"/>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 necesitan reformas estructurales para reimpulsar los aumentos de la productividad en toda la región. En China se precisan reformas financieras y de las empresas estatales para lograr que la asignación de los recursos sea más eficiente. Las reformas en el sistema de pensiones y otros aspectos de la red de protección social ayudarán a que el consumo interno, que tiende a ser más sostenible a largo plazo, aporte más a la composición del crecimiento. En Japón se debe avanzar más en la implementación de iniciativas de políticas para elevar la productividad de los servicios y ampliar la participación en la fuerza laboral. En otros países —entre ellos India, los integrantes de la Asociación de Naciones de Asia Sudoriental y la mayoría de las otras economías de mercados emergentes y en desarrollo— la corrección de los estrangulamientos de la oferta mediante la </w:t>
      </w:r>
      <w:r w:rsidRPr="009B1CF2">
        <w:rPr>
          <w:rFonts w:eastAsia="Calibri"/>
          <w:sz w:val="26"/>
          <w:szCs w:val="26"/>
          <w:lang w:eastAsia="en-US"/>
        </w:rPr>
        <w:lastRenderedPageBreak/>
        <w:t>expansión de la infraestructura esencial y el aumento de la productividad incrementaría la demanda a corto plazo y reforzaría la capacidad de resiliencia frente a las realineaciones de las monedas de reserva.</w:t>
      </w:r>
    </w:p>
    <w:p w14:paraId="1F32403A"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América Latina y el Caribe: Otro año más de crecimiento subóptimo </w:t>
      </w:r>
    </w:p>
    <w:p w14:paraId="65D6B7F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El crecimiento en América Latina y el Caribe se desaceleró a 1.3% en 2014, y se proyecta que descenderá a una tasa incluso menor en 2015. La contracción en los mercados mundiales de materias primas sigue siendo el principal lastre de la actividad en América del Sur, pese a que los precios más bajos del petróleo y la sólida recuperación de Estados Unidos de Norteamérica han proporcionado un impulso en otras partes de la región. La escasa confianza de las empresas y los consumidores en Brasil y la crisis económica cada vez más intensa en Venezuela ensombrecen aún más las perspectivas a corto plazo. Los tipos de cambio flexibles pueden ser cruciales para adaptarse a las condiciones externas difíciles, pero las autoridades también habrán de cerciorarse de que los saldos fiscales estén en niveles prudentes y de poner al día las reformas estructurales para elevar la inversión y la productividad.</w:t>
      </w:r>
    </w:p>
    <w:p w14:paraId="795BDF0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crecimiento en América Latina y el Caribe disminuyó por cuarto año consecutivo, a 1.3% en 2014, aproximándose a la proyección formulada en la edición de octubre de 2014 del informe WEO (gráfica </w:t>
      </w:r>
      <w:r w:rsidRPr="009B1CF2">
        <w:rPr>
          <w:rFonts w:eastAsia="Calibri"/>
          <w:i/>
          <w:sz w:val="26"/>
          <w:szCs w:val="26"/>
          <w:lang w:eastAsia="en-US"/>
        </w:rPr>
        <w:t>América Latina y el Caribe: Debilidad persistente</w:t>
      </w:r>
      <w:r w:rsidRPr="009B1CF2">
        <w:rPr>
          <w:rFonts w:eastAsia="Calibri"/>
          <w:sz w:val="26"/>
          <w:szCs w:val="26"/>
          <w:lang w:eastAsia="en-US"/>
        </w:rPr>
        <w:t xml:space="preserve">). La inversión siguió siendo el factor más importante de la desaceleración, ya que la moderación de la demanda externa y el deterioro de los términos de intercambio obligaron a las empresas a recortar sus presupuestos de capital, sobre todo en América del Sur. En algunos países, la incertidumbre en torno a las políticas socavó aún más la actitud del sector privado. La caída de los precios de las materias primas también provocó nuevos aumentos de los déficit en cuenta corriente externa en la mayoría de los países exportadores de esos productos, aunque los importadores netos se beneficiaron del fuerte descenso de los precios del petróleo. </w:t>
      </w:r>
    </w:p>
    <w:p w14:paraId="54883C7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Las monedas en los países con tipos de cambio flexibles reaccionaron rápidamente a los cambios en las perspectivas externas y el debilitamiento de las condiciones internas, depreciándose en promedio alrededor de 10% en cifras ponderadas en función del comercio desde el final de agosto de 2014, y en algunos casos se depreciaron hasta    15–20%. Los mercados de acciones retrocedieron y los diferenciales de crédito externo se ampliaron. La emisión de bonos empresariales en general se mantuvo firme, pero las empresas expuestas al mercado de materias primas han empezado a enfrentarse a condiciones de financiamiento más restrictivas. El crédito también ha seguido experimentando una desaceleración.</w:t>
      </w:r>
    </w:p>
    <w:p w14:paraId="0984F6DB"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Sin ningún impulso a favor de un repunte de la actividad a corto plazo y con perspectivas de precios persistentemente más bajos de las materias primas y un menor margen de maniobra para la aplicación de políticas en muchas economías, se proyecta ahora que el crecimiento regional descenderá a menos de 1% en 2015 (aproximadamente 1.25 puntos porcentuales por debajo de lo proyectado en la edición de octubre de 2014 del informe WEO), bastante por debajo del crecimiento medio de 4.1% observado en 2004–13 (cuadro </w:t>
      </w:r>
      <w:r w:rsidRPr="009B1CF2">
        <w:rPr>
          <w:rFonts w:eastAsia="Calibri"/>
          <w:i/>
          <w:sz w:val="26"/>
          <w:szCs w:val="26"/>
          <w:lang w:eastAsia="en-US"/>
        </w:rPr>
        <w:t>PIB real, precios al consumidor, saldo en cuenta corriente y desempleo en las economías de América</w:t>
      </w:r>
      <w:r w:rsidRPr="009B1CF2">
        <w:rPr>
          <w:rFonts w:eastAsia="Calibri"/>
          <w:sz w:val="26"/>
          <w:szCs w:val="26"/>
          <w:lang w:eastAsia="en-US"/>
        </w:rPr>
        <w:t xml:space="preserve">). Las revisiones a la baja están concentradas en los países exportadores de materias primas de América del Sur. Mientras tanto, el producto permanece cercano a su nivel potencial, como lo demuestran los niveles aún bajos de desempleo en muchas economías. </w:t>
      </w:r>
    </w:p>
    <w:p w14:paraId="4CFEDD90" w14:textId="77777777" w:rsidR="009B1CF2" w:rsidRPr="009B1CF2" w:rsidRDefault="009B1CF2" w:rsidP="003518F4">
      <w:pPr>
        <w:numPr>
          <w:ilvl w:val="1"/>
          <w:numId w:val="16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 proyecta que la economía de Brasil se contraerá un 1% en 2015, es decir, casi 2.5 puntos porcentuales por debajo del pronóstico de la edición de octubre de 2014 del informe WEO. La actitud del sector privado se mantiene persistentemente débil, incluso después de que se disipara la incertidumbre relacionada con las elecciones, y las causas son el riesgo a corto plazo de racionamiento de electricidad y agua, problemas de competitividad que no han sido abordados y el desenlace de la investigación de Petrobras. El renovado </w:t>
      </w:r>
      <w:r w:rsidRPr="009B1CF2">
        <w:rPr>
          <w:rFonts w:eastAsia="Calibri"/>
          <w:sz w:val="26"/>
          <w:szCs w:val="26"/>
          <w:lang w:eastAsia="en-US"/>
        </w:rPr>
        <w:lastRenderedPageBreak/>
        <w:t xml:space="preserve">compromiso de las autoridades brasileñas para contener el déficit fiscal y reducir la inflación ayudará a restablecer la confianza en el marco de política macroeconómica de Brasil, aunque reprimirá aún más la demanda a corto plazo. </w:t>
      </w:r>
    </w:p>
    <w:p w14:paraId="6886CB61" w14:textId="77777777" w:rsidR="009B1CF2" w:rsidRPr="009B1CF2" w:rsidRDefault="009B1CF2" w:rsidP="003518F4">
      <w:pPr>
        <w:numPr>
          <w:ilvl w:val="1"/>
          <w:numId w:val="16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Las proyecciones para las economías andinas son comparativamente favorables pero también se han revisado a la baja desde octubre. El crecimiento proyectado este año para Chile, Colombia y Perú es entre medio punto porcentual y 1.3 puntos porcentuales más bajo que en octubre. En Chile, la incertidumbre en torno al impacto de las reformas de política parece estar trabando la inversión, aunque hay señales de que el crecimiento ha empezado repuntar. En el caso de Perú, la debilidad de las exportaciones y la inversión provocó una marcada desaceleración en 2014, pero las medidas concertadas de política económica y las nuevas operaciones en el sector minero deberían propiciar una reactivación este año. En Colombia, los precios más bajos del petróleo harán que el crecimiento descienda a menos de 4 por ciento. </w:t>
      </w:r>
    </w:p>
    <w:p w14:paraId="163541ED" w14:textId="77777777" w:rsidR="009B1CF2" w:rsidRPr="009B1CF2" w:rsidRDefault="009B1CF2" w:rsidP="003518F4">
      <w:pPr>
        <w:numPr>
          <w:ilvl w:val="1"/>
          <w:numId w:val="16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Se proyecta que en Argentina el crecimiento será ligeramente negativo en 2015, y que la caída de la inversión y las exportaciones se verá compensada en parte por un gasto público más fuerte y un mayor consumo privado. En Venezuela, el desplome del precio del petróleo ha complicado una situación que ya era difícil. Los numerosos controles administrativos y otras distorsiones de política han agravado la escasez de productos de primera necesidad, han elevado la inflación a más de 60% en 2014 y han causado una profunda recesión.</w:t>
      </w:r>
    </w:p>
    <w:p w14:paraId="142ED3FA" w14:textId="77777777" w:rsidR="009B1CF2" w:rsidRPr="009B1CF2" w:rsidRDefault="009B1CF2" w:rsidP="003518F4">
      <w:pPr>
        <w:numPr>
          <w:ilvl w:val="1"/>
          <w:numId w:val="16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Para México se proyecta un crecimiento de la economía de 3% este año, pronóstico sólido pero un poco inferior a lo previsto anteriormente, dado que la persistente debilidad de la demanda interna y una orientación fiscal más restrictiva contrarrestan los efectos positivos del crecimiento más vigoroso en Estados Unidos de Norteamérica.</w:t>
      </w:r>
    </w:p>
    <w:p w14:paraId="6386DE1B" w14:textId="77777777" w:rsidR="009B1CF2" w:rsidRPr="009B1CF2" w:rsidRDefault="009B1CF2" w:rsidP="003518F4">
      <w:pPr>
        <w:numPr>
          <w:ilvl w:val="1"/>
          <w:numId w:val="16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Por el lado positivo, los precios más bajos del petróleo y la sólida recuperación de Estados Unidos de Norteamérica han mejorado las perspectivas para América Central. Las remesas crecieron 9% en 2014 y, junto con el mayor dinamismo de las exportaciones, seguirán respaldando la actividad interna y facilitando la importante tarea de afianzar la situación fiscal de varios países. </w:t>
      </w:r>
    </w:p>
    <w:p w14:paraId="4803AC2B" w14:textId="77777777" w:rsidR="009B1CF2" w:rsidRPr="009B1CF2" w:rsidRDefault="009B1CF2" w:rsidP="003518F4">
      <w:pPr>
        <w:numPr>
          <w:ilvl w:val="1"/>
          <w:numId w:val="161"/>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Análogamente, las economías del Caribe que dependen del turismo han comenzado a observar un repunte del arribo de turistas. Sin embargo, las deficiencias de competitividad de larga data, la elevada deuda pública y las fragilidades del sector financiero siguen siendo preocupaciones apremiantes. </w:t>
      </w:r>
    </w:p>
    <w:p w14:paraId="4FF0B8D9"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AMÉRICA LATINA Y EL CARIBE: DEBILIDAD PERSISTENTE</w:t>
      </w:r>
    </w:p>
    <w:p w14:paraId="60F044C2" w14:textId="22433F6C"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El crecimiento en América Latina y el Caribe continuó desacelerándose debido a que los países exportadores de materias primas de la región se han visto afectados por la caída de precios de esos productos. Los déficit en cuenta corriente externa han seguido aumentando en la mayoría de los países de la región, aunque el reciente desplome de los precios del petróleo ha brindado alivio a los importadores netos, particularmente en América Central y el Caribe. El abaratamiento del petróleo también debería contribuir a la desinflación, pero los efectos se verán contrarrestados en parte por el debilitamiento de los tipos de cambio, que han sido cruciales para facilitar el ajuste externo</w:t>
      </w:r>
    </w:p>
    <w:tbl>
      <w:tblPr>
        <w:tblW w:w="0" w:type="auto"/>
        <w:tblLook w:val="04A0" w:firstRow="1" w:lastRow="0" w:firstColumn="1" w:lastColumn="0" w:noHBand="0" w:noVBand="1"/>
      </w:tblPr>
      <w:tblGrid>
        <w:gridCol w:w="8828"/>
      </w:tblGrid>
      <w:tr w:rsidR="009B1CF2" w:rsidRPr="009B1CF2" w14:paraId="722F4E7C" w14:textId="77777777" w:rsidTr="008B3DA6">
        <w:tc>
          <w:tcPr>
            <w:tcW w:w="8828" w:type="dxa"/>
          </w:tcPr>
          <w:p w14:paraId="7C8A9DD7"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MONETARIO.pptx!286"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1A9B0B9" wp14:editId="15EDB028">
                  <wp:extent cx="3756660" cy="1705112"/>
                  <wp:effectExtent l="0" t="0" r="0" b="9525"/>
                  <wp:docPr id="1862" name="Imagen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11778" t="9339" r="12477" b="29984"/>
                          <a:stretch/>
                        </pic:blipFill>
                        <pic:spPr bwMode="auto">
                          <a:xfrm>
                            <a:off x="0" y="0"/>
                            <a:ext cx="3756660" cy="1705112"/>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6CD6395D"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MONETARIO.pptx!287"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5A8BA740" wp14:editId="3A9C2F59">
                  <wp:extent cx="3849370" cy="1933575"/>
                  <wp:effectExtent l="0" t="0" r="0" b="9525"/>
                  <wp:docPr id="1863" name="Imagen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78" cstate="print">
                            <a:extLst>
                              <a:ext uri="{28A0092B-C50C-407E-A947-70E740481C1C}">
                                <a14:useLocalDpi xmlns:a14="http://schemas.microsoft.com/office/drawing/2010/main" val="0"/>
                              </a:ext>
                            </a:extLst>
                          </a:blip>
                          <a:srcRect l="13052" t="9067" r="13478" b="25441"/>
                          <a:stretch>
                            <a:fillRect/>
                          </a:stretch>
                        </pic:blipFill>
                        <pic:spPr bwMode="auto">
                          <a:xfrm>
                            <a:off x="0" y="0"/>
                            <a:ext cx="3849370" cy="193357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71639327" w14:textId="031E8BCC" w:rsidR="009B1CF2" w:rsidRPr="009B1CF2" w:rsidRDefault="00086B44" w:rsidP="009B1CF2">
            <w:pPr>
              <w:jc w:val="center"/>
              <w:rPr>
                <w:rFonts w:ascii="Calibri" w:eastAsia="Calibri" w:hAnsi="Calibri"/>
                <w:sz w:val="22"/>
                <w:szCs w:val="22"/>
                <w:lang w:eastAsia="en-US"/>
              </w:rPr>
            </w:pPr>
            <w:r>
              <w:fldChar w:fldCharType="begin"/>
            </w:r>
            <w:r>
              <w:instrText xml:space="preserve"> LINK PowerPoint.Slide.8 "D:\\2015\\ABRIL\\DOCUMENTOS\\25.-GRÁFICAS  DEL FONDO MONETARIO.pptx!288" "" \a \p </w:instrText>
            </w:r>
            <w:r>
              <w:fldChar w:fldCharType="separate"/>
            </w:r>
            <w:r>
              <w:rPr>
                <w:noProof/>
                <w:lang w:eastAsia="es-MX"/>
              </w:rPr>
              <w:drawing>
                <wp:inline distT="0" distB="0" distL="0" distR="0" wp14:anchorId="45E5CF73" wp14:editId="1C544D6B">
                  <wp:extent cx="4207510" cy="2347595"/>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79" cstate="print">
                            <a:extLst>
                              <a:ext uri="{28A0092B-C50C-407E-A947-70E740481C1C}">
                                <a14:useLocalDpi xmlns:a14="http://schemas.microsoft.com/office/drawing/2010/main" val="0"/>
                              </a:ext>
                            </a:extLst>
                          </a:blip>
                          <a:srcRect l="12624" r="8792" b="22159"/>
                          <a:stretch>
                            <a:fillRect/>
                          </a:stretch>
                        </pic:blipFill>
                        <pic:spPr bwMode="auto">
                          <a:xfrm>
                            <a:off x="0" y="0"/>
                            <a:ext cx="4207510" cy="2347595"/>
                          </a:xfrm>
                          <a:prstGeom prst="rect">
                            <a:avLst/>
                          </a:prstGeom>
                          <a:noFill/>
                          <a:ln>
                            <a:noFill/>
                          </a:ln>
                        </pic:spPr>
                      </pic:pic>
                    </a:graphicData>
                  </a:graphic>
                </wp:inline>
              </w:drawing>
            </w:r>
            <w:r>
              <w:fldChar w:fldCharType="end"/>
            </w:r>
          </w:p>
          <w:p w14:paraId="14112E71"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MONETARIO.pptx!292"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BBD4428" wp14:editId="26ECB44F">
                  <wp:extent cx="3824605" cy="2137410"/>
                  <wp:effectExtent l="0" t="0" r="4445" b="0"/>
                  <wp:docPr id="1865" name="Imagen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8"/>
                          <pic:cNvPicPr>
                            <a:picLocks noChangeAspect="1" noChangeArrowheads="1"/>
                          </pic:cNvPicPr>
                        </pic:nvPicPr>
                        <pic:blipFill>
                          <a:blip r:embed="rId80" cstate="print">
                            <a:extLst>
                              <a:ext uri="{28A0092B-C50C-407E-A947-70E740481C1C}">
                                <a14:useLocalDpi xmlns:a14="http://schemas.microsoft.com/office/drawing/2010/main" val="0"/>
                              </a:ext>
                            </a:extLst>
                          </a:blip>
                          <a:srcRect l="14326" t="11089" r="18158" b="21918"/>
                          <a:stretch>
                            <a:fillRect/>
                          </a:stretch>
                        </pic:blipFill>
                        <pic:spPr bwMode="auto">
                          <a:xfrm>
                            <a:off x="0" y="0"/>
                            <a:ext cx="3824605" cy="213741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tc>
      </w:tr>
    </w:tbl>
    <w:p w14:paraId="1BE2D60C" w14:textId="77777777" w:rsidR="009B1CF2" w:rsidRPr="009B1CF2" w:rsidRDefault="009B1CF2" w:rsidP="009B1CF2">
      <w:pPr>
        <w:spacing w:after="360" w:line="360" w:lineRule="auto"/>
        <w:ind w:right="-159"/>
        <w:jc w:val="center"/>
        <w:rPr>
          <w:rFonts w:eastAsia="Calibri"/>
          <w:sz w:val="26"/>
          <w:szCs w:val="26"/>
          <w:lang w:eastAsia="en-US"/>
        </w:rPr>
      </w:pPr>
    </w:p>
    <w:p w14:paraId="683A4C85"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riesgos que rodean a estas perspectivas menos favorables son considerables y se inclinan en cierta medida a la baja. La actividad en los países exportadores de materias primas de la región podría debilitarse aún más si se produjeran </w:t>
      </w:r>
      <w:r w:rsidRPr="009B1CF2">
        <w:rPr>
          <w:rFonts w:eastAsia="Calibri"/>
          <w:i/>
          <w:sz w:val="26"/>
          <w:szCs w:val="26"/>
          <w:lang w:eastAsia="en-US"/>
        </w:rPr>
        <w:t>shocks</w:t>
      </w:r>
      <w:r w:rsidRPr="009B1CF2">
        <w:rPr>
          <w:rFonts w:eastAsia="Calibri"/>
          <w:sz w:val="26"/>
          <w:szCs w:val="26"/>
          <w:lang w:eastAsia="en-US"/>
        </w:rPr>
        <w:t xml:space="preserve"> adversos, en particular una desaceleración de la inversión más pronunciada de lo previsto en China. </w:t>
      </w:r>
      <w:r w:rsidRPr="009B1CF2">
        <w:rPr>
          <w:rFonts w:eastAsia="Calibri"/>
          <w:sz w:val="26"/>
          <w:szCs w:val="26"/>
          <w:lang w:eastAsia="en-US"/>
        </w:rPr>
        <w:lastRenderedPageBreak/>
        <w:t xml:space="preserve">No obstante, nuevos descensos de los precios de las materias primas brindarían un estímulo a los importadores netos, sobre todo en América Central y el Caribe. Pero hay que tener en cuenta que muchas de estas economías obtienen financiamiento concesionario de Venezuela para una parte de sus importaciones de petróleo. Un posible recorte de esta ayuda de Petrocaribe podría generar presión sobre las finanzas públicas en algunos de estos países. </w:t>
      </w:r>
    </w:p>
    <w:p w14:paraId="1F96731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deslucidas perspectivas económicas, sumadas al inminente aumento de las tasas de interés en Estados Unidos de Norteamérica, también podrían restringir la disponibilidad de financiamiento externo y dar lugar a correcciones en los mercados financieros. Este escenario podría someter a tensiones a algunas empresas prestatarias, especialmente en los sectores que enfrentan fuertes caídas de las utilidades y niveles elevados de apalancamiento. Por el lado positivo, el crecimiento sólido de Estados Unidos de Norteamérica podría dar un impulso mayor de lo previsto a los socios comerciales en la región. </w:t>
      </w:r>
    </w:p>
    <w:p w14:paraId="69C92A7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Un riesgo clave a mediano plazo es un debilitamiento prolongado de la inversión que perjudicaría aún más el crecimiento potencial de la región. Si para abordar la actual desaceleración se aplican medidas erradas como ser un estímulo de políticas excesivo, en lugar de resolver los estrangulamientos de la oferta y los problemas de competitividad, podría socavarse la estabilidad macroeconómica, lograda en base a mucho esfuerzo. </w:t>
      </w:r>
    </w:p>
    <w:p w14:paraId="656F0885"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Por lo tanto, el principal desafío para la región consiste en gestionar el ajuste ante la nueva coyuntura externa y al mismo tiempo preservar los sólidos fundamentos económicos y elevar el crecimiento potencial. </w:t>
      </w:r>
    </w:p>
    <w:p w14:paraId="6FA6C8BB"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flexibilidad del tipo de cambio puede ser crucial para amortiguar los </w:t>
      </w:r>
      <w:r w:rsidRPr="009B1CF2">
        <w:rPr>
          <w:rFonts w:eastAsia="Calibri"/>
          <w:i/>
          <w:sz w:val="26"/>
          <w:szCs w:val="26"/>
          <w:lang w:eastAsia="en-US"/>
        </w:rPr>
        <w:t>shocks</w:t>
      </w:r>
      <w:r w:rsidRPr="009B1CF2">
        <w:rPr>
          <w:rFonts w:eastAsia="Calibri"/>
          <w:sz w:val="26"/>
          <w:szCs w:val="26"/>
          <w:lang w:eastAsia="en-US"/>
        </w:rPr>
        <w:t xml:space="preserve"> adversos de los términos de intercambio y reequilibrar la demanda. El margen de maniobra para aplicar una política monetaria más laxa es limitado: la inflación en general se sitúa por </w:t>
      </w:r>
      <w:r w:rsidRPr="009B1CF2">
        <w:rPr>
          <w:rFonts w:eastAsia="Calibri"/>
          <w:sz w:val="26"/>
          <w:szCs w:val="26"/>
          <w:lang w:eastAsia="en-US"/>
        </w:rPr>
        <w:lastRenderedPageBreak/>
        <w:t xml:space="preserve">encima de los puntos medios de las metas, y la depreciación de las monedas como mínimo contrarrestará parcialmente el efecto positivo de los precios más bajos de las materias primas. No obstante, los países con expectativas de inflación bien ancladas aún disponen de cierta flexibilidad para adaptar la orientación de sus políticas en respuesta a la debilidad que muestran los datos económicos recientes. </w:t>
      </w:r>
    </w:p>
    <w:p w14:paraId="6C6F95C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deterioro de las finanzas públicas desde la crisis financiera mundial limita las opciones de política fiscal en muchos de los países de la región. Los exportadores de materias primas con reservas sólidas aún están en condiciones de suavizar la desaceleración que está en curso, pero también deberán evitar un aumento duradero de los déficit. En cambio, muchos países importadores de materias primas han obtenido alivio gracias a que ha disminuido la carga que suponen los subsidios a los combustibles, y deberían aprovechar la oportunidad para consolidar estos avances adoptando un sistema de determinación de precios basado en el mercado. </w:t>
      </w:r>
    </w:p>
    <w:p w14:paraId="0FD2109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Más allá de estos ajustes, las difíciles perspectivas actuales subrayan la necesidad urgente de aplicar reformas en el lado de la oferta. Para reforzar las perspectivas de crecimiento y seguir avanzando en la reducción de la pobreza en medio de condiciones externas más difíciles será necesario redoblar los esfuerzos para mejorar el clima empresarial, elevar la productividad y aumentar el ahorro y la inversión.</w:t>
      </w:r>
    </w:p>
    <w:p w14:paraId="08D26EB5" w14:textId="77777777" w:rsidR="009B1CF2" w:rsidRPr="009B1CF2" w:rsidRDefault="009B1CF2" w:rsidP="009B1CF2">
      <w:pPr>
        <w:spacing w:after="360"/>
        <w:ind w:right="-159"/>
        <w:jc w:val="both"/>
        <w:rPr>
          <w:rFonts w:eastAsia="Calibri"/>
          <w:b/>
          <w:sz w:val="26"/>
          <w:szCs w:val="26"/>
          <w:lang w:eastAsia="en-US"/>
        </w:rPr>
      </w:pPr>
      <w:r w:rsidRPr="009B1CF2">
        <w:rPr>
          <w:rFonts w:eastAsia="Calibri"/>
          <w:b/>
          <w:sz w:val="26"/>
          <w:szCs w:val="26"/>
          <w:lang w:eastAsia="en-US"/>
        </w:rPr>
        <w:t xml:space="preserve">Comunidad de Estados Independientes: La caída del precio del petróleo empeora las perspectivas </w:t>
      </w:r>
    </w:p>
    <w:p w14:paraId="0BEDDC0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prevé que la región de la Comunidad de Estados Independientes entre en recesión en 2015. En los países exportadores de petróleo, el drástico descenso del precio del petróleo y la contracción significativa en Rusia implican perspectivas mucho menos alentadoras. En los países importadores de petróleo, los beneficios de la disminución del precio del petróleo probablemente serán más que suficientes para compensar las </w:t>
      </w:r>
      <w:r w:rsidRPr="009B1CF2">
        <w:rPr>
          <w:rFonts w:eastAsia="Calibri"/>
          <w:sz w:val="26"/>
          <w:szCs w:val="26"/>
          <w:lang w:eastAsia="en-US"/>
        </w:rPr>
        <w:lastRenderedPageBreak/>
        <w:t xml:space="preserve">deficiencias económicas internas y los efectos derivados de la contracción en Rusia a través de las remesas, el comercio y la inversión extranjera directa.  </w:t>
      </w:r>
    </w:p>
    <w:p w14:paraId="3F1F2DA5"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economías europeas de la Comunidad de Estados Independientes se desaceleraron aún más en el segundo semestre de 2014, y la contribución del consumo privado se tornó negativa (gráfica siguiente). La caída de los precios del petróleo, sumada a las sanciones internacionales, agravó las deficiencias estructurales subyacentes de Rusia, socavando la confianza y provocando una depreciación significativa del rublo, lo que exacerbó las presiones inflacionarias. En respuesta a esta situación, el Banco Central de Rusia subió su tasa de política monetaria en 750 puntos básicos a 17% en diciembre, y las autoridades rusas anunciaron varias medidas para normalizar las condiciones del mercado. El contagio derivado de la depreciación del rublo también se propagó a otros países de la Comunidad de Estados Independientes. La recesión en Ucrania se intensificó en 2014, en gran medida debido al impacto económico del conflicto en el este. Desde el pasado octubre, la presión sobre el hryvnia ha aumentado considerablemente, contribuyendo a una caída de las reservas de divisas y acelerando la inflación. </w:t>
      </w:r>
    </w:p>
    <w:p w14:paraId="2A26EDC2" w14:textId="4CEEB85D"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perspectivas para la Comunidad de Estados Independientes se han deteriorado sensiblemente, y se prevé ahora una contracción de 2.6% en 2015 (unos cuatro puntos porcentuales por debajo de las proyecciones presentadas en la edición de octubre de 2014 del informe WEO) y un nivel de inflación de dos dígitos en muchos países (cuadro </w:t>
      </w:r>
      <w:r w:rsidRPr="009B1CF2">
        <w:rPr>
          <w:rFonts w:eastAsia="Calibri"/>
          <w:i/>
          <w:sz w:val="26"/>
          <w:szCs w:val="26"/>
          <w:lang w:eastAsia="en-US"/>
        </w:rPr>
        <w:t>PIB real, precios al consumidor, saldo en cuenta corriente y desempleo en las economías de la Comunidad de Estados Independientes</w:t>
      </w:r>
      <w:r w:rsidRPr="009B1CF2">
        <w:rPr>
          <w:rFonts w:eastAsia="Calibri"/>
          <w:sz w:val="26"/>
          <w:szCs w:val="26"/>
          <w:lang w:eastAsia="en-US"/>
        </w:rPr>
        <w:t>). También se prevé una caída del crecimiento en el Cáucaso y Asia Central: de 5.3% en 2014 a 3.2% en 2015, lo que equivale a una revisión a la baja de 2</w:t>
      </w:r>
      <w:r w:rsidR="00B10A7E">
        <w:rPr>
          <w:rFonts w:eastAsia="Calibri"/>
          <w:sz w:val="26"/>
          <w:szCs w:val="26"/>
          <w:lang w:eastAsia="en-US"/>
        </w:rPr>
        <w:t>.</w:t>
      </w:r>
      <w:r w:rsidRPr="009B1CF2">
        <w:rPr>
          <w:rFonts w:eastAsia="Calibri"/>
          <w:sz w:val="26"/>
          <w:szCs w:val="26"/>
          <w:lang w:eastAsia="en-US"/>
        </w:rPr>
        <w:t xml:space="preserve">4 puntos porcentuales respecto a la edición de octubre de 2014 del informe WEO. Esta caída se prevé como consecuencia de los efectos de contagio procedentes de Rusia (a través de las remesas, el comercio y la </w:t>
      </w:r>
      <w:r w:rsidRPr="009B1CF2">
        <w:rPr>
          <w:rFonts w:eastAsia="Calibri"/>
          <w:sz w:val="26"/>
          <w:szCs w:val="26"/>
          <w:lang w:eastAsia="en-US"/>
        </w:rPr>
        <w:lastRenderedPageBreak/>
        <w:t xml:space="preserve">inversión extranjera directa) y la disminución de los precios de exportación del petróleo, los metales y los minerales. </w:t>
      </w:r>
    </w:p>
    <w:p w14:paraId="327BE4A6" w14:textId="5CF911E8" w:rsidR="009B1CF2" w:rsidRPr="009B1CF2" w:rsidRDefault="009B1CF2" w:rsidP="003518F4">
      <w:pPr>
        <w:numPr>
          <w:ilvl w:val="1"/>
          <w:numId w:val="162"/>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Según las proyecciones, la caída del precio del petróleo, las condiciones financieras más restrictivas, las sanciones internacionales y el debilitamiento de la confianza provocarán una recesión en Rusia en 2015. Se prevé una contracción del producto de 3</w:t>
      </w:r>
      <w:r w:rsidR="00B10A7E">
        <w:rPr>
          <w:rFonts w:eastAsia="Calibri"/>
          <w:sz w:val="26"/>
          <w:szCs w:val="26"/>
          <w:lang w:eastAsia="en-US"/>
        </w:rPr>
        <w:t>.</w:t>
      </w:r>
      <w:r w:rsidRPr="009B1CF2">
        <w:rPr>
          <w:rFonts w:eastAsia="Calibri"/>
          <w:sz w:val="26"/>
          <w:szCs w:val="26"/>
          <w:lang w:eastAsia="en-US"/>
        </w:rPr>
        <w:t xml:space="preserve">8%, lo que equivale a una revisión a la baja de alrededor de 4.25 puntos porcentuales en comparación con el pronóstico presentado en la edición de octubre de 2014 del informe WEO. En 2016, se prevé una contracción menor, de 1.1%, conforme la inflación disminuya y cierta sustitución de importaciones contribuya a una leve recuperación de la demanda.  </w:t>
      </w:r>
    </w:p>
    <w:p w14:paraId="55FF7E7C" w14:textId="77777777" w:rsidR="009B1CF2" w:rsidRPr="009B1CF2" w:rsidRDefault="009B1CF2" w:rsidP="003518F4">
      <w:pPr>
        <w:numPr>
          <w:ilvl w:val="1"/>
          <w:numId w:val="162"/>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A pesar del estímulo anunciado recientemente por el gobierno de Kazajstán, se prevé que la disminución de los precios del petróleo y los retrasos en la producción en el yacimiento de petróleo Kashagan, así como la debilidad en la economía mundial, mantengan el crecimiento en 2.0% en 2015 (una revisión a la baja de prácticamente 3 puntos porcentuales) y en 3.1% en 2016.</w:t>
      </w:r>
    </w:p>
    <w:p w14:paraId="45A42E24" w14:textId="77777777" w:rsidR="009B1CF2" w:rsidRPr="009B1CF2" w:rsidRDefault="009B1CF2" w:rsidP="003518F4">
      <w:pPr>
        <w:numPr>
          <w:ilvl w:val="1"/>
          <w:numId w:val="162"/>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 espera que la economía de Ucrania toque fondo en 2015 conforme se estabiliza la actividad al recuperarse la confianza de los consumidores y los inversores, y al iniciarse los trabajos de reconstrucción. Aún se prevé que el producto disminuya 5.5% en 2015, lo cual supone cierta mejora con respecto a la contracción de 6.8% registrada en 2014. </w:t>
      </w:r>
    </w:p>
    <w:p w14:paraId="468B05C7" w14:textId="77777777" w:rsidR="009B1CF2" w:rsidRPr="009B1CF2" w:rsidRDefault="009B1CF2" w:rsidP="003518F4">
      <w:pPr>
        <w:numPr>
          <w:ilvl w:val="1"/>
          <w:numId w:val="162"/>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Según las proyecciones, Armenia y Belarús entrarán en recesión en 2015, y en Georgia el crecimiento se desacelerará. En estas tres economías, este giro a la baja refleja los efectos de contagio procedentes de Rusia. En Moldova, la merma del crecimiento del crédito, junto con la disminución de las exportaciones y las remesas, se traducirá en una pequeña contracción del PIB este año. </w:t>
      </w:r>
    </w:p>
    <w:p w14:paraId="0DFF19D1" w14:textId="77777777" w:rsidR="009B1CF2" w:rsidRPr="009B1CF2" w:rsidRDefault="009B1CF2" w:rsidP="009B1CF2">
      <w:pPr>
        <w:rPr>
          <w:rFonts w:eastAsia="Times New Roman"/>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5"/>
        <w:gridCol w:w="540"/>
        <w:gridCol w:w="540"/>
        <w:gridCol w:w="540"/>
        <w:gridCol w:w="540"/>
        <w:gridCol w:w="561"/>
        <w:gridCol w:w="567"/>
        <w:gridCol w:w="567"/>
        <w:gridCol w:w="645"/>
        <w:gridCol w:w="540"/>
        <w:gridCol w:w="540"/>
        <w:gridCol w:w="540"/>
        <w:gridCol w:w="540"/>
      </w:tblGrid>
      <w:tr w:rsidR="009B1CF2" w:rsidRPr="00A808BF" w14:paraId="1631C589" w14:textId="77777777" w:rsidTr="008B3DA6">
        <w:trPr>
          <w:jc w:val="center"/>
        </w:trPr>
        <w:tc>
          <w:tcPr>
            <w:tcW w:w="9015" w:type="dxa"/>
            <w:gridSpan w:val="13"/>
            <w:tcBorders>
              <w:top w:val="nil"/>
              <w:left w:val="nil"/>
              <w:right w:val="nil"/>
            </w:tcBorders>
          </w:tcPr>
          <w:p w14:paraId="0E8E1995"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PIB REAL, PRECIOS AL CONSUMIDOR, SALDO EN CUENTA CORRIENTE Y DESEMPLEO EN LA COMUNIDAD DE</w:t>
            </w:r>
          </w:p>
          <w:p w14:paraId="7C781482"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ESTADOS INDEPENDIENTES</w:t>
            </w:r>
          </w:p>
          <w:p w14:paraId="25B7C5F3"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-Variación porcentual anual, salvo indicación en contrario-</w:t>
            </w:r>
          </w:p>
        </w:tc>
      </w:tr>
      <w:tr w:rsidR="009B1CF2" w:rsidRPr="009B1CF2" w14:paraId="73931832" w14:textId="77777777" w:rsidTr="008B3DA6">
        <w:trPr>
          <w:jc w:val="center"/>
        </w:trPr>
        <w:tc>
          <w:tcPr>
            <w:tcW w:w="2355" w:type="dxa"/>
            <w:vMerge w:val="restart"/>
          </w:tcPr>
          <w:p w14:paraId="0E73CC79" w14:textId="77777777" w:rsidR="009B1CF2" w:rsidRPr="00A808BF" w:rsidRDefault="009B1CF2" w:rsidP="009B1CF2">
            <w:pPr>
              <w:rPr>
                <w:rFonts w:eastAsia="Times New Roman"/>
                <w:b/>
                <w:sz w:val="12"/>
                <w:szCs w:val="12"/>
                <w:lang w:val="es-ES"/>
              </w:rPr>
            </w:pPr>
          </w:p>
        </w:tc>
        <w:tc>
          <w:tcPr>
            <w:tcW w:w="1620" w:type="dxa"/>
            <w:gridSpan w:val="3"/>
            <w:shd w:val="clear" w:color="auto" w:fill="auto"/>
            <w:vAlign w:val="center"/>
          </w:tcPr>
          <w:p w14:paraId="0B77FE2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PIB real</w:t>
            </w:r>
          </w:p>
        </w:tc>
        <w:tc>
          <w:tcPr>
            <w:tcW w:w="1668" w:type="dxa"/>
            <w:gridSpan w:val="3"/>
            <w:shd w:val="clear" w:color="auto" w:fill="auto"/>
            <w:vAlign w:val="center"/>
          </w:tcPr>
          <w:p w14:paraId="155EAB03"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Precios al consumidor</w:t>
            </w:r>
            <w:r w:rsidRPr="00A808BF">
              <w:rPr>
                <w:rFonts w:eastAsia="Times New Roman"/>
                <w:b/>
                <w:sz w:val="12"/>
                <w:szCs w:val="12"/>
                <w:u w:val="single"/>
                <w:vertAlign w:val="superscript"/>
                <w:lang w:val="es-ES"/>
              </w:rPr>
              <w:t>1</w:t>
            </w:r>
            <w:r w:rsidRPr="00A808BF">
              <w:rPr>
                <w:rFonts w:eastAsia="Times New Roman"/>
                <w:b/>
                <w:sz w:val="12"/>
                <w:szCs w:val="12"/>
                <w:vertAlign w:val="superscript"/>
                <w:lang w:val="es-ES"/>
              </w:rPr>
              <w:t>/</w:t>
            </w:r>
          </w:p>
        </w:tc>
        <w:tc>
          <w:tcPr>
            <w:tcW w:w="1752" w:type="dxa"/>
            <w:gridSpan w:val="3"/>
            <w:vAlign w:val="center"/>
          </w:tcPr>
          <w:p w14:paraId="6BD3617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Saldo en cuenta corriente</w:t>
            </w:r>
            <w:r w:rsidRPr="00A808BF">
              <w:rPr>
                <w:rFonts w:eastAsia="Times New Roman"/>
                <w:b/>
                <w:sz w:val="12"/>
                <w:szCs w:val="12"/>
                <w:u w:val="single"/>
                <w:vertAlign w:val="superscript"/>
                <w:lang w:val="es-ES"/>
              </w:rPr>
              <w:t>2</w:t>
            </w:r>
            <w:r w:rsidRPr="00A808BF">
              <w:rPr>
                <w:rFonts w:eastAsia="Times New Roman"/>
                <w:b/>
                <w:sz w:val="12"/>
                <w:szCs w:val="12"/>
                <w:vertAlign w:val="superscript"/>
                <w:lang w:val="es-ES"/>
              </w:rPr>
              <w:t>/</w:t>
            </w:r>
          </w:p>
        </w:tc>
        <w:tc>
          <w:tcPr>
            <w:tcW w:w="1620" w:type="dxa"/>
            <w:gridSpan w:val="3"/>
            <w:vAlign w:val="center"/>
          </w:tcPr>
          <w:p w14:paraId="274DED3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Desempleo</w:t>
            </w:r>
            <w:r w:rsidRPr="00A808BF">
              <w:rPr>
                <w:rFonts w:eastAsia="Times New Roman"/>
                <w:b/>
                <w:sz w:val="12"/>
                <w:szCs w:val="12"/>
                <w:u w:val="single"/>
                <w:vertAlign w:val="superscript"/>
                <w:lang w:val="es-ES"/>
              </w:rPr>
              <w:t>3</w:t>
            </w:r>
            <w:r w:rsidRPr="00A808BF">
              <w:rPr>
                <w:rFonts w:eastAsia="Times New Roman"/>
                <w:b/>
                <w:sz w:val="12"/>
                <w:szCs w:val="12"/>
                <w:vertAlign w:val="superscript"/>
                <w:lang w:val="es-ES"/>
              </w:rPr>
              <w:t>/</w:t>
            </w:r>
          </w:p>
        </w:tc>
      </w:tr>
      <w:tr w:rsidR="009B1CF2" w:rsidRPr="009B1CF2" w14:paraId="79CBCE10" w14:textId="77777777" w:rsidTr="008B3DA6">
        <w:trPr>
          <w:jc w:val="center"/>
        </w:trPr>
        <w:tc>
          <w:tcPr>
            <w:tcW w:w="2355" w:type="dxa"/>
            <w:vMerge/>
          </w:tcPr>
          <w:p w14:paraId="6D142A9A" w14:textId="77777777" w:rsidR="009B1CF2" w:rsidRPr="00A808BF" w:rsidRDefault="009B1CF2" w:rsidP="009B1CF2">
            <w:pPr>
              <w:rPr>
                <w:rFonts w:eastAsia="Times New Roman"/>
                <w:b/>
                <w:sz w:val="12"/>
                <w:szCs w:val="12"/>
                <w:lang w:val="es-ES"/>
              </w:rPr>
            </w:pPr>
          </w:p>
        </w:tc>
        <w:tc>
          <w:tcPr>
            <w:tcW w:w="540" w:type="dxa"/>
            <w:vMerge w:val="restart"/>
            <w:shd w:val="clear" w:color="auto" w:fill="auto"/>
            <w:vAlign w:val="bottom"/>
          </w:tcPr>
          <w:p w14:paraId="39B33A4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shd w:val="clear" w:color="auto" w:fill="auto"/>
            <w:vAlign w:val="center"/>
          </w:tcPr>
          <w:p w14:paraId="2BCF71AA"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shd w:val="clear" w:color="auto" w:fill="auto"/>
            <w:vAlign w:val="bottom"/>
          </w:tcPr>
          <w:p w14:paraId="50483F4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28" w:type="dxa"/>
            <w:gridSpan w:val="2"/>
            <w:shd w:val="clear" w:color="auto" w:fill="auto"/>
            <w:vAlign w:val="center"/>
          </w:tcPr>
          <w:p w14:paraId="7EAF78C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67" w:type="dxa"/>
            <w:vMerge w:val="restart"/>
            <w:vAlign w:val="bottom"/>
          </w:tcPr>
          <w:p w14:paraId="2CBA48A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85" w:type="dxa"/>
            <w:gridSpan w:val="2"/>
            <w:vAlign w:val="center"/>
          </w:tcPr>
          <w:p w14:paraId="01823C5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vAlign w:val="bottom"/>
          </w:tcPr>
          <w:p w14:paraId="7C525B67"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vAlign w:val="center"/>
          </w:tcPr>
          <w:p w14:paraId="7E897148"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r>
      <w:tr w:rsidR="009B1CF2" w:rsidRPr="009B1CF2" w14:paraId="7FCC9FC4" w14:textId="77777777" w:rsidTr="008B3DA6">
        <w:trPr>
          <w:jc w:val="center"/>
        </w:trPr>
        <w:tc>
          <w:tcPr>
            <w:tcW w:w="2355" w:type="dxa"/>
            <w:vMerge/>
          </w:tcPr>
          <w:p w14:paraId="1AAD4635" w14:textId="77777777" w:rsidR="009B1CF2" w:rsidRPr="00A808BF" w:rsidRDefault="009B1CF2" w:rsidP="009B1CF2">
            <w:pPr>
              <w:rPr>
                <w:rFonts w:eastAsia="Times New Roman"/>
                <w:b/>
                <w:sz w:val="12"/>
                <w:szCs w:val="12"/>
                <w:lang w:val="es-ES"/>
              </w:rPr>
            </w:pPr>
          </w:p>
        </w:tc>
        <w:tc>
          <w:tcPr>
            <w:tcW w:w="540" w:type="dxa"/>
            <w:vMerge/>
          </w:tcPr>
          <w:p w14:paraId="046B259E" w14:textId="77777777" w:rsidR="009B1CF2" w:rsidRPr="00A808BF" w:rsidRDefault="009B1CF2" w:rsidP="009B1CF2">
            <w:pPr>
              <w:ind w:right="57"/>
              <w:jc w:val="center"/>
              <w:rPr>
                <w:rFonts w:eastAsia="Times New Roman"/>
                <w:b/>
                <w:sz w:val="12"/>
                <w:szCs w:val="12"/>
                <w:lang w:val="es-ES"/>
              </w:rPr>
            </w:pPr>
          </w:p>
        </w:tc>
        <w:tc>
          <w:tcPr>
            <w:tcW w:w="540" w:type="dxa"/>
          </w:tcPr>
          <w:p w14:paraId="1D8EC105"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088F8D2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0626A45A" w14:textId="77777777" w:rsidR="009B1CF2" w:rsidRPr="00A808BF" w:rsidRDefault="009B1CF2" w:rsidP="009B1CF2">
            <w:pPr>
              <w:ind w:right="57"/>
              <w:jc w:val="center"/>
              <w:rPr>
                <w:rFonts w:eastAsia="Times New Roman"/>
                <w:b/>
                <w:sz w:val="12"/>
                <w:szCs w:val="12"/>
                <w:lang w:val="es-ES"/>
              </w:rPr>
            </w:pPr>
          </w:p>
        </w:tc>
        <w:tc>
          <w:tcPr>
            <w:tcW w:w="561" w:type="dxa"/>
          </w:tcPr>
          <w:p w14:paraId="137BD75B"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67" w:type="dxa"/>
          </w:tcPr>
          <w:p w14:paraId="11017C8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67" w:type="dxa"/>
            <w:vMerge/>
          </w:tcPr>
          <w:p w14:paraId="0113F36F" w14:textId="77777777" w:rsidR="009B1CF2" w:rsidRPr="00A808BF" w:rsidRDefault="009B1CF2" w:rsidP="009B1CF2">
            <w:pPr>
              <w:ind w:right="113"/>
              <w:jc w:val="center"/>
              <w:rPr>
                <w:rFonts w:eastAsia="Times New Roman"/>
                <w:b/>
                <w:sz w:val="12"/>
                <w:szCs w:val="12"/>
                <w:lang w:val="es-ES"/>
              </w:rPr>
            </w:pPr>
          </w:p>
        </w:tc>
        <w:tc>
          <w:tcPr>
            <w:tcW w:w="645" w:type="dxa"/>
          </w:tcPr>
          <w:p w14:paraId="756EA45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30A4891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332BD567" w14:textId="77777777" w:rsidR="009B1CF2" w:rsidRPr="00A808BF" w:rsidRDefault="009B1CF2" w:rsidP="009B1CF2">
            <w:pPr>
              <w:ind w:right="113"/>
              <w:jc w:val="center"/>
              <w:rPr>
                <w:rFonts w:eastAsia="Times New Roman"/>
                <w:b/>
                <w:sz w:val="12"/>
                <w:szCs w:val="12"/>
                <w:lang w:val="es-ES"/>
              </w:rPr>
            </w:pPr>
          </w:p>
        </w:tc>
        <w:tc>
          <w:tcPr>
            <w:tcW w:w="540" w:type="dxa"/>
          </w:tcPr>
          <w:p w14:paraId="33A6A40A"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1AEFE263"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r>
      <w:tr w:rsidR="009B1CF2" w:rsidRPr="009B1CF2" w14:paraId="60779C8E" w14:textId="77777777" w:rsidTr="00A808BF">
        <w:trPr>
          <w:jc w:val="center"/>
        </w:trPr>
        <w:tc>
          <w:tcPr>
            <w:tcW w:w="2355" w:type="dxa"/>
            <w:tcBorders>
              <w:bottom w:val="nil"/>
            </w:tcBorders>
          </w:tcPr>
          <w:p w14:paraId="681A1E0F"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Comunidad de Estados Independientes</w:t>
            </w:r>
            <w:r w:rsidRPr="00A808BF">
              <w:rPr>
                <w:rFonts w:eastAsia="Times New Roman"/>
                <w:b/>
                <w:sz w:val="12"/>
                <w:szCs w:val="12"/>
                <w:u w:val="single"/>
                <w:vertAlign w:val="superscript"/>
                <w:lang w:val="es-ES"/>
              </w:rPr>
              <w:t>4</w:t>
            </w:r>
            <w:r w:rsidRPr="00A808BF">
              <w:rPr>
                <w:rFonts w:eastAsia="Times New Roman"/>
                <w:b/>
                <w:sz w:val="12"/>
                <w:szCs w:val="12"/>
                <w:vertAlign w:val="superscript"/>
                <w:lang w:val="es-ES"/>
              </w:rPr>
              <w:t>/</w:t>
            </w:r>
          </w:p>
        </w:tc>
        <w:tc>
          <w:tcPr>
            <w:tcW w:w="540" w:type="dxa"/>
            <w:tcBorders>
              <w:bottom w:val="nil"/>
            </w:tcBorders>
          </w:tcPr>
          <w:p w14:paraId="4D00090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1.0</w:t>
            </w:r>
          </w:p>
        </w:tc>
        <w:tc>
          <w:tcPr>
            <w:tcW w:w="540" w:type="dxa"/>
            <w:tcBorders>
              <w:bottom w:val="nil"/>
            </w:tcBorders>
          </w:tcPr>
          <w:p w14:paraId="15673AB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-2.6</w:t>
            </w:r>
          </w:p>
        </w:tc>
        <w:tc>
          <w:tcPr>
            <w:tcW w:w="540" w:type="dxa"/>
            <w:tcBorders>
              <w:bottom w:val="nil"/>
            </w:tcBorders>
          </w:tcPr>
          <w:p w14:paraId="344565C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0.3</w:t>
            </w:r>
          </w:p>
        </w:tc>
        <w:tc>
          <w:tcPr>
            <w:tcW w:w="540" w:type="dxa"/>
            <w:tcBorders>
              <w:bottom w:val="nil"/>
            </w:tcBorders>
          </w:tcPr>
          <w:p w14:paraId="655DC26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8.1</w:t>
            </w:r>
          </w:p>
        </w:tc>
        <w:tc>
          <w:tcPr>
            <w:tcW w:w="561" w:type="dxa"/>
            <w:tcBorders>
              <w:bottom w:val="nil"/>
            </w:tcBorders>
          </w:tcPr>
          <w:p w14:paraId="58F7DE15"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16.8</w:t>
            </w:r>
          </w:p>
        </w:tc>
        <w:tc>
          <w:tcPr>
            <w:tcW w:w="567" w:type="dxa"/>
            <w:tcBorders>
              <w:bottom w:val="nil"/>
            </w:tcBorders>
          </w:tcPr>
          <w:p w14:paraId="380F9E5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9.4</w:t>
            </w:r>
          </w:p>
        </w:tc>
        <w:tc>
          <w:tcPr>
            <w:tcW w:w="567" w:type="dxa"/>
            <w:tcBorders>
              <w:bottom w:val="nil"/>
            </w:tcBorders>
          </w:tcPr>
          <w:p w14:paraId="4A3AAA8D"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2.2</w:t>
            </w:r>
          </w:p>
        </w:tc>
        <w:tc>
          <w:tcPr>
            <w:tcW w:w="645" w:type="dxa"/>
            <w:tcBorders>
              <w:bottom w:val="nil"/>
            </w:tcBorders>
          </w:tcPr>
          <w:p w14:paraId="47ADC47B"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2.5</w:t>
            </w:r>
          </w:p>
        </w:tc>
        <w:tc>
          <w:tcPr>
            <w:tcW w:w="540" w:type="dxa"/>
            <w:tcBorders>
              <w:bottom w:val="nil"/>
            </w:tcBorders>
          </w:tcPr>
          <w:p w14:paraId="705773AE"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3.7</w:t>
            </w:r>
          </w:p>
        </w:tc>
        <w:tc>
          <w:tcPr>
            <w:tcW w:w="540" w:type="dxa"/>
            <w:tcBorders>
              <w:bottom w:val="nil"/>
            </w:tcBorders>
          </w:tcPr>
          <w:p w14:paraId="65FDC19C"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52F970FC"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4670624A"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6501D0AD" w14:textId="77777777" w:rsidTr="00A808BF">
        <w:trPr>
          <w:jc w:val="center"/>
        </w:trPr>
        <w:tc>
          <w:tcPr>
            <w:tcW w:w="2355" w:type="dxa"/>
            <w:tcBorders>
              <w:top w:val="nil"/>
              <w:bottom w:val="nil"/>
            </w:tcBorders>
          </w:tcPr>
          <w:p w14:paraId="67BDCE19" w14:textId="77777777" w:rsidR="009B1CF2" w:rsidRPr="00A808BF" w:rsidRDefault="009B1CF2" w:rsidP="009B1CF2">
            <w:pPr>
              <w:ind w:left="284"/>
              <w:rPr>
                <w:rFonts w:eastAsia="Times New Roman"/>
                <w:b/>
                <w:sz w:val="12"/>
                <w:szCs w:val="12"/>
                <w:lang w:val="es-ES"/>
              </w:rPr>
            </w:pPr>
            <w:r w:rsidRPr="00A808BF">
              <w:rPr>
                <w:rFonts w:eastAsia="Times New Roman"/>
                <w:b/>
                <w:sz w:val="12"/>
                <w:szCs w:val="12"/>
                <w:lang w:val="es-ES"/>
              </w:rPr>
              <w:t>Exportadores netos de energía</w:t>
            </w:r>
          </w:p>
        </w:tc>
        <w:tc>
          <w:tcPr>
            <w:tcW w:w="540" w:type="dxa"/>
            <w:tcBorders>
              <w:top w:val="nil"/>
              <w:bottom w:val="nil"/>
            </w:tcBorders>
          </w:tcPr>
          <w:p w14:paraId="77987F1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1.5</w:t>
            </w:r>
          </w:p>
        </w:tc>
        <w:tc>
          <w:tcPr>
            <w:tcW w:w="540" w:type="dxa"/>
            <w:tcBorders>
              <w:top w:val="nil"/>
              <w:bottom w:val="nil"/>
            </w:tcBorders>
          </w:tcPr>
          <w:p w14:paraId="3051097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40" w:type="dxa"/>
            <w:tcBorders>
              <w:top w:val="nil"/>
              <w:bottom w:val="nil"/>
            </w:tcBorders>
          </w:tcPr>
          <w:p w14:paraId="2FE538B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0.1</w:t>
            </w:r>
          </w:p>
        </w:tc>
        <w:tc>
          <w:tcPr>
            <w:tcW w:w="540" w:type="dxa"/>
            <w:tcBorders>
              <w:top w:val="nil"/>
              <w:bottom w:val="nil"/>
            </w:tcBorders>
          </w:tcPr>
          <w:p w14:paraId="07BD31C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7.5</w:t>
            </w:r>
          </w:p>
        </w:tc>
        <w:tc>
          <w:tcPr>
            <w:tcW w:w="561" w:type="dxa"/>
            <w:tcBorders>
              <w:top w:val="nil"/>
              <w:bottom w:val="nil"/>
            </w:tcBorders>
          </w:tcPr>
          <w:p w14:paraId="002A5CDC"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15.6</w:t>
            </w:r>
          </w:p>
        </w:tc>
        <w:tc>
          <w:tcPr>
            <w:tcW w:w="567" w:type="dxa"/>
            <w:tcBorders>
              <w:top w:val="nil"/>
              <w:bottom w:val="nil"/>
            </w:tcBorders>
          </w:tcPr>
          <w:p w14:paraId="743909AF"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9.1</w:t>
            </w:r>
          </w:p>
        </w:tc>
        <w:tc>
          <w:tcPr>
            <w:tcW w:w="567" w:type="dxa"/>
            <w:tcBorders>
              <w:top w:val="nil"/>
              <w:bottom w:val="nil"/>
            </w:tcBorders>
          </w:tcPr>
          <w:p w14:paraId="4B356D65"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3.1</w:t>
            </w:r>
          </w:p>
        </w:tc>
        <w:tc>
          <w:tcPr>
            <w:tcW w:w="645" w:type="dxa"/>
            <w:tcBorders>
              <w:top w:val="nil"/>
              <w:bottom w:val="nil"/>
            </w:tcBorders>
          </w:tcPr>
          <w:p w14:paraId="5BB2966E"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3.4</w:t>
            </w:r>
          </w:p>
        </w:tc>
        <w:tc>
          <w:tcPr>
            <w:tcW w:w="540" w:type="dxa"/>
            <w:tcBorders>
              <w:top w:val="nil"/>
              <w:bottom w:val="nil"/>
            </w:tcBorders>
          </w:tcPr>
          <w:p w14:paraId="6D41D286"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4.6</w:t>
            </w:r>
          </w:p>
        </w:tc>
        <w:tc>
          <w:tcPr>
            <w:tcW w:w="540" w:type="dxa"/>
            <w:tcBorders>
              <w:top w:val="nil"/>
              <w:bottom w:val="nil"/>
            </w:tcBorders>
          </w:tcPr>
          <w:p w14:paraId="11365359"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6C2829C3"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5BD71307"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195944FB" w14:textId="77777777" w:rsidTr="00A808BF">
        <w:trPr>
          <w:jc w:val="center"/>
        </w:trPr>
        <w:tc>
          <w:tcPr>
            <w:tcW w:w="2355" w:type="dxa"/>
            <w:tcBorders>
              <w:top w:val="nil"/>
              <w:bottom w:val="nil"/>
            </w:tcBorders>
          </w:tcPr>
          <w:p w14:paraId="11AF7496"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Rusia</w:t>
            </w:r>
          </w:p>
        </w:tc>
        <w:tc>
          <w:tcPr>
            <w:tcW w:w="540" w:type="dxa"/>
            <w:tcBorders>
              <w:top w:val="nil"/>
              <w:bottom w:val="nil"/>
            </w:tcBorders>
          </w:tcPr>
          <w:p w14:paraId="13185C0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bottom w:val="nil"/>
            </w:tcBorders>
          </w:tcPr>
          <w:p w14:paraId="288E977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-3.8</w:t>
            </w:r>
          </w:p>
        </w:tc>
        <w:tc>
          <w:tcPr>
            <w:tcW w:w="540" w:type="dxa"/>
            <w:tcBorders>
              <w:top w:val="nil"/>
              <w:bottom w:val="nil"/>
            </w:tcBorders>
          </w:tcPr>
          <w:p w14:paraId="01546DF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w:t>
            </w:r>
          </w:p>
        </w:tc>
        <w:tc>
          <w:tcPr>
            <w:tcW w:w="540" w:type="dxa"/>
            <w:tcBorders>
              <w:top w:val="nil"/>
              <w:bottom w:val="nil"/>
            </w:tcBorders>
          </w:tcPr>
          <w:p w14:paraId="1F0A909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7.8</w:t>
            </w:r>
          </w:p>
        </w:tc>
        <w:tc>
          <w:tcPr>
            <w:tcW w:w="561" w:type="dxa"/>
            <w:tcBorders>
              <w:top w:val="nil"/>
              <w:bottom w:val="nil"/>
            </w:tcBorders>
          </w:tcPr>
          <w:p w14:paraId="735ABD9C"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17.9</w:t>
            </w:r>
          </w:p>
        </w:tc>
        <w:tc>
          <w:tcPr>
            <w:tcW w:w="567" w:type="dxa"/>
            <w:tcBorders>
              <w:top w:val="nil"/>
              <w:bottom w:val="nil"/>
            </w:tcBorders>
          </w:tcPr>
          <w:p w14:paraId="7B29088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9.8</w:t>
            </w:r>
          </w:p>
        </w:tc>
        <w:tc>
          <w:tcPr>
            <w:tcW w:w="567" w:type="dxa"/>
            <w:tcBorders>
              <w:top w:val="nil"/>
              <w:bottom w:val="nil"/>
            </w:tcBorders>
          </w:tcPr>
          <w:p w14:paraId="703A5A5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3.1</w:t>
            </w:r>
          </w:p>
        </w:tc>
        <w:tc>
          <w:tcPr>
            <w:tcW w:w="645" w:type="dxa"/>
            <w:tcBorders>
              <w:top w:val="nil"/>
              <w:bottom w:val="nil"/>
            </w:tcBorders>
          </w:tcPr>
          <w:p w14:paraId="09A8E0AD"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bottom w:val="nil"/>
            </w:tcBorders>
          </w:tcPr>
          <w:p w14:paraId="2EC00652"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bottom w:val="nil"/>
            </w:tcBorders>
          </w:tcPr>
          <w:p w14:paraId="17BF377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5.1</w:t>
            </w:r>
          </w:p>
        </w:tc>
        <w:tc>
          <w:tcPr>
            <w:tcW w:w="540" w:type="dxa"/>
            <w:tcBorders>
              <w:top w:val="nil"/>
              <w:bottom w:val="nil"/>
            </w:tcBorders>
          </w:tcPr>
          <w:p w14:paraId="1DC02C4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6.5</w:t>
            </w:r>
          </w:p>
        </w:tc>
        <w:tc>
          <w:tcPr>
            <w:tcW w:w="540" w:type="dxa"/>
            <w:tcBorders>
              <w:top w:val="nil"/>
              <w:bottom w:val="nil"/>
            </w:tcBorders>
          </w:tcPr>
          <w:p w14:paraId="7070257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6.5</w:t>
            </w:r>
          </w:p>
        </w:tc>
      </w:tr>
      <w:tr w:rsidR="009B1CF2" w:rsidRPr="009B1CF2" w14:paraId="3BA3EE3B" w14:textId="77777777" w:rsidTr="00A808BF">
        <w:trPr>
          <w:jc w:val="center"/>
        </w:trPr>
        <w:tc>
          <w:tcPr>
            <w:tcW w:w="2355" w:type="dxa"/>
            <w:tcBorders>
              <w:top w:val="nil"/>
              <w:bottom w:val="nil"/>
            </w:tcBorders>
          </w:tcPr>
          <w:p w14:paraId="10B81E70"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Kazajstán</w:t>
            </w:r>
          </w:p>
        </w:tc>
        <w:tc>
          <w:tcPr>
            <w:tcW w:w="540" w:type="dxa"/>
            <w:tcBorders>
              <w:top w:val="nil"/>
              <w:bottom w:val="nil"/>
            </w:tcBorders>
          </w:tcPr>
          <w:p w14:paraId="02746C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40" w:type="dxa"/>
            <w:tcBorders>
              <w:top w:val="nil"/>
              <w:bottom w:val="nil"/>
            </w:tcBorders>
          </w:tcPr>
          <w:p w14:paraId="477644F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1F4020A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bottom w:val="nil"/>
            </w:tcBorders>
          </w:tcPr>
          <w:p w14:paraId="7A31999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c>
          <w:tcPr>
            <w:tcW w:w="561" w:type="dxa"/>
            <w:tcBorders>
              <w:top w:val="nil"/>
              <w:bottom w:val="nil"/>
            </w:tcBorders>
          </w:tcPr>
          <w:p w14:paraId="5BDEC19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5.2</w:t>
            </w:r>
          </w:p>
        </w:tc>
        <w:tc>
          <w:tcPr>
            <w:tcW w:w="567" w:type="dxa"/>
            <w:tcBorders>
              <w:top w:val="nil"/>
              <w:bottom w:val="nil"/>
            </w:tcBorders>
          </w:tcPr>
          <w:p w14:paraId="0BB4FE6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67" w:type="dxa"/>
            <w:tcBorders>
              <w:top w:val="nil"/>
              <w:bottom w:val="nil"/>
            </w:tcBorders>
          </w:tcPr>
          <w:p w14:paraId="399021F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1.6</w:t>
            </w:r>
          </w:p>
        </w:tc>
        <w:tc>
          <w:tcPr>
            <w:tcW w:w="645" w:type="dxa"/>
            <w:tcBorders>
              <w:top w:val="nil"/>
              <w:bottom w:val="nil"/>
            </w:tcBorders>
          </w:tcPr>
          <w:p w14:paraId="6972C55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bottom w:val="nil"/>
            </w:tcBorders>
          </w:tcPr>
          <w:p w14:paraId="7309433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bottom w:val="nil"/>
            </w:tcBorders>
          </w:tcPr>
          <w:p w14:paraId="4564800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5.2</w:t>
            </w:r>
          </w:p>
        </w:tc>
        <w:tc>
          <w:tcPr>
            <w:tcW w:w="540" w:type="dxa"/>
            <w:tcBorders>
              <w:top w:val="nil"/>
              <w:bottom w:val="nil"/>
            </w:tcBorders>
          </w:tcPr>
          <w:p w14:paraId="3B91624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5.2</w:t>
            </w:r>
          </w:p>
        </w:tc>
        <w:tc>
          <w:tcPr>
            <w:tcW w:w="540" w:type="dxa"/>
            <w:tcBorders>
              <w:top w:val="nil"/>
              <w:bottom w:val="nil"/>
            </w:tcBorders>
          </w:tcPr>
          <w:p w14:paraId="53749C7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5.2</w:t>
            </w:r>
          </w:p>
        </w:tc>
      </w:tr>
      <w:tr w:rsidR="009B1CF2" w:rsidRPr="009B1CF2" w14:paraId="334F813A" w14:textId="77777777" w:rsidTr="00A808BF">
        <w:trPr>
          <w:jc w:val="center"/>
        </w:trPr>
        <w:tc>
          <w:tcPr>
            <w:tcW w:w="2355" w:type="dxa"/>
            <w:tcBorders>
              <w:top w:val="nil"/>
              <w:bottom w:val="nil"/>
            </w:tcBorders>
          </w:tcPr>
          <w:p w14:paraId="1AF71538"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Uzbekistán</w:t>
            </w:r>
          </w:p>
        </w:tc>
        <w:tc>
          <w:tcPr>
            <w:tcW w:w="540" w:type="dxa"/>
            <w:tcBorders>
              <w:top w:val="nil"/>
              <w:bottom w:val="nil"/>
            </w:tcBorders>
          </w:tcPr>
          <w:p w14:paraId="13F5B94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8.1</w:t>
            </w:r>
          </w:p>
        </w:tc>
        <w:tc>
          <w:tcPr>
            <w:tcW w:w="540" w:type="dxa"/>
            <w:tcBorders>
              <w:top w:val="nil"/>
              <w:bottom w:val="nil"/>
            </w:tcBorders>
          </w:tcPr>
          <w:p w14:paraId="54D1612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c>
          <w:tcPr>
            <w:tcW w:w="540" w:type="dxa"/>
            <w:tcBorders>
              <w:top w:val="nil"/>
              <w:bottom w:val="nil"/>
            </w:tcBorders>
          </w:tcPr>
          <w:p w14:paraId="7F8A2F1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6.5</w:t>
            </w:r>
          </w:p>
        </w:tc>
        <w:tc>
          <w:tcPr>
            <w:tcW w:w="540" w:type="dxa"/>
            <w:tcBorders>
              <w:top w:val="nil"/>
              <w:bottom w:val="nil"/>
            </w:tcBorders>
          </w:tcPr>
          <w:p w14:paraId="733DC8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8.4</w:t>
            </w:r>
          </w:p>
        </w:tc>
        <w:tc>
          <w:tcPr>
            <w:tcW w:w="561" w:type="dxa"/>
            <w:tcBorders>
              <w:top w:val="nil"/>
              <w:bottom w:val="nil"/>
            </w:tcBorders>
          </w:tcPr>
          <w:p w14:paraId="2451BC8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9.5</w:t>
            </w:r>
          </w:p>
        </w:tc>
        <w:tc>
          <w:tcPr>
            <w:tcW w:w="567" w:type="dxa"/>
            <w:tcBorders>
              <w:top w:val="nil"/>
              <w:bottom w:val="nil"/>
            </w:tcBorders>
          </w:tcPr>
          <w:p w14:paraId="6EB998A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9.8</w:t>
            </w:r>
          </w:p>
        </w:tc>
        <w:tc>
          <w:tcPr>
            <w:tcW w:w="567" w:type="dxa"/>
            <w:tcBorders>
              <w:top w:val="nil"/>
              <w:bottom w:val="nil"/>
            </w:tcBorders>
          </w:tcPr>
          <w:p w14:paraId="6122E95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0.1</w:t>
            </w:r>
          </w:p>
        </w:tc>
        <w:tc>
          <w:tcPr>
            <w:tcW w:w="645" w:type="dxa"/>
            <w:tcBorders>
              <w:top w:val="nil"/>
              <w:bottom w:val="nil"/>
            </w:tcBorders>
          </w:tcPr>
          <w:p w14:paraId="135E3C9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bottom w:val="nil"/>
            </w:tcBorders>
          </w:tcPr>
          <w:p w14:paraId="214851F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0.2</w:t>
            </w:r>
          </w:p>
        </w:tc>
        <w:tc>
          <w:tcPr>
            <w:tcW w:w="540" w:type="dxa"/>
            <w:tcBorders>
              <w:top w:val="nil"/>
              <w:bottom w:val="nil"/>
            </w:tcBorders>
          </w:tcPr>
          <w:p w14:paraId="6E7D3F0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5E7E8A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CD4305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r>
      <w:tr w:rsidR="009B1CF2" w:rsidRPr="009B1CF2" w14:paraId="563C70EC" w14:textId="77777777" w:rsidTr="00A808BF">
        <w:trPr>
          <w:jc w:val="center"/>
        </w:trPr>
        <w:tc>
          <w:tcPr>
            <w:tcW w:w="2355" w:type="dxa"/>
            <w:tcBorders>
              <w:top w:val="nil"/>
              <w:bottom w:val="nil"/>
            </w:tcBorders>
          </w:tcPr>
          <w:p w14:paraId="0C1D5F12"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Azerbaiyán</w:t>
            </w:r>
          </w:p>
        </w:tc>
        <w:tc>
          <w:tcPr>
            <w:tcW w:w="540" w:type="dxa"/>
            <w:tcBorders>
              <w:top w:val="nil"/>
              <w:bottom w:val="nil"/>
            </w:tcBorders>
          </w:tcPr>
          <w:p w14:paraId="5DD4F69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40" w:type="dxa"/>
            <w:tcBorders>
              <w:top w:val="nil"/>
              <w:bottom w:val="nil"/>
            </w:tcBorders>
          </w:tcPr>
          <w:p w14:paraId="4E0458B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bottom w:val="nil"/>
            </w:tcBorders>
          </w:tcPr>
          <w:p w14:paraId="17CC533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bottom w:val="nil"/>
            </w:tcBorders>
          </w:tcPr>
          <w:p w14:paraId="14A19D6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1.4</w:t>
            </w:r>
          </w:p>
        </w:tc>
        <w:tc>
          <w:tcPr>
            <w:tcW w:w="561" w:type="dxa"/>
            <w:tcBorders>
              <w:top w:val="nil"/>
              <w:bottom w:val="nil"/>
            </w:tcBorders>
          </w:tcPr>
          <w:p w14:paraId="171F6CC1"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7.9</w:t>
            </w:r>
          </w:p>
        </w:tc>
        <w:tc>
          <w:tcPr>
            <w:tcW w:w="567" w:type="dxa"/>
            <w:tcBorders>
              <w:top w:val="nil"/>
              <w:bottom w:val="nil"/>
            </w:tcBorders>
          </w:tcPr>
          <w:p w14:paraId="2B9BEBC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6.2</w:t>
            </w:r>
          </w:p>
        </w:tc>
        <w:tc>
          <w:tcPr>
            <w:tcW w:w="567" w:type="dxa"/>
            <w:tcBorders>
              <w:top w:val="nil"/>
              <w:bottom w:val="nil"/>
            </w:tcBorders>
          </w:tcPr>
          <w:p w14:paraId="17B0E59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15.3</w:t>
            </w:r>
          </w:p>
        </w:tc>
        <w:tc>
          <w:tcPr>
            <w:tcW w:w="645" w:type="dxa"/>
            <w:tcBorders>
              <w:top w:val="nil"/>
              <w:bottom w:val="nil"/>
            </w:tcBorders>
          </w:tcPr>
          <w:p w14:paraId="7864C9D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5.3</w:t>
            </w:r>
          </w:p>
        </w:tc>
        <w:tc>
          <w:tcPr>
            <w:tcW w:w="540" w:type="dxa"/>
            <w:tcBorders>
              <w:top w:val="nil"/>
              <w:bottom w:val="nil"/>
            </w:tcBorders>
          </w:tcPr>
          <w:p w14:paraId="4D9F295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8.2</w:t>
            </w:r>
          </w:p>
        </w:tc>
        <w:tc>
          <w:tcPr>
            <w:tcW w:w="540" w:type="dxa"/>
            <w:tcBorders>
              <w:top w:val="nil"/>
              <w:bottom w:val="nil"/>
            </w:tcBorders>
          </w:tcPr>
          <w:p w14:paraId="6E020DAD"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6.0</w:t>
            </w:r>
          </w:p>
        </w:tc>
        <w:tc>
          <w:tcPr>
            <w:tcW w:w="540" w:type="dxa"/>
            <w:tcBorders>
              <w:top w:val="nil"/>
              <w:bottom w:val="nil"/>
            </w:tcBorders>
          </w:tcPr>
          <w:p w14:paraId="5FD3979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6.0</w:t>
            </w:r>
          </w:p>
        </w:tc>
        <w:tc>
          <w:tcPr>
            <w:tcW w:w="540" w:type="dxa"/>
            <w:tcBorders>
              <w:top w:val="nil"/>
              <w:bottom w:val="nil"/>
            </w:tcBorders>
          </w:tcPr>
          <w:p w14:paraId="536B4B8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6.0</w:t>
            </w:r>
          </w:p>
        </w:tc>
      </w:tr>
      <w:tr w:rsidR="009B1CF2" w:rsidRPr="009B1CF2" w14:paraId="568C8F98" w14:textId="77777777" w:rsidTr="00A808BF">
        <w:trPr>
          <w:jc w:val="center"/>
        </w:trPr>
        <w:tc>
          <w:tcPr>
            <w:tcW w:w="2355" w:type="dxa"/>
            <w:tcBorders>
              <w:top w:val="nil"/>
              <w:bottom w:val="nil"/>
            </w:tcBorders>
          </w:tcPr>
          <w:p w14:paraId="67C4FE80"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Turkmenistán</w:t>
            </w:r>
          </w:p>
        </w:tc>
        <w:tc>
          <w:tcPr>
            <w:tcW w:w="540" w:type="dxa"/>
            <w:tcBorders>
              <w:top w:val="nil"/>
              <w:bottom w:val="nil"/>
            </w:tcBorders>
          </w:tcPr>
          <w:p w14:paraId="0B645C8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10.3</w:t>
            </w:r>
          </w:p>
        </w:tc>
        <w:tc>
          <w:tcPr>
            <w:tcW w:w="540" w:type="dxa"/>
            <w:tcBorders>
              <w:top w:val="nil"/>
              <w:bottom w:val="nil"/>
            </w:tcBorders>
          </w:tcPr>
          <w:p w14:paraId="243D78D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9.0</w:t>
            </w:r>
          </w:p>
        </w:tc>
        <w:tc>
          <w:tcPr>
            <w:tcW w:w="540" w:type="dxa"/>
            <w:tcBorders>
              <w:top w:val="nil"/>
              <w:bottom w:val="nil"/>
            </w:tcBorders>
          </w:tcPr>
          <w:p w14:paraId="6551778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9.2</w:t>
            </w:r>
          </w:p>
        </w:tc>
        <w:tc>
          <w:tcPr>
            <w:tcW w:w="540" w:type="dxa"/>
            <w:tcBorders>
              <w:top w:val="nil"/>
              <w:bottom w:val="nil"/>
            </w:tcBorders>
          </w:tcPr>
          <w:p w14:paraId="0162F1A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61" w:type="dxa"/>
            <w:tcBorders>
              <w:top w:val="nil"/>
              <w:bottom w:val="nil"/>
            </w:tcBorders>
          </w:tcPr>
          <w:p w14:paraId="4BDC457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7.7</w:t>
            </w:r>
          </w:p>
        </w:tc>
        <w:tc>
          <w:tcPr>
            <w:tcW w:w="567" w:type="dxa"/>
            <w:tcBorders>
              <w:top w:val="nil"/>
              <w:bottom w:val="nil"/>
            </w:tcBorders>
          </w:tcPr>
          <w:p w14:paraId="5C61C4D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6.6</w:t>
            </w:r>
          </w:p>
        </w:tc>
        <w:tc>
          <w:tcPr>
            <w:tcW w:w="567" w:type="dxa"/>
            <w:tcBorders>
              <w:top w:val="nil"/>
              <w:bottom w:val="nil"/>
            </w:tcBorders>
          </w:tcPr>
          <w:p w14:paraId="2DCA476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-5.9</w:t>
            </w:r>
          </w:p>
        </w:tc>
        <w:tc>
          <w:tcPr>
            <w:tcW w:w="645" w:type="dxa"/>
            <w:tcBorders>
              <w:top w:val="nil"/>
              <w:bottom w:val="nil"/>
            </w:tcBorders>
          </w:tcPr>
          <w:p w14:paraId="4421EA3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-11.1</w:t>
            </w:r>
          </w:p>
        </w:tc>
        <w:tc>
          <w:tcPr>
            <w:tcW w:w="540" w:type="dxa"/>
            <w:tcBorders>
              <w:top w:val="nil"/>
              <w:bottom w:val="nil"/>
            </w:tcBorders>
          </w:tcPr>
          <w:p w14:paraId="6423623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-6.7</w:t>
            </w:r>
          </w:p>
        </w:tc>
        <w:tc>
          <w:tcPr>
            <w:tcW w:w="540" w:type="dxa"/>
            <w:tcBorders>
              <w:top w:val="nil"/>
              <w:bottom w:val="nil"/>
            </w:tcBorders>
          </w:tcPr>
          <w:p w14:paraId="3C7B220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AD56F2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4915709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r>
      <w:tr w:rsidR="009B1CF2" w:rsidRPr="009B1CF2" w14:paraId="6FD43E8F" w14:textId="77777777" w:rsidTr="00A808BF">
        <w:trPr>
          <w:jc w:val="center"/>
        </w:trPr>
        <w:tc>
          <w:tcPr>
            <w:tcW w:w="2355" w:type="dxa"/>
            <w:tcBorders>
              <w:top w:val="nil"/>
              <w:bottom w:val="nil"/>
            </w:tcBorders>
          </w:tcPr>
          <w:p w14:paraId="696D8C0A" w14:textId="77777777" w:rsidR="009B1CF2" w:rsidRPr="00A808BF" w:rsidRDefault="009B1CF2" w:rsidP="009B1CF2">
            <w:pPr>
              <w:ind w:left="284"/>
              <w:rPr>
                <w:rFonts w:eastAsia="Times New Roman"/>
                <w:b/>
                <w:sz w:val="12"/>
                <w:szCs w:val="12"/>
                <w:lang w:val="es-ES"/>
              </w:rPr>
            </w:pPr>
            <w:r w:rsidRPr="00A808BF">
              <w:rPr>
                <w:rFonts w:eastAsia="Times New Roman"/>
                <w:b/>
                <w:sz w:val="12"/>
                <w:szCs w:val="12"/>
                <w:lang w:val="es-ES"/>
              </w:rPr>
              <w:t>Importadores netos de energía</w:t>
            </w:r>
          </w:p>
        </w:tc>
        <w:tc>
          <w:tcPr>
            <w:tcW w:w="540" w:type="dxa"/>
            <w:tcBorders>
              <w:top w:val="nil"/>
              <w:bottom w:val="nil"/>
            </w:tcBorders>
          </w:tcPr>
          <w:p w14:paraId="2AA242F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-2.6</w:t>
            </w:r>
          </w:p>
        </w:tc>
        <w:tc>
          <w:tcPr>
            <w:tcW w:w="540" w:type="dxa"/>
            <w:tcBorders>
              <w:top w:val="nil"/>
              <w:bottom w:val="nil"/>
            </w:tcBorders>
          </w:tcPr>
          <w:p w14:paraId="2DEF9D5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-3.7</w:t>
            </w:r>
          </w:p>
        </w:tc>
        <w:tc>
          <w:tcPr>
            <w:tcW w:w="540" w:type="dxa"/>
            <w:tcBorders>
              <w:top w:val="nil"/>
              <w:bottom w:val="nil"/>
            </w:tcBorders>
          </w:tcPr>
          <w:p w14:paraId="5C74523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1.6</w:t>
            </w:r>
          </w:p>
        </w:tc>
        <w:tc>
          <w:tcPr>
            <w:tcW w:w="540" w:type="dxa"/>
            <w:tcBorders>
              <w:top w:val="nil"/>
              <w:bottom w:val="nil"/>
            </w:tcBorders>
          </w:tcPr>
          <w:p w14:paraId="7582337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12.3</w:t>
            </w:r>
          </w:p>
        </w:tc>
        <w:tc>
          <w:tcPr>
            <w:tcW w:w="561" w:type="dxa"/>
            <w:tcBorders>
              <w:top w:val="nil"/>
              <w:bottom w:val="nil"/>
            </w:tcBorders>
          </w:tcPr>
          <w:p w14:paraId="1EFD13E8"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25.2</w:t>
            </w:r>
          </w:p>
        </w:tc>
        <w:tc>
          <w:tcPr>
            <w:tcW w:w="567" w:type="dxa"/>
            <w:tcBorders>
              <w:top w:val="nil"/>
              <w:bottom w:val="nil"/>
            </w:tcBorders>
          </w:tcPr>
          <w:p w14:paraId="6DF15D42"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11.4</w:t>
            </w:r>
          </w:p>
        </w:tc>
        <w:tc>
          <w:tcPr>
            <w:tcW w:w="567" w:type="dxa"/>
            <w:tcBorders>
              <w:top w:val="nil"/>
              <w:bottom w:val="nil"/>
            </w:tcBorders>
          </w:tcPr>
          <w:p w14:paraId="5F938CBC"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-5.7</w:t>
            </w:r>
          </w:p>
        </w:tc>
        <w:tc>
          <w:tcPr>
            <w:tcW w:w="645" w:type="dxa"/>
            <w:tcBorders>
              <w:top w:val="nil"/>
              <w:bottom w:val="nil"/>
            </w:tcBorders>
          </w:tcPr>
          <w:p w14:paraId="3A8AE788"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-5.2</w:t>
            </w:r>
          </w:p>
        </w:tc>
        <w:tc>
          <w:tcPr>
            <w:tcW w:w="540" w:type="dxa"/>
            <w:tcBorders>
              <w:top w:val="nil"/>
              <w:bottom w:val="nil"/>
            </w:tcBorders>
          </w:tcPr>
          <w:p w14:paraId="7DE12112"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-4.2</w:t>
            </w:r>
          </w:p>
        </w:tc>
        <w:tc>
          <w:tcPr>
            <w:tcW w:w="540" w:type="dxa"/>
            <w:tcBorders>
              <w:top w:val="nil"/>
              <w:bottom w:val="nil"/>
            </w:tcBorders>
          </w:tcPr>
          <w:p w14:paraId="40BEB97B"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6FDE8CF5"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47D274B6"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w:t>
            </w:r>
          </w:p>
        </w:tc>
      </w:tr>
      <w:tr w:rsidR="009B1CF2" w:rsidRPr="009B1CF2" w14:paraId="41E7D418" w14:textId="77777777" w:rsidTr="00A808BF">
        <w:trPr>
          <w:jc w:val="center"/>
        </w:trPr>
        <w:tc>
          <w:tcPr>
            <w:tcW w:w="2355" w:type="dxa"/>
            <w:tcBorders>
              <w:top w:val="nil"/>
              <w:bottom w:val="nil"/>
            </w:tcBorders>
          </w:tcPr>
          <w:p w14:paraId="3C70E8FD"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Ucrania</w:t>
            </w:r>
            <w:r w:rsidRPr="00A808BF">
              <w:rPr>
                <w:rFonts w:eastAsia="Times New Roman"/>
                <w:b/>
                <w:sz w:val="12"/>
                <w:szCs w:val="12"/>
                <w:u w:val="single"/>
                <w:vertAlign w:val="superscript"/>
                <w:lang w:val="es-ES"/>
              </w:rPr>
              <w:t>5</w:t>
            </w:r>
            <w:r w:rsidRPr="00A808BF">
              <w:rPr>
                <w:rFonts w:eastAsia="Times New Roman"/>
                <w:b/>
                <w:sz w:val="12"/>
                <w:szCs w:val="12"/>
                <w:vertAlign w:val="superscript"/>
                <w:lang w:val="es-ES"/>
              </w:rPr>
              <w:t>/</w:t>
            </w:r>
          </w:p>
        </w:tc>
        <w:tc>
          <w:tcPr>
            <w:tcW w:w="540" w:type="dxa"/>
            <w:tcBorders>
              <w:top w:val="nil"/>
              <w:bottom w:val="nil"/>
            </w:tcBorders>
          </w:tcPr>
          <w:p w14:paraId="52A7014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40" w:type="dxa"/>
            <w:tcBorders>
              <w:top w:val="nil"/>
              <w:bottom w:val="nil"/>
            </w:tcBorders>
          </w:tcPr>
          <w:p w14:paraId="6BE8288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40" w:type="dxa"/>
            <w:tcBorders>
              <w:top w:val="nil"/>
              <w:bottom w:val="nil"/>
            </w:tcBorders>
          </w:tcPr>
          <w:p w14:paraId="44679DE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56229A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12.1</w:t>
            </w:r>
          </w:p>
        </w:tc>
        <w:tc>
          <w:tcPr>
            <w:tcW w:w="561" w:type="dxa"/>
            <w:tcBorders>
              <w:top w:val="nil"/>
              <w:bottom w:val="nil"/>
            </w:tcBorders>
          </w:tcPr>
          <w:p w14:paraId="087C3EA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33.5</w:t>
            </w:r>
          </w:p>
        </w:tc>
        <w:tc>
          <w:tcPr>
            <w:tcW w:w="567" w:type="dxa"/>
            <w:tcBorders>
              <w:top w:val="nil"/>
              <w:bottom w:val="nil"/>
            </w:tcBorders>
          </w:tcPr>
          <w:p w14:paraId="217CA8B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10.6</w:t>
            </w:r>
          </w:p>
        </w:tc>
        <w:tc>
          <w:tcPr>
            <w:tcW w:w="567" w:type="dxa"/>
            <w:tcBorders>
              <w:top w:val="nil"/>
              <w:bottom w:val="nil"/>
            </w:tcBorders>
          </w:tcPr>
          <w:p w14:paraId="4662689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-4.0</w:t>
            </w:r>
          </w:p>
        </w:tc>
        <w:tc>
          <w:tcPr>
            <w:tcW w:w="645" w:type="dxa"/>
            <w:tcBorders>
              <w:top w:val="nil"/>
              <w:bottom w:val="nil"/>
            </w:tcBorders>
          </w:tcPr>
          <w:p w14:paraId="4852AA4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bottom w:val="nil"/>
            </w:tcBorders>
          </w:tcPr>
          <w:p w14:paraId="265BBF6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-1.3</w:t>
            </w:r>
          </w:p>
        </w:tc>
        <w:tc>
          <w:tcPr>
            <w:tcW w:w="540" w:type="dxa"/>
            <w:tcBorders>
              <w:top w:val="nil"/>
              <w:bottom w:val="nil"/>
            </w:tcBorders>
          </w:tcPr>
          <w:p w14:paraId="28C9FF0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10.5</w:t>
            </w:r>
          </w:p>
        </w:tc>
        <w:tc>
          <w:tcPr>
            <w:tcW w:w="540" w:type="dxa"/>
            <w:tcBorders>
              <w:top w:val="nil"/>
              <w:bottom w:val="nil"/>
            </w:tcBorders>
          </w:tcPr>
          <w:p w14:paraId="68495CA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11.5</w:t>
            </w:r>
          </w:p>
        </w:tc>
        <w:tc>
          <w:tcPr>
            <w:tcW w:w="540" w:type="dxa"/>
            <w:tcBorders>
              <w:top w:val="nil"/>
              <w:bottom w:val="nil"/>
            </w:tcBorders>
          </w:tcPr>
          <w:p w14:paraId="6174337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11.0</w:t>
            </w:r>
          </w:p>
        </w:tc>
      </w:tr>
      <w:tr w:rsidR="009B1CF2" w:rsidRPr="009B1CF2" w14:paraId="1BB3415B" w14:textId="77777777" w:rsidTr="00A808BF">
        <w:trPr>
          <w:jc w:val="center"/>
        </w:trPr>
        <w:tc>
          <w:tcPr>
            <w:tcW w:w="2355" w:type="dxa"/>
            <w:tcBorders>
              <w:top w:val="nil"/>
              <w:bottom w:val="nil"/>
            </w:tcBorders>
          </w:tcPr>
          <w:p w14:paraId="75C07176"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Belarús</w:t>
            </w:r>
          </w:p>
        </w:tc>
        <w:tc>
          <w:tcPr>
            <w:tcW w:w="540" w:type="dxa"/>
            <w:tcBorders>
              <w:top w:val="nil"/>
              <w:bottom w:val="nil"/>
            </w:tcBorders>
          </w:tcPr>
          <w:p w14:paraId="72CDA6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1.6</w:t>
            </w:r>
          </w:p>
        </w:tc>
        <w:tc>
          <w:tcPr>
            <w:tcW w:w="540" w:type="dxa"/>
            <w:tcBorders>
              <w:top w:val="nil"/>
              <w:bottom w:val="nil"/>
            </w:tcBorders>
          </w:tcPr>
          <w:p w14:paraId="567615B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bottom w:val="nil"/>
            </w:tcBorders>
          </w:tcPr>
          <w:p w14:paraId="0B2CB66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-0.1</w:t>
            </w:r>
          </w:p>
        </w:tc>
        <w:tc>
          <w:tcPr>
            <w:tcW w:w="540" w:type="dxa"/>
            <w:tcBorders>
              <w:top w:val="nil"/>
              <w:bottom w:val="nil"/>
            </w:tcBorders>
          </w:tcPr>
          <w:p w14:paraId="4D5F210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18.1</w:t>
            </w:r>
          </w:p>
        </w:tc>
        <w:tc>
          <w:tcPr>
            <w:tcW w:w="561" w:type="dxa"/>
            <w:tcBorders>
              <w:top w:val="nil"/>
              <w:bottom w:val="nil"/>
            </w:tcBorders>
          </w:tcPr>
          <w:p w14:paraId="5582000C"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22.1</w:t>
            </w:r>
          </w:p>
        </w:tc>
        <w:tc>
          <w:tcPr>
            <w:tcW w:w="567" w:type="dxa"/>
            <w:tcBorders>
              <w:top w:val="nil"/>
              <w:bottom w:val="nil"/>
            </w:tcBorders>
          </w:tcPr>
          <w:p w14:paraId="7748C0A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17.4</w:t>
            </w:r>
          </w:p>
        </w:tc>
        <w:tc>
          <w:tcPr>
            <w:tcW w:w="567" w:type="dxa"/>
            <w:tcBorders>
              <w:top w:val="nil"/>
              <w:bottom w:val="nil"/>
            </w:tcBorders>
          </w:tcPr>
          <w:p w14:paraId="3D13768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-6.1</w:t>
            </w:r>
          </w:p>
        </w:tc>
        <w:tc>
          <w:tcPr>
            <w:tcW w:w="645" w:type="dxa"/>
            <w:tcBorders>
              <w:top w:val="nil"/>
              <w:bottom w:val="nil"/>
            </w:tcBorders>
          </w:tcPr>
          <w:p w14:paraId="2EB7B56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-7.0</w:t>
            </w:r>
          </w:p>
        </w:tc>
        <w:tc>
          <w:tcPr>
            <w:tcW w:w="540" w:type="dxa"/>
            <w:tcBorders>
              <w:top w:val="nil"/>
              <w:bottom w:val="nil"/>
            </w:tcBorders>
          </w:tcPr>
          <w:p w14:paraId="58B6CA0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bottom w:val="nil"/>
            </w:tcBorders>
          </w:tcPr>
          <w:p w14:paraId="7771E67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bottom w:val="nil"/>
            </w:tcBorders>
          </w:tcPr>
          <w:p w14:paraId="67A3D86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bottom w:val="nil"/>
            </w:tcBorders>
          </w:tcPr>
          <w:p w14:paraId="13B1811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0.5</w:t>
            </w:r>
          </w:p>
        </w:tc>
      </w:tr>
      <w:tr w:rsidR="009B1CF2" w:rsidRPr="009B1CF2" w14:paraId="1D21E12F" w14:textId="77777777" w:rsidTr="00A808BF">
        <w:trPr>
          <w:jc w:val="center"/>
        </w:trPr>
        <w:tc>
          <w:tcPr>
            <w:tcW w:w="2355" w:type="dxa"/>
            <w:tcBorders>
              <w:top w:val="nil"/>
              <w:bottom w:val="nil"/>
            </w:tcBorders>
          </w:tcPr>
          <w:p w14:paraId="46DEF149"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Georgia</w:t>
            </w:r>
          </w:p>
        </w:tc>
        <w:tc>
          <w:tcPr>
            <w:tcW w:w="540" w:type="dxa"/>
            <w:tcBorders>
              <w:top w:val="nil"/>
              <w:bottom w:val="nil"/>
            </w:tcBorders>
          </w:tcPr>
          <w:p w14:paraId="71DB645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bottom w:val="nil"/>
            </w:tcBorders>
          </w:tcPr>
          <w:p w14:paraId="08A47FB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29C49F4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771EE35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61" w:type="dxa"/>
            <w:tcBorders>
              <w:top w:val="nil"/>
              <w:bottom w:val="nil"/>
            </w:tcBorders>
          </w:tcPr>
          <w:p w14:paraId="7704998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3.0</w:t>
            </w:r>
          </w:p>
        </w:tc>
        <w:tc>
          <w:tcPr>
            <w:tcW w:w="567" w:type="dxa"/>
            <w:tcBorders>
              <w:top w:val="nil"/>
              <w:bottom w:val="nil"/>
            </w:tcBorders>
          </w:tcPr>
          <w:p w14:paraId="0682EC4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67" w:type="dxa"/>
            <w:tcBorders>
              <w:top w:val="nil"/>
              <w:bottom w:val="nil"/>
            </w:tcBorders>
          </w:tcPr>
          <w:p w14:paraId="67AEE24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-9.6</w:t>
            </w:r>
          </w:p>
        </w:tc>
        <w:tc>
          <w:tcPr>
            <w:tcW w:w="645" w:type="dxa"/>
            <w:tcBorders>
              <w:top w:val="nil"/>
              <w:bottom w:val="nil"/>
            </w:tcBorders>
          </w:tcPr>
          <w:p w14:paraId="3B2B245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-11.5</w:t>
            </w:r>
          </w:p>
        </w:tc>
        <w:tc>
          <w:tcPr>
            <w:tcW w:w="540" w:type="dxa"/>
            <w:tcBorders>
              <w:top w:val="nil"/>
              <w:bottom w:val="nil"/>
            </w:tcBorders>
          </w:tcPr>
          <w:p w14:paraId="011D1A8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-12.0</w:t>
            </w:r>
          </w:p>
        </w:tc>
        <w:tc>
          <w:tcPr>
            <w:tcW w:w="540" w:type="dxa"/>
            <w:tcBorders>
              <w:top w:val="nil"/>
              <w:bottom w:val="nil"/>
            </w:tcBorders>
          </w:tcPr>
          <w:p w14:paraId="54909F5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4B3D99B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153E968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r>
      <w:tr w:rsidR="009B1CF2" w:rsidRPr="009B1CF2" w14:paraId="312EAD34" w14:textId="77777777" w:rsidTr="00A808BF">
        <w:trPr>
          <w:jc w:val="center"/>
        </w:trPr>
        <w:tc>
          <w:tcPr>
            <w:tcW w:w="2355" w:type="dxa"/>
            <w:tcBorders>
              <w:top w:val="nil"/>
              <w:bottom w:val="nil"/>
            </w:tcBorders>
          </w:tcPr>
          <w:p w14:paraId="37C892A1"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Armenia</w:t>
            </w:r>
          </w:p>
        </w:tc>
        <w:tc>
          <w:tcPr>
            <w:tcW w:w="540" w:type="dxa"/>
            <w:tcBorders>
              <w:top w:val="nil"/>
              <w:bottom w:val="nil"/>
            </w:tcBorders>
          </w:tcPr>
          <w:p w14:paraId="24ADFA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bottom w:val="nil"/>
            </w:tcBorders>
          </w:tcPr>
          <w:p w14:paraId="415F0DE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bottom w:val="nil"/>
            </w:tcBorders>
          </w:tcPr>
          <w:p w14:paraId="76A54BC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E5A057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61" w:type="dxa"/>
            <w:tcBorders>
              <w:top w:val="nil"/>
              <w:bottom w:val="nil"/>
            </w:tcBorders>
          </w:tcPr>
          <w:p w14:paraId="1E9061CD"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6.4</w:t>
            </w:r>
          </w:p>
        </w:tc>
        <w:tc>
          <w:tcPr>
            <w:tcW w:w="567" w:type="dxa"/>
            <w:tcBorders>
              <w:top w:val="nil"/>
              <w:bottom w:val="nil"/>
            </w:tcBorders>
          </w:tcPr>
          <w:p w14:paraId="2404B87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67" w:type="dxa"/>
            <w:tcBorders>
              <w:top w:val="nil"/>
              <w:bottom w:val="nil"/>
            </w:tcBorders>
          </w:tcPr>
          <w:p w14:paraId="6425492D"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-9.2</w:t>
            </w:r>
          </w:p>
        </w:tc>
        <w:tc>
          <w:tcPr>
            <w:tcW w:w="645" w:type="dxa"/>
            <w:tcBorders>
              <w:top w:val="nil"/>
              <w:bottom w:val="nil"/>
            </w:tcBorders>
          </w:tcPr>
          <w:p w14:paraId="05753A0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-8.6</w:t>
            </w:r>
          </w:p>
        </w:tc>
        <w:tc>
          <w:tcPr>
            <w:tcW w:w="540" w:type="dxa"/>
            <w:tcBorders>
              <w:top w:val="nil"/>
              <w:bottom w:val="nil"/>
            </w:tcBorders>
          </w:tcPr>
          <w:p w14:paraId="7D403A5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-8.6</w:t>
            </w:r>
          </w:p>
        </w:tc>
        <w:tc>
          <w:tcPr>
            <w:tcW w:w="540" w:type="dxa"/>
            <w:tcBorders>
              <w:top w:val="nil"/>
              <w:bottom w:val="nil"/>
            </w:tcBorders>
          </w:tcPr>
          <w:p w14:paraId="240A277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18.0</w:t>
            </w:r>
          </w:p>
        </w:tc>
        <w:tc>
          <w:tcPr>
            <w:tcW w:w="540" w:type="dxa"/>
            <w:tcBorders>
              <w:top w:val="nil"/>
              <w:bottom w:val="nil"/>
            </w:tcBorders>
          </w:tcPr>
          <w:p w14:paraId="3498EBC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17.9</w:t>
            </w:r>
          </w:p>
        </w:tc>
        <w:tc>
          <w:tcPr>
            <w:tcW w:w="540" w:type="dxa"/>
            <w:tcBorders>
              <w:top w:val="nil"/>
              <w:bottom w:val="nil"/>
            </w:tcBorders>
          </w:tcPr>
          <w:p w14:paraId="699917B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17.7</w:t>
            </w:r>
          </w:p>
        </w:tc>
      </w:tr>
      <w:tr w:rsidR="009B1CF2" w:rsidRPr="009B1CF2" w14:paraId="24505941" w14:textId="77777777" w:rsidTr="00A808BF">
        <w:trPr>
          <w:jc w:val="center"/>
        </w:trPr>
        <w:tc>
          <w:tcPr>
            <w:tcW w:w="2355" w:type="dxa"/>
            <w:tcBorders>
              <w:top w:val="nil"/>
              <w:bottom w:val="nil"/>
            </w:tcBorders>
          </w:tcPr>
          <w:p w14:paraId="66B77DCD"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Tayikistán</w:t>
            </w:r>
          </w:p>
        </w:tc>
        <w:tc>
          <w:tcPr>
            <w:tcW w:w="540" w:type="dxa"/>
            <w:tcBorders>
              <w:top w:val="nil"/>
              <w:bottom w:val="nil"/>
            </w:tcBorders>
          </w:tcPr>
          <w:p w14:paraId="2862207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c>
          <w:tcPr>
            <w:tcW w:w="540" w:type="dxa"/>
            <w:tcBorders>
              <w:top w:val="nil"/>
              <w:bottom w:val="nil"/>
            </w:tcBorders>
          </w:tcPr>
          <w:p w14:paraId="5784BD9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1A6A187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bottom w:val="nil"/>
            </w:tcBorders>
          </w:tcPr>
          <w:p w14:paraId="733908B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61" w:type="dxa"/>
            <w:tcBorders>
              <w:top w:val="nil"/>
              <w:bottom w:val="nil"/>
            </w:tcBorders>
          </w:tcPr>
          <w:p w14:paraId="6E10F20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12.8</w:t>
            </w:r>
          </w:p>
        </w:tc>
        <w:tc>
          <w:tcPr>
            <w:tcW w:w="567" w:type="dxa"/>
            <w:tcBorders>
              <w:top w:val="nil"/>
              <w:bottom w:val="nil"/>
            </w:tcBorders>
          </w:tcPr>
          <w:p w14:paraId="1B21FF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67" w:type="dxa"/>
            <w:tcBorders>
              <w:top w:val="nil"/>
              <w:bottom w:val="nil"/>
            </w:tcBorders>
          </w:tcPr>
          <w:p w14:paraId="025CBF9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-9.1</w:t>
            </w:r>
          </w:p>
        </w:tc>
        <w:tc>
          <w:tcPr>
            <w:tcW w:w="645" w:type="dxa"/>
            <w:tcBorders>
              <w:top w:val="nil"/>
              <w:bottom w:val="nil"/>
            </w:tcBorders>
          </w:tcPr>
          <w:p w14:paraId="3B2FCE9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-7.1</w:t>
            </w:r>
          </w:p>
        </w:tc>
        <w:tc>
          <w:tcPr>
            <w:tcW w:w="540" w:type="dxa"/>
            <w:tcBorders>
              <w:top w:val="nil"/>
              <w:bottom w:val="nil"/>
            </w:tcBorders>
          </w:tcPr>
          <w:p w14:paraId="3415478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-5.8</w:t>
            </w:r>
          </w:p>
        </w:tc>
        <w:tc>
          <w:tcPr>
            <w:tcW w:w="540" w:type="dxa"/>
            <w:tcBorders>
              <w:top w:val="nil"/>
              <w:bottom w:val="nil"/>
            </w:tcBorders>
          </w:tcPr>
          <w:p w14:paraId="2F66F51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1BD6544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086BA2C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r>
      <w:tr w:rsidR="009B1CF2" w:rsidRPr="009B1CF2" w14:paraId="301D6DB1" w14:textId="77777777" w:rsidTr="00A808BF">
        <w:trPr>
          <w:jc w:val="center"/>
        </w:trPr>
        <w:tc>
          <w:tcPr>
            <w:tcW w:w="2355" w:type="dxa"/>
            <w:tcBorders>
              <w:top w:val="nil"/>
              <w:bottom w:val="nil"/>
            </w:tcBorders>
          </w:tcPr>
          <w:p w14:paraId="397CC57E"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República Kirguisa</w:t>
            </w:r>
          </w:p>
        </w:tc>
        <w:tc>
          <w:tcPr>
            <w:tcW w:w="540" w:type="dxa"/>
            <w:tcBorders>
              <w:top w:val="nil"/>
              <w:bottom w:val="nil"/>
            </w:tcBorders>
          </w:tcPr>
          <w:p w14:paraId="02B1331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bottom w:val="nil"/>
            </w:tcBorders>
          </w:tcPr>
          <w:p w14:paraId="6300C0C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w:t>
            </w:r>
          </w:p>
        </w:tc>
        <w:tc>
          <w:tcPr>
            <w:tcW w:w="540" w:type="dxa"/>
            <w:tcBorders>
              <w:top w:val="nil"/>
              <w:bottom w:val="nil"/>
            </w:tcBorders>
          </w:tcPr>
          <w:p w14:paraId="2EF1906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bottom w:val="nil"/>
            </w:tcBorders>
          </w:tcPr>
          <w:p w14:paraId="043EA48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7.5</w:t>
            </w:r>
          </w:p>
        </w:tc>
        <w:tc>
          <w:tcPr>
            <w:tcW w:w="561" w:type="dxa"/>
            <w:tcBorders>
              <w:top w:val="nil"/>
              <w:bottom w:val="nil"/>
            </w:tcBorders>
          </w:tcPr>
          <w:p w14:paraId="723A9D5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10.7</w:t>
            </w:r>
          </w:p>
        </w:tc>
        <w:tc>
          <w:tcPr>
            <w:tcW w:w="567" w:type="dxa"/>
            <w:tcBorders>
              <w:top w:val="nil"/>
              <w:bottom w:val="nil"/>
            </w:tcBorders>
          </w:tcPr>
          <w:p w14:paraId="4DB30BB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8.6</w:t>
            </w:r>
          </w:p>
        </w:tc>
        <w:tc>
          <w:tcPr>
            <w:tcW w:w="567" w:type="dxa"/>
            <w:tcBorders>
              <w:top w:val="nil"/>
              <w:bottom w:val="nil"/>
            </w:tcBorders>
          </w:tcPr>
          <w:p w14:paraId="68D44D2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-13.7</w:t>
            </w:r>
          </w:p>
        </w:tc>
        <w:tc>
          <w:tcPr>
            <w:tcW w:w="645" w:type="dxa"/>
            <w:tcBorders>
              <w:top w:val="nil"/>
              <w:bottom w:val="nil"/>
            </w:tcBorders>
          </w:tcPr>
          <w:p w14:paraId="33A0D8C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-17.0</w:t>
            </w:r>
          </w:p>
        </w:tc>
        <w:tc>
          <w:tcPr>
            <w:tcW w:w="540" w:type="dxa"/>
            <w:tcBorders>
              <w:top w:val="nil"/>
              <w:bottom w:val="nil"/>
            </w:tcBorders>
          </w:tcPr>
          <w:p w14:paraId="3CA98E6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-15.2</w:t>
            </w:r>
          </w:p>
        </w:tc>
        <w:tc>
          <w:tcPr>
            <w:tcW w:w="540" w:type="dxa"/>
            <w:tcBorders>
              <w:top w:val="nil"/>
              <w:bottom w:val="nil"/>
            </w:tcBorders>
          </w:tcPr>
          <w:p w14:paraId="4FC806A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7.6</w:t>
            </w:r>
          </w:p>
        </w:tc>
        <w:tc>
          <w:tcPr>
            <w:tcW w:w="540" w:type="dxa"/>
            <w:tcBorders>
              <w:top w:val="nil"/>
              <w:bottom w:val="nil"/>
            </w:tcBorders>
          </w:tcPr>
          <w:p w14:paraId="47B38E8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7.5</w:t>
            </w:r>
          </w:p>
        </w:tc>
        <w:tc>
          <w:tcPr>
            <w:tcW w:w="540" w:type="dxa"/>
            <w:tcBorders>
              <w:top w:val="nil"/>
              <w:bottom w:val="nil"/>
            </w:tcBorders>
          </w:tcPr>
          <w:p w14:paraId="4E6FBFC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7.4</w:t>
            </w:r>
          </w:p>
        </w:tc>
      </w:tr>
      <w:tr w:rsidR="009B1CF2" w:rsidRPr="009B1CF2" w14:paraId="2621DB47" w14:textId="77777777" w:rsidTr="00A808BF">
        <w:trPr>
          <w:jc w:val="center"/>
        </w:trPr>
        <w:tc>
          <w:tcPr>
            <w:tcW w:w="2355" w:type="dxa"/>
            <w:tcBorders>
              <w:top w:val="nil"/>
              <w:bottom w:val="nil"/>
            </w:tcBorders>
          </w:tcPr>
          <w:p w14:paraId="7405F9D0" w14:textId="77777777" w:rsidR="009B1CF2" w:rsidRPr="00A808BF" w:rsidRDefault="009B1CF2" w:rsidP="009B1CF2">
            <w:pPr>
              <w:ind w:left="284"/>
              <w:rPr>
                <w:rFonts w:eastAsia="Times New Roman"/>
                <w:sz w:val="12"/>
                <w:szCs w:val="12"/>
                <w:lang w:val="es-ES"/>
              </w:rPr>
            </w:pPr>
            <w:r w:rsidRPr="00A808BF">
              <w:rPr>
                <w:rFonts w:eastAsia="Times New Roman"/>
                <w:sz w:val="12"/>
                <w:szCs w:val="12"/>
                <w:lang w:val="es-ES"/>
              </w:rPr>
              <w:t>Moldova</w:t>
            </w:r>
          </w:p>
        </w:tc>
        <w:tc>
          <w:tcPr>
            <w:tcW w:w="540" w:type="dxa"/>
            <w:tcBorders>
              <w:top w:val="nil"/>
              <w:bottom w:val="nil"/>
            </w:tcBorders>
          </w:tcPr>
          <w:p w14:paraId="244D8A9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4.6</w:t>
            </w:r>
          </w:p>
        </w:tc>
        <w:tc>
          <w:tcPr>
            <w:tcW w:w="540" w:type="dxa"/>
            <w:tcBorders>
              <w:top w:val="nil"/>
              <w:bottom w:val="nil"/>
            </w:tcBorders>
          </w:tcPr>
          <w:p w14:paraId="4DCA773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bottom w:val="nil"/>
            </w:tcBorders>
          </w:tcPr>
          <w:p w14:paraId="6B4CEAF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00E02D4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c>
          <w:tcPr>
            <w:tcW w:w="561" w:type="dxa"/>
            <w:tcBorders>
              <w:top w:val="nil"/>
              <w:bottom w:val="nil"/>
            </w:tcBorders>
          </w:tcPr>
          <w:p w14:paraId="3336B5C5"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7.5</w:t>
            </w:r>
          </w:p>
        </w:tc>
        <w:tc>
          <w:tcPr>
            <w:tcW w:w="567" w:type="dxa"/>
            <w:tcBorders>
              <w:top w:val="nil"/>
              <w:bottom w:val="nil"/>
            </w:tcBorders>
          </w:tcPr>
          <w:p w14:paraId="54E8156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67" w:type="dxa"/>
            <w:tcBorders>
              <w:top w:val="nil"/>
              <w:bottom w:val="nil"/>
            </w:tcBorders>
          </w:tcPr>
          <w:p w14:paraId="668985F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-5.5</w:t>
            </w:r>
          </w:p>
        </w:tc>
        <w:tc>
          <w:tcPr>
            <w:tcW w:w="645" w:type="dxa"/>
            <w:tcBorders>
              <w:top w:val="nil"/>
              <w:bottom w:val="nil"/>
            </w:tcBorders>
          </w:tcPr>
          <w:p w14:paraId="44E534C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bottom w:val="nil"/>
            </w:tcBorders>
          </w:tcPr>
          <w:p w14:paraId="2826FDF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bottom w:val="nil"/>
            </w:tcBorders>
          </w:tcPr>
          <w:p w14:paraId="7AEA3C6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4.0</w:t>
            </w:r>
          </w:p>
        </w:tc>
        <w:tc>
          <w:tcPr>
            <w:tcW w:w="540" w:type="dxa"/>
            <w:tcBorders>
              <w:top w:val="nil"/>
              <w:bottom w:val="nil"/>
            </w:tcBorders>
          </w:tcPr>
          <w:p w14:paraId="071D354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bottom w:val="nil"/>
            </w:tcBorders>
          </w:tcPr>
          <w:p w14:paraId="0691E59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4.3</w:t>
            </w:r>
          </w:p>
        </w:tc>
      </w:tr>
      <w:tr w:rsidR="009B1CF2" w:rsidRPr="009B1CF2" w14:paraId="1D60DFB9" w14:textId="77777777" w:rsidTr="00A808BF">
        <w:trPr>
          <w:jc w:val="center"/>
        </w:trPr>
        <w:tc>
          <w:tcPr>
            <w:tcW w:w="2355" w:type="dxa"/>
            <w:tcBorders>
              <w:top w:val="nil"/>
              <w:bottom w:val="nil"/>
            </w:tcBorders>
          </w:tcPr>
          <w:p w14:paraId="7BE5EB36"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Partidas informativas</w:t>
            </w:r>
          </w:p>
        </w:tc>
        <w:tc>
          <w:tcPr>
            <w:tcW w:w="540" w:type="dxa"/>
            <w:tcBorders>
              <w:top w:val="nil"/>
              <w:bottom w:val="nil"/>
            </w:tcBorders>
          </w:tcPr>
          <w:p w14:paraId="3E7D6E34" w14:textId="77777777" w:rsidR="009B1CF2" w:rsidRPr="00A808BF" w:rsidRDefault="009B1CF2" w:rsidP="009B1CF2">
            <w:pPr>
              <w:ind w:right="113"/>
              <w:jc w:val="right"/>
              <w:rPr>
                <w:rFonts w:eastAsia="Times New Roman"/>
                <w:b/>
                <w:sz w:val="12"/>
                <w:szCs w:val="12"/>
                <w:lang w:val="es-ES"/>
              </w:rPr>
            </w:pPr>
          </w:p>
        </w:tc>
        <w:tc>
          <w:tcPr>
            <w:tcW w:w="540" w:type="dxa"/>
            <w:tcBorders>
              <w:top w:val="nil"/>
              <w:bottom w:val="nil"/>
            </w:tcBorders>
          </w:tcPr>
          <w:p w14:paraId="6CF996D5" w14:textId="77777777" w:rsidR="009B1CF2" w:rsidRPr="00A808BF" w:rsidRDefault="009B1CF2" w:rsidP="009B1CF2">
            <w:pPr>
              <w:ind w:right="113"/>
              <w:jc w:val="right"/>
              <w:rPr>
                <w:rFonts w:eastAsia="Times New Roman"/>
                <w:b/>
                <w:sz w:val="12"/>
                <w:szCs w:val="12"/>
                <w:lang w:val="es-ES"/>
              </w:rPr>
            </w:pPr>
          </w:p>
        </w:tc>
        <w:tc>
          <w:tcPr>
            <w:tcW w:w="540" w:type="dxa"/>
            <w:tcBorders>
              <w:top w:val="nil"/>
              <w:bottom w:val="nil"/>
            </w:tcBorders>
          </w:tcPr>
          <w:p w14:paraId="3E1C5055" w14:textId="77777777" w:rsidR="009B1CF2" w:rsidRPr="00A808BF" w:rsidRDefault="009B1CF2" w:rsidP="009B1CF2">
            <w:pPr>
              <w:ind w:right="113"/>
              <w:jc w:val="right"/>
              <w:rPr>
                <w:rFonts w:eastAsia="Times New Roman"/>
                <w:b/>
                <w:sz w:val="12"/>
                <w:szCs w:val="12"/>
                <w:lang w:val="es-ES"/>
              </w:rPr>
            </w:pPr>
          </w:p>
        </w:tc>
        <w:tc>
          <w:tcPr>
            <w:tcW w:w="540" w:type="dxa"/>
            <w:tcBorders>
              <w:top w:val="nil"/>
              <w:bottom w:val="nil"/>
            </w:tcBorders>
          </w:tcPr>
          <w:p w14:paraId="5F429688" w14:textId="77777777" w:rsidR="009B1CF2" w:rsidRPr="00A808BF" w:rsidRDefault="009B1CF2" w:rsidP="009B1CF2">
            <w:pPr>
              <w:ind w:right="113"/>
              <w:jc w:val="right"/>
              <w:rPr>
                <w:rFonts w:eastAsia="Times New Roman"/>
                <w:b/>
                <w:sz w:val="12"/>
                <w:szCs w:val="12"/>
                <w:lang w:val="es-ES"/>
              </w:rPr>
            </w:pPr>
          </w:p>
        </w:tc>
        <w:tc>
          <w:tcPr>
            <w:tcW w:w="561" w:type="dxa"/>
            <w:tcBorders>
              <w:top w:val="nil"/>
              <w:bottom w:val="nil"/>
            </w:tcBorders>
          </w:tcPr>
          <w:p w14:paraId="1895CE74" w14:textId="77777777" w:rsidR="009B1CF2" w:rsidRPr="00A808BF" w:rsidRDefault="009B1CF2" w:rsidP="009B1CF2">
            <w:pPr>
              <w:ind w:right="57"/>
              <w:jc w:val="right"/>
              <w:rPr>
                <w:rFonts w:eastAsia="Times New Roman"/>
                <w:b/>
                <w:sz w:val="12"/>
                <w:szCs w:val="12"/>
                <w:lang w:val="es-ES"/>
              </w:rPr>
            </w:pPr>
          </w:p>
        </w:tc>
        <w:tc>
          <w:tcPr>
            <w:tcW w:w="567" w:type="dxa"/>
            <w:tcBorders>
              <w:top w:val="nil"/>
              <w:bottom w:val="nil"/>
            </w:tcBorders>
          </w:tcPr>
          <w:p w14:paraId="461DF2F6" w14:textId="77777777" w:rsidR="009B1CF2" w:rsidRPr="00A808BF" w:rsidRDefault="009B1CF2" w:rsidP="009B1CF2">
            <w:pPr>
              <w:ind w:right="113"/>
              <w:jc w:val="right"/>
              <w:rPr>
                <w:rFonts w:eastAsia="Times New Roman"/>
                <w:b/>
                <w:sz w:val="12"/>
                <w:szCs w:val="12"/>
                <w:lang w:val="es-ES"/>
              </w:rPr>
            </w:pPr>
          </w:p>
        </w:tc>
        <w:tc>
          <w:tcPr>
            <w:tcW w:w="567" w:type="dxa"/>
            <w:tcBorders>
              <w:top w:val="nil"/>
              <w:bottom w:val="nil"/>
            </w:tcBorders>
          </w:tcPr>
          <w:p w14:paraId="05FE9166" w14:textId="77777777" w:rsidR="009B1CF2" w:rsidRPr="00A808BF" w:rsidRDefault="009B1CF2" w:rsidP="00A808BF">
            <w:pPr>
              <w:ind w:left="-57" w:right="113"/>
              <w:jc w:val="right"/>
              <w:rPr>
                <w:rFonts w:eastAsia="Times New Roman"/>
                <w:b/>
                <w:sz w:val="12"/>
                <w:szCs w:val="12"/>
                <w:lang w:val="es-ES"/>
              </w:rPr>
            </w:pPr>
          </w:p>
        </w:tc>
        <w:tc>
          <w:tcPr>
            <w:tcW w:w="645" w:type="dxa"/>
            <w:tcBorders>
              <w:top w:val="nil"/>
              <w:bottom w:val="nil"/>
            </w:tcBorders>
          </w:tcPr>
          <w:p w14:paraId="121CBB37" w14:textId="77777777" w:rsidR="009B1CF2" w:rsidRPr="00A808BF" w:rsidRDefault="009B1CF2" w:rsidP="00A808BF">
            <w:pPr>
              <w:ind w:left="-57" w:right="113"/>
              <w:jc w:val="right"/>
              <w:rPr>
                <w:rFonts w:eastAsia="Times New Roman"/>
                <w:b/>
                <w:sz w:val="12"/>
                <w:szCs w:val="12"/>
                <w:lang w:val="es-ES"/>
              </w:rPr>
            </w:pPr>
          </w:p>
        </w:tc>
        <w:tc>
          <w:tcPr>
            <w:tcW w:w="540" w:type="dxa"/>
            <w:tcBorders>
              <w:top w:val="nil"/>
              <w:bottom w:val="nil"/>
            </w:tcBorders>
          </w:tcPr>
          <w:p w14:paraId="7346F98E" w14:textId="77777777" w:rsidR="009B1CF2" w:rsidRPr="00A808BF" w:rsidRDefault="009B1CF2" w:rsidP="00A808BF">
            <w:pPr>
              <w:ind w:left="-57" w:right="113"/>
              <w:jc w:val="right"/>
              <w:rPr>
                <w:rFonts w:eastAsia="Times New Roman"/>
                <w:b/>
                <w:sz w:val="12"/>
                <w:szCs w:val="12"/>
                <w:lang w:val="es-ES"/>
              </w:rPr>
            </w:pPr>
          </w:p>
        </w:tc>
        <w:tc>
          <w:tcPr>
            <w:tcW w:w="540" w:type="dxa"/>
            <w:tcBorders>
              <w:top w:val="nil"/>
              <w:bottom w:val="nil"/>
            </w:tcBorders>
          </w:tcPr>
          <w:p w14:paraId="04E0AEDB" w14:textId="77777777" w:rsidR="009B1CF2" w:rsidRPr="00A808BF" w:rsidRDefault="009B1CF2" w:rsidP="00A808BF">
            <w:pPr>
              <w:ind w:left="-57" w:right="113"/>
              <w:jc w:val="right"/>
              <w:rPr>
                <w:rFonts w:eastAsia="Times New Roman"/>
                <w:b/>
                <w:sz w:val="12"/>
                <w:szCs w:val="12"/>
                <w:lang w:val="es-ES"/>
              </w:rPr>
            </w:pPr>
          </w:p>
        </w:tc>
        <w:tc>
          <w:tcPr>
            <w:tcW w:w="540" w:type="dxa"/>
            <w:tcBorders>
              <w:top w:val="nil"/>
              <w:bottom w:val="nil"/>
            </w:tcBorders>
          </w:tcPr>
          <w:p w14:paraId="3AA0BB2F" w14:textId="77777777" w:rsidR="009B1CF2" w:rsidRPr="00A808BF" w:rsidRDefault="009B1CF2" w:rsidP="00A808BF">
            <w:pPr>
              <w:ind w:left="-57" w:right="113"/>
              <w:jc w:val="right"/>
              <w:rPr>
                <w:rFonts w:eastAsia="Times New Roman"/>
                <w:b/>
                <w:sz w:val="12"/>
                <w:szCs w:val="12"/>
                <w:lang w:val="es-ES"/>
              </w:rPr>
            </w:pPr>
          </w:p>
        </w:tc>
        <w:tc>
          <w:tcPr>
            <w:tcW w:w="540" w:type="dxa"/>
            <w:tcBorders>
              <w:top w:val="nil"/>
              <w:bottom w:val="nil"/>
            </w:tcBorders>
          </w:tcPr>
          <w:p w14:paraId="4339D9AF" w14:textId="77777777" w:rsidR="009B1CF2" w:rsidRPr="00A808BF" w:rsidRDefault="009B1CF2" w:rsidP="00A808BF">
            <w:pPr>
              <w:ind w:left="-57" w:right="113"/>
              <w:jc w:val="right"/>
              <w:rPr>
                <w:rFonts w:eastAsia="Times New Roman"/>
                <w:b/>
                <w:sz w:val="12"/>
                <w:szCs w:val="12"/>
                <w:lang w:val="es-ES"/>
              </w:rPr>
            </w:pPr>
          </w:p>
        </w:tc>
      </w:tr>
      <w:tr w:rsidR="009B1CF2" w:rsidRPr="009B1CF2" w14:paraId="154F3766" w14:textId="77777777" w:rsidTr="00A808BF">
        <w:trPr>
          <w:jc w:val="center"/>
        </w:trPr>
        <w:tc>
          <w:tcPr>
            <w:tcW w:w="2355" w:type="dxa"/>
            <w:tcBorders>
              <w:top w:val="nil"/>
              <w:bottom w:val="nil"/>
            </w:tcBorders>
          </w:tcPr>
          <w:p w14:paraId="28738B2F"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Cáucaso y Asia central</w:t>
            </w:r>
            <w:r w:rsidRPr="00A808BF">
              <w:rPr>
                <w:rFonts w:eastAsia="Times New Roman"/>
                <w:b/>
                <w:sz w:val="12"/>
                <w:szCs w:val="12"/>
                <w:u w:val="single"/>
                <w:vertAlign w:val="superscript"/>
                <w:lang w:val="es-ES"/>
              </w:rPr>
              <w:t>6</w:t>
            </w:r>
            <w:r w:rsidRPr="00A808BF">
              <w:rPr>
                <w:rFonts w:eastAsia="Times New Roman"/>
                <w:b/>
                <w:sz w:val="12"/>
                <w:szCs w:val="12"/>
                <w:vertAlign w:val="superscript"/>
                <w:lang w:val="es-ES"/>
              </w:rPr>
              <w:t>/</w:t>
            </w:r>
          </w:p>
        </w:tc>
        <w:tc>
          <w:tcPr>
            <w:tcW w:w="540" w:type="dxa"/>
            <w:tcBorders>
              <w:top w:val="nil"/>
              <w:bottom w:val="nil"/>
            </w:tcBorders>
          </w:tcPr>
          <w:p w14:paraId="73AF4EC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5.3</w:t>
            </w:r>
          </w:p>
        </w:tc>
        <w:tc>
          <w:tcPr>
            <w:tcW w:w="540" w:type="dxa"/>
            <w:tcBorders>
              <w:top w:val="nil"/>
              <w:bottom w:val="nil"/>
            </w:tcBorders>
          </w:tcPr>
          <w:p w14:paraId="276E3E2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4B531C6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bottom w:val="nil"/>
            </w:tcBorders>
          </w:tcPr>
          <w:p w14:paraId="4E76A5F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5.8</w:t>
            </w:r>
          </w:p>
        </w:tc>
        <w:tc>
          <w:tcPr>
            <w:tcW w:w="561" w:type="dxa"/>
            <w:tcBorders>
              <w:top w:val="nil"/>
              <w:bottom w:val="nil"/>
            </w:tcBorders>
          </w:tcPr>
          <w:p w14:paraId="38CAC8AE"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6.9</w:t>
            </w:r>
          </w:p>
        </w:tc>
        <w:tc>
          <w:tcPr>
            <w:tcW w:w="567" w:type="dxa"/>
            <w:tcBorders>
              <w:top w:val="nil"/>
              <w:bottom w:val="nil"/>
            </w:tcBorders>
          </w:tcPr>
          <w:p w14:paraId="5681990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6.6</w:t>
            </w:r>
          </w:p>
        </w:tc>
        <w:tc>
          <w:tcPr>
            <w:tcW w:w="567" w:type="dxa"/>
            <w:tcBorders>
              <w:top w:val="nil"/>
              <w:bottom w:val="nil"/>
            </w:tcBorders>
          </w:tcPr>
          <w:p w14:paraId="44D83E8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1.7</w:t>
            </w:r>
          </w:p>
        </w:tc>
        <w:tc>
          <w:tcPr>
            <w:tcW w:w="645" w:type="dxa"/>
            <w:tcBorders>
              <w:top w:val="nil"/>
              <w:bottom w:val="nil"/>
            </w:tcBorders>
          </w:tcPr>
          <w:p w14:paraId="36E4194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bottom w:val="nil"/>
            </w:tcBorders>
          </w:tcPr>
          <w:p w14:paraId="67AAE79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2283CFD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5CA581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2EA1EEB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r>
      <w:tr w:rsidR="009B1CF2" w:rsidRPr="009B1CF2" w14:paraId="2ABCE1BE" w14:textId="77777777" w:rsidTr="00A808BF">
        <w:trPr>
          <w:jc w:val="center"/>
        </w:trPr>
        <w:tc>
          <w:tcPr>
            <w:tcW w:w="2355" w:type="dxa"/>
            <w:tcBorders>
              <w:top w:val="nil"/>
              <w:bottom w:val="nil"/>
            </w:tcBorders>
          </w:tcPr>
          <w:p w14:paraId="1B0D0CE3"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Países de bajo ingreso de la CEI</w:t>
            </w:r>
            <w:r w:rsidRPr="00A808BF">
              <w:rPr>
                <w:rFonts w:eastAsia="Times New Roman"/>
                <w:b/>
                <w:sz w:val="12"/>
                <w:szCs w:val="12"/>
                <w:u w:val="single"/>
                <w:vertAlign w:val="superscript"/>
                <w:lang w:val="es-ES"/>
              </w:rPr>
              <w:t>7</w:t>
            </w:r>
            <w:r w:rsidRPr="00A808BF">
              <w:rPr>
                <w:rFonts w:eastAsia="Times New Roman"/>
                <w:b/>
                <w:sz w:val="12"/>
                <w:szCs w:val="12"/>
                <w:vertAlign w:val="superscript"/>
                <w:lang w:val="es-ES"/>
              </w:rPr>
              <w:t>/</w:t>
            </w:r>
          </w:p>
        </w:tc>
        <w:tc>
          <w:tcPr>
            <w:tcW w:w="540" w:type="dxa"/>
            <w:tcBorders>
              <w:top w:val="nil"/>
              <w:bottom w:val="nil"/>
            </w:tcBorders>
          </w:tcPr>
          <w:p w14:paraId="5EB429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c>
          <w:tcPr>
            <w:tcW w:w="540" w:type="dxa"/>
            <w:tcBorders>
              <w:top w:val="nil"/>
              <w:bottom w:val="nil"/>
            </w:tcBorders>
          </w:tcPr>
          <w:p w14:paraId="409E317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bottom w:val="nil"/>
            </w:tcBorders>
          </w:tcPr>
          <w:p w14:paraId="0FDD9B0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4391E0E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c>
          <w:tcPr>
            <w:tcW w:w="561" w:type="dxa"/>
            <w:tcBorders>
              <w:top w:val="nil"/>
              <w:bottom w:val="nil"/>
            </w:tcBorders>
          </w:tcPr>
          <w:p w14:paraId="4E6D7A3F"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8.7</w:t>
            </w:r>
          </w:p>
        </w:tc>
        <w:tc>
          <w:tcPr>
            <w:tcW w:w="567" w:type="dxa"/>
            <w:tcBorders>
              <w:top w:val="nil"/>
              <w:bottom w:val="nil"/>
            </w:tcBorders>
          </w:tcPr>
          <w:p w14:paraId="58F7A08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8.2</w:t>
            </w:r>
          </w:p>
        </w:tc>
        <w:tc>
          <w:tcPr>
            <w:tcW w:w="567" w:type="dxa"/>
            <w:tcBorders>
              <w:top w:val="nil"/>
              <w:bottom w:val="nil"/>
            </w:tcBorders>
          </w:tcPr>
          <w:p w14:paraId="2ED6F6A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-4.2</w:t>
            </w:r>
          </w:p>
        </w:tc>
        <w:tc>
          <w:tcPr>
            <w:tcW w:w="645" w:type="dxa"/>
            <w:tcBorders>
              <w:top w:val="nil"/>
              <w:bottom w:val="nil"/>
            </w:tcBorders>
          </w:tcPr>
          <w:p w14:paraId="07C1055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-3.8</w:t>
            </w:r>
          </w:p>
        </w:tc>
        <w:tc>
          <w:tcPr>
            <w:tcW w:w="540" w:type="dxa"/>
            <w:tcBorders>
              <w:top w:val="nil"/>
              <w:bottom w:val="nil"/>
            </w:tcBorders>
          </w:tcPr>
          <w:p w14:paraId="12F6959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bottom w:val="nil"/>
            </w:tcBorders>
          </w:tcPr>
          <w:p w14:paraId="18D5005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E7BF96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51CBE4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r>
      <w:tr w:rsidR="009B1CF2" w:rsidRPr="009B1CF2" w14:paraId="5CB1B26A" w14:textId="77777777" w:rsidTr="00A808BF">
        <w:trPr>
          <w:jc w:val="center"/>
        </w:trPr>
        <w:tc>
          <w:tcPr>
            <w:tcW w:w="2355" w:type="dxa"/>
            <w:tcBorders>
              <w:top w:val="nil"/>
            </w:tcBorders>
          </w:tcPr>
          <w:p w14:paraId="2B2D0D17"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Exportadores netos de energía, excluido Rusia</w:t>
            </w:r>
          </w:p>
        </w:tc>
        <w:tc>
          <w:tcPr>
            <w:tcW w:w="540" w:type="dxa"/>
            <w:tcBorders>
              <w:top w:val="nil"/>
            </w:tcBorders>
          </w:tcPr>
          <w:p w14:paraId="7A5C07B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tcBorders>
          </w:tcPr>
          <w:p w14:paraId="37A1DC7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tcBorders>
          </w:tcPr>
          <w:p w14:paraId="57929B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40" w:type="dxa"/>
            <w:tcBorders>
              <w:top w:val="nil"/>
            </w:tcBorders>
          </w:tcPr>
          <w:p w14:paraId="2E610C7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5.9</w:t>
            </w:r>
          </w:p>
        </w:tc>
        <w:tc>
          <w:tcPr>
            <w:tcW w:w="561" w:type="dxa"/>
            <w:tcBorders>
              <w:top w:val="nil"/>
            </w:tcBorders>
          </w:tcPr>
          <w:p w14:paraId="5C284510"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6.9</w:t>
            </w:r>
          </w:p>
        </w:tc>
        <w:tc>
          <w:tcPr>
            <w:tcW w:w="567" w:type="dxa"/>
            <w:tcBorders>
              <w:top w:val="nil"/>
            </w:tcBorders>
          </w:tcPr>
          <w:p w14:paraId="0FEE5F1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c>
          <w:tcPr>
            <w:tcW w:w="567" w:type="dxa"/>
            <w:tcBorders>
              <w:top w:val="nil"/>
            </w:tcBorders>
          </w:tcPr>
          <w:p w14:paraId="46C3AF6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3.0</w:t>
            </w:r>
          </w:p>
        </w:tc>
        <w:tc>
          <w:tcPr>
            <w:tcW w:w="645" w:type="dxa"/>
            <w:tcBorders>
              <w:top w:val="nil"/>
            </w:tcBorders>
          </w:tcPr>
          <w:p w14:paraId="5C2BFFE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-2.6</w:t>
            </w:r>
          </w:p>
        </w:tc>
        <w:tc>
          <w:tcPr>
            <w:tcW w:w="540" w:type="dxa"/>
            <w:tcBorders>
              <w:top w:val="nil"/>
            </w:tcBorders>
          </w:tcPr>
          <w:p w14:paraId="1F04BE0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tcBorders>
          </w:tcPr>
          <w:p w14:paraId="13F9B642"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tcBorders>
          </w:tcPr>
          <w:p w14:paraId="6DD1B48D"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tcBorders>
          </w:tcPr>
          <w:p w14:paraId="2108765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w:t>
            </w:r>
          </w:p>
        </w:tc>
      </w:tr>
      <w:tr w:rsidR="009B1CF2" w:rsidRPr="009B1CF2" w14:paraId="467EDFBC" w14:textId="77777777" w:rsidTr="008B3DA6">
        <w:trPr>
          <w:jc w:val="center"/>
        </w:trPr>
        <w:tc>
          <w:tcPr>
            <w:tcW w:w="9015" w:type="dxa"/>
            <w:gridSpan w:val="13"/>
            <w:tcBorders>
              <w:left w:val="nil"/>
              <w:bottom w:val="nil"/>
              <w:right w:val="nil"/>
            </w:tcBorders>
          </w:tcPr>
          <w:p w14:paraId="2816642D" w14:textId="5B91465F" w:rsidR="009B1CF2" w:rsidRPr="00A808BF" w:rsidRDefault="009B1CF2" w:rsidP="009B1CF2">
            <w:pPr>
              <w:ind w:right="57"/>
              <w:jc w:val="both"/>
              <w:rPr>
                <w:rFonts w:eastAsia="Times New Roman"/>
                <w:sz w:val="12"/>
                <w:szCs w:val="12"/>
                <w:lang w:val="es-ES"/>
              </w:rPr>
            </w:pPr>
            <w:r w:rsidRPr="00A808BF">
              <w:rPr>
                <w:rFonts w:eastAsia="Times New Roman"/>
                <w:sz w:val="12"/>
                <w:szCs w:val="12"/>
                <w:lang w:val="es-ES"/>
              </w:rPr>
              <w:t>Los datos correspondientes a algunos países se basan en el ejercicio fiscal. Véase en el cuadro F del apéndice estadístico</w:t>
            </w:r>
            <w:r w:rsidR="0098560F">
              <w:rPr>
                <w:rFonts w:eastAsia="Times New Roman"/>
                <w:sz w:val="12"/>
                <w:szCs w:val="12"/>
                <w:lang w:val="es-ES"/>
              </w:rPr>
              <w:t xml:space="preserve"> del documento original</w:t>
            </w:r>
            <w:r w:rsidRPr="00A808BF">
              <w:rPr>
                <w:rFonts w:eastAsia="Times New Roman"/>
                <w:sz w:val="12"/>
                <w:szCs w:val="12"/>
                <w:lang w:val="es-ES"/>
              </w:rPr>
              <w:t xml:space="preserve"> la lista de economías con períodos de declaración excepcionales.</w:t>
            </w:r>
          </w:p>
          <w:p w14:paraId="7E0DD9C0"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1</w:t>
            </w:r>
            <w:r w:rsidRPr="00A808BF">
              <w:rPr>
                <w:rFonts w:eastAsia="Times New Roman"/>
                <w:sz w:val="12"/>
                <w:szCs w:val="12"/>
                <w:lang w:val="es-ES"/>
              </w:rPr>
              <w:t>/ La variación de los precios al consumidor se indica como promedio anual. Las variaciones de diciembre a diciembre pueden encontrarse en el cuadro A7 del apéndice estadístico.</w:t>
            </w:r>
          </w:p>
          <w:p w14:paraId="74679EEC"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2</w:t>
            </w:r>
            <w:r w:rsidRPr="00A808BF">
              <w:rPr>
                <w:rFonts w:eastAsia="Times New Roman"/>
                <w:sz w:val="12"/>
                <w:szCs w:val="12"/>
                <w:lang w:val="es-ES"/>
              </w:rPr>
              <w:t>/ Porcentaje del PIB.</w:t>
            </w:r>
          </w:p>
          <w:p w14:paraId="4648AD75"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3</w:t>
            </w:r>
            <w:r w:rsidRPr="00A808BF">
              <w:rPr>
                <w:rFonts w:eastAsia="Times New Roman"/>
                <w:sz w:val="12"/>
                <w:szCs w:val="12"/>
                <w:lang w:val="es-ES"/>
              </w:rPr>
              <w:t>/ Porcentaje. Las definiciones nacionales de desempleo pueden variar.</w:t>
            </w:r>
          </w:p>
          <w:p w14:paraId="6D3346BB" w14:textId="77777777" w:rsidR="009B1CF2" w:rsidRPr="00A808BF" w:rsidRDefault="009B1CF2" w:rsidP="00A808BF">
            <w:pPr>
              <w:ind w:left="142" w:right="57" w:hanging="142"/>
              <w:jc w:val="both"/>
              <w:rPr>
                <w:rFonts w:eastAsia="Times New Roman"/>
                <w:sz w:val="12"/>
                <w:szCs w:val="12"/>
                <w:lang w:val="es-ES"/>
              </w:rPr>
            </w:pPr>
            <w:r w:rsidRPr="00A808BF">
              <w:rPr>
                <w:rFonts w:eastAsia="Times New Roman"/>
                <w:sz w:val="12"/>
                <w:szCs w:val="12"/>
                <w:lang w:val="es-ES"/>
              </w:rPr>
              <w:t>4/ Georgia, Turkmenistán y Ucrania, que no pertenecen a la Comunidad de Estados Independientes, se incluyen en este grupo por razones geográficas y por similitud de estructura económica.</w:t>
            </w:r>
          </w:p>
          <w:p w14:paraId="632D5CFB" w14:textId="77777777" w:rsidR="009B1CF2" w:rsidRPr="00A808BF" w:rsidRDefault="009B1CF2" w:rsidP="009B1CF2">
            <w:pPr>
              <w:ind w:left="227" w:right="57" w:hanging="227"/>
              <w:jc w:val="both"/>
              <w:rPr>
                <w:rFonts w:eastAsia="Times New Roman"/>
                <w:sz w:val="12"/>
                <w:szCs w:val="12"/>
                <w:lang w:val="es-ES"/>
              </w:rPr>
            </w:pPr>
            <w:r w:rsidRPr="00A808BF">
              <w:rPr>
                <w:rFonts w:eastAsia="Times New Roman"/>
                <w:sz w:val="12"/>
                <w:szCs w:val="12"/>
                <w:u w:val="single"/>
                <w:lang w:val="es-ES"/>
              </w:rPr>
              <w:t>5</w:t>
            </w:r>
            <w:r w:rsidRPr="00A808BF">
              <w:rPr>
                <w:rFonts w:eastAsia="Times New Roman"/>
                <w:sz w:val="12"/>
                <w:szCs w:val="12"/>
                <w:lang w:val="es-ES"/>
              </w:rPr>
              <w:t>/ A partir de 2014 excluye Crimea y Sevastopol.</w:t>
            </w:r>
          </w:p>
          <w:p w14:paraId="5E54FC7F"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6</w:t>
            </w:r>
            <w:r w:rsidRPr="00A808BF">
              <w:rPr>
                <w:rFonts w:eastAsia="Times New Roman"/>
                <w:sz w:val="12"/>
                <w:szCs w:val="12"/>
                <w:lang w:val="es-ES"/>
              </w:rPr>
              <w:t>/ Cáucaso y Asia central comprenden Armenia, Azerbaiyán, Georgia, Kazajstán, la República Kirguisa, Tayikistán, Turkmenistán y Uzbekistán.</w:t>
            </w:r>
          </w:p>
          <w:p w14:paraId="7D6782E1"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7</w:t>
            </w:r>
            <w:r w:rsidRPr="00A808BF">
              <w:rPr>
                <w:rFonts w:eastAsia="Times New Roman"/>
                <w:sz w:val="12"/>
                <w:szCs w:val="12"/>
                <w:lang w:val="es-ES"/>
              </w:rPr>
              <w:t>/ Las economías de bajo ingreso de la CEI comprenden Armenia, Georgia, Moldova, la República Kirguisa, Tayikistán y Uzbekistán.</w:t>
            </w:r>
          </w:p>
          <w:p w14:paraId="0714DD6A" w14:textId="77777777" w:rsidR="009B1CF2" w:rsidRPr="00B10A7E" w:rsidRDefault="009B1CF2" w:rsidP="009B1CF2">
            <w:pPr>
              <w:ind w:left="113" w:hanging="113"/>
              <w:jc w:val="both"/>
              <w:rPr>
                <w:rFonts w:eastAsia="Times New Roman"/>
                <w:sz w:val="12"/>
                <w:szCs w:val="12"/>
                <w:lang w:val="es-ES"/>
              </w:rPr>
            </w:pPr>
            <w:r w:rsidRPr="00B10A7E">
              <w:rPr>
                <w:rFonts w:eastAsia="Times New Roman"/>
                <w:sz w:val="12"/>
                <w:szCs w:val="12"/>
                <w:lang w:val="es-ES"/>
              </w:rPr>
              <w:t>FUENTE: FMI.</w:t>
            </w:r>
          </w:p>
        </w:tc>
      </w:tr>
    </w:tbl>
    <w:p w14:paraId="0C59F9EE" w14:textId="77777777" w:rsidR="009B1CF2" w:rsidRPr="009B1CF2" w:rsidRDefault="009B1CF2" w:rsidP="009B1CF2">
      <w:pPr>
        <w:rPr>
          <w:rFonts w:eastAsia="Times New Roman"/>
          <w:lang w:val="es-ES"/>
        </w:rPr>
      </w:pPr>
    </w:p>
    <w:p w14:paraId="72D5CFA3" w14:textId="77777777" w:rsidR="009B1CF2" w:rsidRPr="009B1CF2" w:rsidRDefault="009B1CF2" w:rsidP="009B1CF2">
      <w:pPr>
        <w:spacing w:after="360" w:line="360" w:lineRule="auto"/>
        <w:ind w:right="-159"/>
        <w:jc w:val="center"/>
        <w:rPr>
          <w:rFonts w:eastAsia="Calibri"/>
          <w:sz w:val="26"/>
          <w:szCs w:val="26"/>
          <w:lang w:eastAsia="en-US"/>
        </w:rPr>
      </w:pPr>
    </w:p>
    <w:p w14:paraId="0F8B988E"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COMUNIDAD DE ESTADOS INDEPENDIENTES: HACIENDO FRENTE A LOS RIESGOS GEOPOLÍTICOS Y A LA CAÍDA DE LOS PRECIOS DEL PETRÓLEO</w:t>
      </w:r>
    </w:p>
    <w:p w14:paraId="79682845"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En un contexto de elevada inflación, Rusia y Ucrania están entrando en recesión conforme se están viendo afectados por las tensiones geopolíticas y la caída de los precios del petróleo. Otras economías de la Comunidad de Estados Independientes (CEI) también registran una disminución del crecimiento y un deterioro del saldo fiscal debido a los efectos negativos de contagio, particularmente los procedentes de Rusia.</w:t>
      </w:r>
    </w:p>
    <w:tbl>
      <w:tblPr>
        <w:tblW w:w="0" w:type="auto"/>
        <w:tblLook w:val="04A0" w:firstRow="1" w:lastRow="0" w:firstColumn="1" w:lastColumn="0" w:noHBand="0" w:noVBand="1"/>
      </w:tblPr>
      <w:tblGrid>
        <w:gridCol w:w="8828"/>
      </w:tblGrid>
      <w:tr w:rsidR="009B1CF2" w:rsidRPr="009B1CF2" w14:paraId="5A4BB86F" w14:textId="77777777" w:rsidTr="008B3DA6">
        <w:tc>
          <w:tcPr>
            <w:tcW w:w="8828" w:type="dxa"/>
          </w:tcPr>
          <w:p w14:paraId="2BDDD11C"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MONETARIO.pptx!291"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61CE0540" wp14:editId="37AC5E30">
                  <wp:extent cx="3861435" cy="2063269"/>
                  <wp:effectExtent l="0" t="0" r="5715" b="0"/>
                  <wp:docPr id="1866" name="Imagen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3"/>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5746" t="12047" r="15601" b="22918"/>
                          <a:stretch/>
                        </pic:blipFill>
                        <pic:spPr bwMode="auto">
                          <a:xfrm>
                            <a:off x="0" y="0"/>
                            <a:ext cx="3861435" cy="2063269"/>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77ABE454"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MONETARIO.pptx!293"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6AA62D87" wp14:editId="042D88EF">
                  <wp:extent cx="3898265" cy="2131695"/>
                  <wp:effectExtent l="0" t="0" r="6985" b="1905"/>
                  <wp:docPr id="1867" name="Imagen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4"/>
                          <pic:cNvPicPr>
                            <a:picLocks noChangeAspect="1" noChangeArrowheads="1"/>
                          </pic:cNvPicPr>
                        </pic:nvPicPr>
                        <pic:blipFill>
                          <a:blip r:embed="rId82" cstate="print">
                            <a:extLst>
                              <a:ext uri="{28A0092B-C50C-407E-A947-70E740481C1C}">
                                <a14:useLocalDpi xmlns:a14="http://schemas.microsoft.com/office/drawing/2010/main" val="0"/>
                              </a:ext>
                            </a:extLst>
                          </a:blip>
                          <a:srcRect l="14607" t="9308" r="18723" b="25941"/>
                          <a:stretch>
                            <a:fillRect/>
                          </a:stretch>
                        </pic:blipFill>
                        <pic:spPr bwMode="auto">
                          <a:xfrm>
                            <a:off x="0" y="0"/>
                            <a:ext cx="3898265" cy="213169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18635D75"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MONETARIO.pptx!294"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61EAFA16" wp14:editId="0E88FFDA">
                  <wp:extent cx="4003675" cy="1915160"/>
                  <wp:effectExtent l="0" t="0" r="0" b="8890"/>
                  <wp:docPr id="1868" name="Imagen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5"/>
                          <pic:cNvPicPr>
                            <a:picLocks noChangeAspect="1" noChangeArrowheads="1"/>
                          </pic:cNvPicPr>
                        </pic:nvPicPr>
                        <pic:blipFill>
                          <a:blip r:embed="rId83" cstate="print">
                            <a:extLst>
                              <a:ext uri="{28A0092B-C50C-407E-A947-70E740481C1C}">
                                <a14:useLocalDpi xmlns:a14="http://schemas.microsoft.com/office/drawing/2010/main" val="0"/>
                              </a:ext>
                            </a:extLst>
                          </a:blip>
                          <a:srcRect l="13335" t="14352" r="15746" b="24940"/>
                          <a:stretch>
                            <a:fillRect/>
                          </a:stretch>
                        </pic:blipFill>
                        <pic:spPr bwMode="auto">
                          <a:xfrm>
                            <a:off x="0" y="0"/>
                            <a:ext cx="4003675" cy="191516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37051D8F" w14:textId="1DD9422D" w:rsidR="009B1CF2" w:rsidRPr="009B1CF2" w:rsidRDefault="008A6BDE" w:rsidP="009B1CF2">
            <w:pPr>
              <w:jc w:val="center"/>
              <w:rPr>
                <w:rFonts w:ascii="Calibri" w:eastAsia="Calibri" w:hAnsi="Calibri"/>
                <w:sz w:val="22"/>
                <w:szCs w:val="22"/>
                <w:lang w:eastAsia="en-US"/>
              </w:rPr>
            </w:pPr>
            <w:r>
              <w:fldChar w:fldCharType="begin"/>
            </w:r>
            <w:r>
              <w:instrText xml:space="preserve"> LINK PowerPoint.Slide.8 "D:\\2015\\ABRIL\\DOCUMENTOS\\25.-GRÁFICAS  DEL FONDO MONETARIO.pptx!298" "" \a \p </w:instrText>
            </w:r>
            <w:r>
              <w:fldChar w:fldCharType="separate"/>
            </w:r>
            <w:r>
              <w:rPr>
                <w:noProof/>
                <w:lang w:eastAsia="es-MX"/>
              </w:rPr>
              <w:drawing>
                <wp:inline distT="0" distB="0" distL="0" distR="0" wp14:anchorId="32CC677B" wp14:editId="66AA96D3">
                  <wp:extent cx="4590415" cy="1340485"/>
                  <wp:effectExtent l="0" t="0" r="63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84" cstate="print">
                            <a:extLst>
                              <a:ext uri="{28A0092B-C50C-407E-A947-70E740481C1C}">
                                <a14:useLocalDpi xmlns:a14="http://schemas.microsoft.com/office/drawing/2010/main" val="0"/>
                              </a:ext>
                            </a:extLst>
                          </a:blip>
                          <a:srcRect l="10504" t="8307" r="13896" b="52643"/>
                          <a:stretch>
                            <a:fillRect/>
                          </a:stretch>
                        </pic:blipFill>
                        <pic:spPr bwMode="auto">
                          <a:xfrm>
                            <a:off x="0" y="0"/>
                            <a:ext cx="4590415" cy="1340485"/>
                          </a:xfrm>
                          <a:prstGeom prst="rect">
                            <a:avLst/>
                          </a:prstGeom>
                          <a:noFill/>
                          <a:ln>
                            <a:noFill/>
                          </a:ln>
                        </pic:spPr>
                      </pic:pic>
                    </a:graphicData>
                  </a:graphic>
                </wp:inline>
              </w:drawing>
            </w:r>
            <w:r>
              <w:fldChar w:fldCharType="end"/>
            </w:r>
          </w:p>
        </w:tc>
      </w:tr>
    </w:tbl>
    <w:p w14:paraId="25EF7116" w14:textId="77777777" w:rsidR="009B1CF2" w:rsidRPr="009B1CF2" w:rsidRDefault="009B1CF2" w:rsidP="009B1CF2">
      <w:pPr>
        <w:spacing w:after="160" w:line="259" w:lineRule="auto"/>
        <w:jc w:val="center"/>
        <w:rPr>
          <w:rFonts w:ascii="Calibri" w:eastAsia="Calibri" w:hAnsi="Calibri"/>
          <w:sz w:val="22"/>
          <w:szCs w:val="22"/>
          <w:lang w:eastAsia="en-US"/>
        </w:rPr>
      </w:pPr>
    </w:p>
    <w:p w14:paraId="6DD22F02"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riesgos para la región son, en gran medida, a la baja. El prolongado período de incertidumbre y la imposición de sanciones adicionales a Rusia podrían debilitar aún más la inversión. El deterioro de los balances de los bancos y las empresas debido a la reciente y pronunciada depreciación de las monedas nacionales en toda la región podría plantear riesgos para la estabilidad financiera. Un repunte de los precios del petróleo antes de lo esperado implica algunos riesgos al alza para los países exportadores de petróleo y también, a través del impacto positivo en la economía rusa, para los importadores de petróleo de la Comunidad de Estados Independientes. </w:t>
      </w:r>
    </w:p>
    <w:p w14:paraId="33624DA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Dado el deterioro de las condiciones económicas y los considerables riesgos a la baja, una prioridad fundamental es preservar la estabilidad macroeconómica. En Rusia, el ajuste de la política monetaria y la decisión del banco central de adoptar un régimen de tipo de cambio flotante antes de lo programado fueron adecuados. Ante una política monetaria restringida por un nivel de inflación por encima de la meta y problemas de estabilidad financiera, y en vista de los amplios márgenes de maniobra fiscal de Rusia, se justificaría una relajación limitada del saldo estructural no petrolero en 2015. En Ucrania, sigue siendo apropiado reforzar las reservas y aplicar una orientación fiscal más restrictiva. En Belarús, se requiere una mayor flexibilidad del tipo de cambio, conjuntamente con la aplicación de políticas macroeconómicas restrictivas y profundas reformas estructurales, para contener de manera duradera la inflación y reducir los desequilibrios externos. </w:t>
      </w:r>
    </w:p>
    <w:p w14:paraId="5D499EC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Para hacer frente a los efectos de contagio provenientes de Rusia, los países del Cáucaso y Asia Central deberían implementar una política fiscal anticíclica si el espacio fiscal, el financiamiento disponible y la posición externa lo permiten. En general, estos países deberían permitir una mayor flexibilidad del tipo de cambio, respaldada por políticas macroeconómicas y estructurales adecuadas y, si es necesario, una mayor depreciación para minimizar la pérdida de reservas y la erosión de la competitividad. Esa mayor flexibilidad del tipo de cambio a lo largo del tiempo también ayudaría a estas economías a adaptarse a los </w:t>
      </w:r>
      <w:r w:rsidRPr="009B1CF2">
        <w:rPr>
          <w:rFonts w:eastAsia="Calibri"/>
          <w:i/>
          <w:sz w:val="26"/>
          <w:szCs w:val="26"/>
          <w:lang w:eastAsia="en-US"/>
        </w:rPr>
        <w:t>shocks</w:t>
      </w:r>
      <w:r w:rsidRPr="009B1CF2">
        <w:rPr>
          <w:rFonts w:eastAsia="Calibri"/>
          <w:sz w:val="26"/>
          <w:szCs w:val="26"/>
          <w:lang w:eastAsia="en-US"/>
        </w:rPr>
        <w:t xml:space="preserve"> adversos. Es posible que se necesite aplicar una política monetaria más restrictiva para hacer frente a las presiones inflacionarias provocadas por la depreciación de la moneda. </w:t>
      </w:r>
    </w:p>
    <w:p w14:paraId="6C5C874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A mediano plazo, la mayoría de los países exportadores de petróleo deberán recalibrar sus planes de consolidación fiscal, dado que se prevé que persista el </w:t>
      </w:r>
      <w:r w:rsidRPr="009B1CF2">
        <w:rPr>
          <w:rFonts w:eastAsia="Calibri"/>
          <w:i/>
          <w:sz w:val="26"/>
          <w:szCs w:val="26"/>
          <w:lang w:eastAsia="en-US"/>
        </w:rPr>
        <w:t>shock</w:t>
      </w:r>
      <w:r w:rsidRPr="009B1CF2">
        <w:rPr>
          <w:rFonts w:eastAsia="Calibri"/>
          <w:sz w:val="26"/>
          <w:szCs w:val="26"/>
          <w:lang w:eastAsia="en-US"/>
        </w:rPr>
        <w:t xml:space="preserve"> petrolero. Es prioritario contener los gastos corrientes que resultan difíciles de revertir, ampliar las bases imponibles y fortalecer la administración tributaria. El gasto destinado a propiciar el crecimiento en infraestructura, salud y educación, así como la asistencia social </w:t>
      </w:r>
      <w:r w:rsidRPr="009B1CF2">
        <w:rPr>
          <w:rFonts w:eastAsia="Calibri"/>
          <w:sz w:val="26"/>
          <w:szCs w:val="26"/>
          <w:lang w:eastAsia="en-US"/>
        </w:rPr>
        <w:lastRenderedPageBreak/>
        <w:t>focalizada, deberán preservarse en la medida de lo posible. Los países importadores de petróleo deberán reanudar la consolidación fiscal para recomponer sus márgenes de maniobra tan pronto como las condiciones cíclicas lo permitan. Es preciso acelerar las reformas estructurales en el ámbito de la gestión de gobierno, la corrupción, la educación y el sector financiero para diversificar las economías, mejorar el clima de negocios y reforzar la intermediación financiera.</w:t>
      </w:r>
    </w:p>
    <w:p w14:paraId="34BF03AA" w14:textId="77777777" w:rsidR="009B1CF2" w:rsidRPr="009B1CF2" w:rsidRDefault="009B1CF2" w:rsidP="009B1CF2">
      <w:pPr>
        <w:spacing w:after="360"/>
        <w:ind w:right="-159"/>
        <w:jc w:val="both"/>
        <w:rPr>
          <w:rFonts w:eastAsia="Calibri"/>
          <w:b/>
          <w:sz w:val="26"/>
          <w:szCs w:val="26"/>
          <w:lang w:eastAsia="en-US"/>
        </w:rPr>
      </w:pPr>
      <w:r w:rsidRPr="009B1CF2">
        <w:rPr>
          <w:rFonts w:eastAsia="Calibri"/>
          <w:b/>
          <w:sz w:val="26"/>
          <w:szCs w:val="26"/>
          <w:lang w:eastAsia="en-US"/>
        </w:rPr>
        <w:t xml:space="preserve">Oriente Medio, Norte de África, Afganistán y Pakistán: Petróleo, conflictos y transiciones </w:t>
      </w:r>
    </w:p>
    <w:p w14:paraId="1EFC6C3F"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El crecimiento continuó siendo débil en Oriente Medio, Norte de África, Afganistán y Pakistán (OMNAP) en 2014 en un contexto caracterizado por la caída de los precios del petróleo, los persistentes conflictos en la región y la continua incertidumbre política. Se prevé tan solo un modesto fortalecimiento de la actividad económica en el presente año, y las sustanciales revisiones a la baja de las proyecciones de crecimiento de la región pueden atribuirse a los países exportadores de petróleo de la región. Los riesgos continúan inclinándose a la baja. Ante las importantes pérdidas originadas por la disminución del precio del petróleo, la mayoría de los países exportadores de petróleo deben recalibrar sus planes de consolidación fiscal a mediano plazo. En toda la región, la disminución del precio del petróleo genera las condiciones necesarias para seguir implementando reformas a los subsidios a fin de crear espacio fiscal para el gasto destinado a promover el crecimiento. También es necesario implementar reformas estructurales para elevar las perspectivas de crecimiento de manera sostenible e inclusiva.</w:t>
      </w:r>
    </w:p>
    <w:p w14:paraId="54D17E68"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Economías exportadoras de petróleo </w:t>
      </w:r>
    </w:p>
    <w:p w14:paraId="03EB4D9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Como consecuencia del fuerte descenso de los precios del petróleo, los países exportadores de petróleo de OMNAP están experimentando importantes pérdidas de ingresos fiscales y de exportación (gráfica </w:t>
      </w:r>
      <w:r w:rsidRPr="009B1CF2">
        <w:rPr>
          <w:rFonts w:eastAsia="Calibri"/>
          <w:i/>
          <w:sz w:val="26"/>
          <w:szCs w:val="26"/>
          <w:lang w:eastAsia="en-US"/>
        </w:rPr>
        <w:t xml:space="preserve">Oriente Medio, Norte de África, Afganistán </w:t>
      </w:r>
      <w:r w:rsidRPr="009B1CF2">
        <w:rPr>
          <w:rFonts w:eastAsia="Calibri"/>
          <w:i/>
          <w:sz w:val="26"/>
          <w:szCs w:val="26"/>
          <w:lang w:eastAsia="en-US"/>
        </w:rPr>
        <w:lastRenderedPageBreak/>
        <w:t>y Pakistán: Petróleo, conflictos y transiciones</w:t>
      </w:r>
      <w:r w:rsidRPr="009B1CF2">
        <w:rPr>
          <w:rFonts w:eastAsia="Calibri"/>
          <w:sz w:val="26"/>
          <w:szCs w:val="26"/>
          <w:lang w:eastAsia="en-US"/>
        </w:rPr>
        <w:t xml:space="preserve">). Se prevé que la mayoría de los países exportadores de petróleo de la región eviten drásticos recortes del gasto recurriendo a sus importantes reservas y utilizando el financiamiento disponible. </w:t>
      </w:r>
    </w:p>
    <w:p w14:paraId="750CBD0C"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Se proyecta ahora que el crecimiento se mantendrá prácticamente sin variación, en 2.4%, en 2015, lo que representa una revisión a la baja de 1.5 puntos porcentuales respecto a la edición de octubre de 2014 del informe WEO, y repunte luego a 3.5% en 2016 (cuadro </w:t>
      </w:r>
      <w:r w:rsidRPr="009B1CF2">
        <w:rPr>
          <w:rFonts w:eastAsia="Calibri"/>
          <w:i/>
          <w:sz w:val="26"/>
          <w:szCs w:val="26"/>
          <w:lang w:eastAsia="en-US"/>
        </w:rPr>
        <w:t>PIB real, precios al consumidor, saldo en cuenta corriente y desempleo en las economía de Oriente Medio, Norte de África, Afganistán y Pakistán</w:t>
      </w:r>
      <w:r w:rsidRPr="009B1CF2">
        <w:rPr>
          <w:rFonts w:eastAsia="Calibri"/>
          <w:sz w:val="26"/>
          <w:szCs w:val="26"/>
          <w:lang w:eastAsia="en-US"/>
        </w:rPr>
        <w:t xml:space="preserve">). Concretamente: </w:t>
      </w:r>
    </w:p>
    <w:p w14:paraId="04BD66BB" w14:textId="77777777" w:rsidR="009B1CF2" w:rsidRPr="009B1CF2" w:rsidRDefault="009B1CF2" w:rsidP="003518F4">
      <w:pPr>
        <w:numPr>
          <w:ilvl w:val="1"/>
          <w:numId w:val="163"/>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Las previsiones de crecimiento de Arabia Saudita se han revisado a la baja, a 3.0% en 2015, 1.5 puntos porcentuales menos respecto a la edición de octubre de 2014 del informe WEO, y 2.7% en 2016. Aproximadamente la mitad de las revisiones se deben a un cambio de base de los datos sobre el PIB real</w:t>
      </w:r>
      <w:r w:rsidRPr="009B1CF2">
        <w:rPr>
          <w:rFonts w:eastAsia="Calibri"/>
          <w:sz w:val="26"/>
          <w:szCs w:val="26"/>
          <w:vertAlign w:val="superscript"/>
          <w:lang w:eastAsia="en-US"/>
        </w:rPr>
        <w:footnoteReference w:id="9"/>
      </w:r>
      <w:r w:rsidRPr="009B1CF2">
        <w:rPr>
          <w:rFonts w:eastAsia="Calibri"/>
          <w:sz w:val="26"/>
          <w:szCs w:val="26"/>
          <w:lang w:eastAsia="en-US"/>
        </w:rPr>
        <w:t xml:space="preserve">. Con el descenso de los precios del petróleo, el saldo fiscal de Arabia Saudita registrará un sustancial déficit en 2015 y 2016. </w:t>
      </w:r>
    </w:p>
    <w:p w14:paraId="711AC0AA" w14:textId="77777777" w:rsidR="009B1CF2" w:rsidRPr="009B1CF2" w:rsidRDefault="009B1CF2" w:rsidP="003518F4">
      <w:pPr>
        <w:numPr>
          <w:ilvl w:val="1"/>
          <w:numId w:val="163"/>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En la República Islámica de Irán, se proyecta un crecimiento de 0.6% en 2015 y 1.3% en 2016, una revisión a la baja respecto de la edición de octubre de 2014 del informe WEO de alrededor de 1.5 puntos porcentuales y 1 punto porcentual, respectivamente. Las revisiones reflejan el impacto de la disminución del precio del petróleo y la persistente incertidumbre en torno a los avances hacia un acuerdo global con el grupo P5+1</w:t>
      </w:r>
      <w:r w:rsidRPr="009B1CF2">
        <w:rPr>
          <w:rFonts w:eastAsia="Calibri"/>
          <w:sz w:val="26"/>
          <w:szCs w:val="26"/>
          <w:vertAlign w:val="superscript"/>
          <w:lang w:eastAsia="en-US"/>
        </w:rPr>
        <w:footnoteReference w:id="10"/>
      </w:r>
      <w:r w:rsidRPr="009B1CF2">
        <w:rPr>
          <w:rFonts w:eastAsia="Calibri"/>
          <w:sz w:val="26"/>
          <w:szCs w:val="26"/>
          <w:lang w:eastAsia="en-US"/>
        </w:rPr>
        <w:t xml:space="preserve">.  </w:t>
      </w:r>
    </w:p>
    <w:p w14:paraId="2A5E2475" w14:textId="77777777" w:rsidR="009B1CF2" w:rsidRPr="009B1CF2" w:rsidRDefault="009B1CF2" w:rsidP="003518F4">
      <w:pPr>
        <w:numPr>
          <w:ilvl w:val="1"/>
          <w:numId w:val="163"/>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 xml:space="preserve">En Iraq, se proyecta un crecimiento de 1.3% en 2015, respaldado por un aumento de la producción de petróleo, pero se prevé que la actividad no petrolera se mantenga sin variaciones debido a las difíciles condiciones de seguridad y recortes del gasto fiscal en respuesta a la disminución del precio del petróleo.  </w:t>
      </w:r>
    </w:p>
    <w:p w14:paraId="78A96927" w14:textId="77777777" w:rsidR="009B1CF2" w:rsidRPr="009B1CF2" w:rsidRDefault="009B1CF2" w:rsidP="003518F4">
      <w:pPr>
        <w:numPr>
          <w:ilvl w:val="1"/>
          <w:numId w:val="163"/>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Argelia, se prevé una desaceleración del crecimiento de 4.1% en 2014 a 2.6% en 2015, dado que la disminución del precio del petróleo exacerbará las vulnerabilidades fiscales y externas existentes. </w:t>
      </w:r>
    </w:p>
    <w:p w14:paraId="1633F668" w14:textId="77777777" w:rsidR="009B1CF2" w:rsidRPr="009B1CF2" w:rsidRDefault="009B1CF2" w:rsidP="009B1CF2">
      <w:pPr>
        <w:rPr>
          <w:rFonts w:eastAsia="Times New Roman"/>
          <w:lang w:val="es-ES"/>
        </w:rPr>
      </w:pP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540"/>
        <w:gridCol w:w="540"/>
        <w:gridCol w:w="540"/>
        <w:gridCol w:w="540"/>
        <w:gridCol w:w="540"/>
        <w:gridCol w:w="601"/>
        <w:gridCol w:w="554"/>
        <w:gridCol w:w="567"/>
        <w:gridCol w:w="618"/>
        <w:gridCol w:w="540"/>
        <w:gridCol w:w="540"/>
        <w:gridCol w:w="540"/>
      </w:tblGrid>
      <w:tr w:rsidR="009B1CF2" w:rsidRPr="00A808BF" w14:paraId="0D41C56C" w14:textId="77777777" w:rsidTr="008B3DA6">
        <w:trPr>
          <w:jc w:val="center"/>
        </w:trPr>
        <w:tc>
          <w:tcPr>
            <w:tcW w:w="9270" w:type="dxa"/>
            <w:gridSpan w:val="13"/>
            <w:tcBorders>
              <w:top w:val="nil"/>
              <w:left w:val="nil"/>
              <w:right w:val="nil"/>
            </w:tcBorders>
          </w:tcPr>
          <w:p w14:paraId="6280A35C"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PIB REAL, PRECIOS AL CONSUMIDOR, SALDO EN CUENTA CORRIENTE Y DESEMPLEO EN LAS ECONOMÍAS</w:t>
            </w:r>
          </w:p>
          <w:p w14:paraId="7C07E75F"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DE ORIENTE MEDIO, DE ÁFRICA, AFGANISTÁN Y PAKISTÁN</w:t>
            </w:r>
          </w:p>
          <w:p w14:paraId="56441761"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-Variación porcentual anual, salvo indicación en contrario-</w:t>
            </w:r>
          </w:p>
        </w:tc>
      </w:tr>
      <w:tr w:rsidR="009B1CF2" w:rsidRPr="009B1CF2" w14:paraId="30046756" w14:textId="77777777" w:rsidTr="008B3DA6">
        <w:trPr>
          <w:jc w:val="center"/>
        </w:trPr>
        <w:tc>
          <w:tcPr>
            <w:tcW w:w="2610" w:type="dxa"/>
            <w:vMerge w:val="restart"/>
          </w:tcPr>
          <w:p w14:paraId="2F3F8A44" w14:textId="77777777" w:rsidR="009B1CF2" w:rsidRPr="00A808BF" w:rsidRDefault="009B1CF2" w:rsidP="009B1CF2">
            <w:pPr>
              <w:rPr>
                <w:rFonts w:eastAsia="Times New Roman"/>
                <w:b/>
                <w:sz w:val="12"/>
                <w:szCs w:val="12"/>
                <w:lang w:val="es-ES"/>
              </w:rPr>
            </w:pPr>
          </w:p>
        </w:tc>
        <w:tc>
          <w:tcPr>
            <w:tcW w:w="1620" w:type="dxa"/>
            <w:gridSpan w:val="3"/>
            <w:shd w:val="clear" w:color="auto" w:fill="auto"/>
            <w:vAlign w:val="center"/>
          </w:tcPr>
          <w:p w14:paraId="33A817D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PIB real</w:t>
            </w:r>
          </w:p>
        </w:tc>
        <w:tc>
          <w:tcPr>
            <w:tcW w:w="1681" w:type="dxa"/>
            <w:gridSpan w:val="3"/>
            <w:shd w:val="clear" w:color="auto" w:fill="auto"/>
            <w:vAlign w:val="center"/>
          </w:tcPr>
          <w:p w14:paraId="52A845DC"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Precios al consumidor</w:t>
            </w:r>
            <w:r w:rsidRPr="00A808BF">
              <w:rPr>
                <w:rFonts w:eastAsia="Times New Roman"/>
                <w:b/>
                <w:sz w:val="12"/>
                <w:szCs w:val="12"/>
                <w:u w:val="single"/>
                <w:vertAlign w:val="superscript"/>
                <w:lang w:val="es-ES"/>
              </w:rPr>
              <w:t>1</w:t>
            </w:r>
            <w:r w:rsidRPr="00A808BF">
              <w:rPr>
                <w:rFonts w:eastAsia="Times New Roman"/>
                <w:b/>
                <w:sz w:val="12"/>
                <w:szCs w:val="12"/>
                <w:vertAlign w:val="superscript"/>
                <w:lang w:val="es-ES"/>
              </w:rPr>
              <w:t>/</w:t>
            </w:r>
          </w:p>
        </w:tc>
        <w:tc>
          <w:tcPr>
            <w:tcW w:w="1739" w:type="dxa"/>
            <w:gridSpan w:val="3"/>
            <w:vAlign w:val="center"/>
          </w:tcPr>
          <w:p w14:paraId="1C8CFB3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Saldo en cuenta corriente</w:t>
            </w:r>
            <w:r w:rsidRPr="00A808BF">
              <w:rPr>
                <w:rFonts w:eastAsia="Times New Roman"/>
                <w:b/>
                <w:sz w:val="12"/>
                <w:szCs w:val="12"/>
                <w:u w:val="single"/>
                <w:vertAlign w:val="superscript"/>
                <w:lang w:val="es-ES"/>
              </w:rPr>
              <w:t>2</w:t>
            </w:r>
            <w:r w:rsidRPr="00A808BF">
              <w:rPr>
                <w:rFonts w:eastAsia="Times New Roman"/>
                <w:b/>
                <w:sz w:val="12"/>
                <w:szCs w:val="12"/>
                <w:vertAlign w:val="superscript"/>
                <w:lang w:val="es-ES"/>
              </w:rPr>
              <w:t>/</w:t>
            </w:r>
          </w:p>
        </w:tc>
        <w:tc>
          <w:tcPr>
            <w:tcW w:w="1620" w:type="dxa"/>
            <w:gridSpan w:val="3"/>
            <w:vAlign w:val="center"/>
          </w:tcPr>
          <w:p w14:paraId="678D3A5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Desempleo</w:t>
            </w:r>
            <w:r w:rsidRPr="00A808BF">
              <w:rPr>
                <w:rFonts w:eastAsia="Times New Roman"/>
                <w:b/>
                <w:sz w:val="12"/>
                <w:szCs w:val="12"/>
                <w:u w:val="single"/>
                <w:vertAlign w:val="superscript"/>
                <w:lang w:val="es-ES"/>
              </w:rPr>
              <w:t>3</w:t>
            </w:r>
            <w:r w:rsidRPr="00A808BF">
              <w:rPr>
                <w:rFonts w:eastAsia="Times New Roman"/>
                <w:b/>
                <w:sz w:val="12"/>
                <w:szCs w:val="12"/>
                <w:vertAlign w:val="superscript"/>
                <w:lang w:val="es-ES"/>
              </w:rPr>
              <w:t>/</w:t>
            </w:r>
          </w:p>
        </w:tc>
      </w:tr>
      <w:tr w:rsidR="009B1CF2" w:rsidRPr="009B1CF2" w14:paraId="4ACEA5EE" w14:textId="77777777" w:rsidTr="008B3DA6">
        <w:trPr>
          <w:jc w:val="center"/>
        </w:trPr>
        <w:tc>
          <w:tcPr>
            <w:tcW w:w="2610" w:type="dxa"/>
            <w:vMerge/>
          </w:tcPr>
          <w:p w14:paraId="33FD2383" w14:textId="77777777" w:rsidR="009B1CF2" w:rsidRPr="00A808BF" w:rsidRDefault="009B1CF2" w:rsidP="009B1CF2">
            <w:pPr>
              <w:rPr>
                <w:rFonts w:eastAsia="Times New Roman"/>
                <w:b/>
                <w:sz w:val="12"/>
                <w:szCs w:val="12"/>
                <w:lang w:val="es-ES"/>
              </w:rPr>
            </w:pPr>
          </w:p>
        </w:tc>
        <w:tc>
          <w:tcPr>
            <w:tcW w:w="540" w:type="dxa"/>
            <w:vMerge w:val="restart"/>
            <w:shd w:val="clear" w:color="auto" w:fill="auto"/>
            <w:vAlign w:val="bottom"/>
          </w:tcPr>
          <w:p w14:paraId="1148273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shd w:val="clear" w:color="auto" w:fill="auto"/>
            <w:vAlign w:val="center"/>
          </w:tcPr>
          <w:p w14:paraId="18144B09"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shd w:val="clear" w:color="auto" w:fill="auto"/>
            <w:vAlign w:val="bottom"/>
          </w:tcPr>
          <w:p w14:paraId="5D8F4FA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41" w:type="dxa"/>
            <w:gridSpan w:val="2"/>
            <w:shd w:val="clear" w:color="auto" w:fill="auto"/>
            <w:vAlign w:val="center"/>
          </w:tcPr>
          <w:p w14:paraId="5DEF2955"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54" w:type="dxa"/>
            <w:vMerge w:val="restart"/>
            <w:vAlign w:val="bottom"/>
          </w:tcPr>
          <w:p w14:paraId="3B118B27"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85" w:type="dxa"/>
            <w:gridSpan w:val="2"/>
            <w:vAlign w:val="center"/>
          </w:tcPr>
          <w:p w14:paraId="2B1438E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vAlign w:val="bottom"/>
          </w:tcPr>
          <w:p w14:paraId="41D6BDD2"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vAlign w:val="center"/>
          </w:tcPr>
          <w:p w14:paraId="663CEFF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r>
      <w:tr w:rsidR="009B1CF2" w:rsidRPr="009B1CF2" w14:paraId="4FC511C2" w14:textId="77777777" w:rsidTr="001D5328">
        <w:trPr>
          <w:jc w:val="center"/>
        </w:trPr>
        <w:tc>
          <w:tcPr>
            <w:tcW w:w="2610" w:type="dxa"/>
            <w:vMerge/>
            <w:tcBorders>
              <w:bottom w:val="single" w:sz="4" w:space="0" w:color="auto"/>
            </w:tcBorders>
          </w:tcPr>
          <w:p w14:paraId="74C07513" w14:textId="77777777" w:rsidR="009B1CF2" w:rsidRPr="00A808BF" w:rsidRDefault="009B1CF2" w:rsidP="009B1CF2">
            <w:pPr>
              <w:rPr>
                <w:rFonts w:eastAsia="Times New Roman"/>
                <w:b/>
                <w:sz w:val="12"/>
                <w:szCs w:val="12"/>
                <w:lang w:val="es-ES"/>
              </w:rPr>
            </w:pPr>
          </w:p>
        </w:tc>
        <w:tc>
          <w:tcPr>
            <w:tcW w:w="540" w:type="dxa"/>
            <w:vMerge/>
            <w:tcBorders>
              <w:bottom w:val="single" w:sz="4" w:space="0" w:color="auto"/>
            </w:tcBorders>
          </w:tcPr>
          <w:p w14:paraId="16583D09" w14:textId="77777777" w:rsidR="009B1CF2" w:rsidRPr="00A808BF" w:rsidRDefault="009B1CF2" w:rsidP="009B1CF2">
            <w:pPr>
              <w:ind w:right="57"/>
              <w:jc w:val="center"/>
              <w:rPr>
                <w:rFonts w:eastAsia="Times New Roman"/>
                <w:b/>
                <w:sz w:val="12"/>
                <w:szCs w:val="12"/>
                <w:lang w:val="es-ES"/>
              </w:rPr>
            </w:pPr>
          </w:p>
        </w:tc>
        <w:tc>
          <w:tcPr>
            <w:tcW w:w="540" w:type="dxa"/>
            <w:tcBorders>
              <w:bottom w:val="single" w:sz="4" w:space="0" w:color="auto"/>
            </w:tcBorders>
          </w:tcPr>
          <w:p w14:paraId="522A41BC"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Borders>
              <w:bottom w:val="single" w:sz="4" w:space="0" w:color="auto"/>
            </w:tcBorders>
          </w:tcPr>
          <w:p w14:paraId="3A289D5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Borders>
              <w:bottom w:val="single" w:sz="4" w:space="0" w:color="auto"/>
            </w:tcBorders>
          </w:tcPr>
          <w:p w14:paraId="4329F158" w14:textId="77777777" w:rsidR="009B1CF2" w:rsidRPr="00A808BF" w:rsidRDefault="009B1CF2" w:rsidP="009B1CF2">
            <w:pPr>
              <w:ind w:right="57"/>
              <w:jc w:val="center"/>
              <w:rPr>
                <w:rFonts w:eastAsia="Times New Roman"/>
                <w:b/>
                <w:sz w:val="12"/>
                <w:szCs w:val="12"/>
                <w:lang w:val="es-ES"/>
              </w:rPr>
            </w:pPr>
          </w:p>
        </w:tc>
        <w:tc>
          <w:tcPr>
            <w:tcW w:w="540" w:type="dxa"/>
            <w:tcBorders>
              <w:bottom w:val="single" w:sz="4" w:space="0" w:color="auto"/>
            </w:tcBorders>
          </w:tcPr>
          <w:p w14:paraId="3B1CA0C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601" w:type="dxa"/>
            <w:tcBorders>
              <w:bottom w:val="single" w:sz="4" w:space="0" w:color="auto"/>
            </w:tcBorders>
          </w:tcPr>
          <w:p w14:paraId="5450A3AB"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54" w:type="dxa"/>
            <w:vMerge/>
            <w:tcBorders>
              <w:bottom w:val="single" w:sz="4" w:space="0" w:color="auto"/>
            </w:tcBorders>
          </w:tcPr>
          <w:p w14:paraId="34A3CBDC" w14:textId="77777777" w:rsidR="009B1CF2" w:rsidRPr="00A808BF" w:rsidRDefault="009B1CF2" w:rsidP="009B1CF2">
            <w:pPr>
              <w:ind w:right="113"/>
              <w:jc w:val="center"/>
              <w:rPr>
                <w:rFonts w:eastAsia="Times New Roman"/>
                <w:b/>
                <w:sz w:val="12"/>
                <w:szCs w:val="12"/>
                <w:lang w:val="es-ES"/>
              </w:rPr>
            </w:pPr>
          </w:p>
        </w:tc>
        <w:tc>
          <w:tcPr>
            <w:tcW w:w="567" w:type="dxa"/>
            <w:tcBorders>
              <w:bottom w:val="single" w:sz="4" w:space="0" w:color="auto"/>
            </w:tcBorders>
          </w:tcPr>
          <w:p w14:paraId="0AD0909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618" w:type="dxa"/>
            <w:tcBorders>
              <w:bottom w:val="single" w:sz="4" w:space="0" w:color="auto"/>
            </w:tcBorders>
          </w:tcPr>
          <w:p w14:paraId="7E489AC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Borders>
              <w:bottom w:val="single" w:sz="4" w:space="0" w:color="auto"/>
            </w:tcBorders>
          </w:tcPr>
          <w:p w14:paraId="42665933" w14:textId="77777777" w:rsidR="009B1CF2" w:rsidRPr="00A808BF" w:rsidRDefault="009B1CF2" w:rsidP="009B1CF2">
            <w:pPr>
              <w:ind w:right="113"/>
              <w:jc w:val="center"/>
              <w:rPr>
                <w:rFonts w:eastAsia="Times New Roman"/>
                <w:b/>
                <w:sz w:val="12"/>
                <w:szCs w:val="12"/>
                <w:lang w:val="es-ES"/>
              </w:rPr>
            </w:pPr>
          </w:p>
        </w:tc>
        <w:tc>
          <w:tcPr>
            <w:tcW w:w="540" w:type="dxa"/>
            <w:tcBorders>
              <w:bottom w:val="single" w:sz="4" w:space="0" w:color="auto"/>
            </w:tcBorders>
          </w:tcPr>
          <w:p w14:paraId="6B78C713"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Borders>
              <w:bottom w:val="single" w:sz="4" w:space="0" w:color="auto"/>
            </w:tcBorders>
          </w:tcPr>
          <w:p w14:paraId="137A2408"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r>
      <w:tr w:rsidR="009B1CF2" w:rsidRPr="009B1CF2" w14:paraId="072CE2C9" w14:textId="77777777" w:rsidTr="001D5328">
        <w:trPr>
          <w:jc w:val="center"/>
        </w:trPr>
        <w:tc>
          <w:tcPr>
            <w:tcW w:w="2610" w:type="dxa"/>
            <w:tcBorders>
              <w:bottom w:val="nil"/>
            </w:tcBorders>
          </w:tcPr>
          <w:p w14:paraId="56472AEC"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Oriente Medio y Norte de África, Afganistán y Pakistán</w:t>
            </w:r>
          </w:p>
        </w:tc>
        <w:tc>
          <w:tcPr>
            <w:tcW w:w="540" w:type="dxa"/>
            <w:tcBorders>
              <w:bottom w:val="nil"/>
            </w:tcBorders>
            <w:vAlign w:val="center"/>
          </w:tcPr>
          <w:p w14:paraId="03468BB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2.6</w:t>
            </w:r>
          </w:p>
        </w:tc>
        <w:tc>
          <w:tcPr>
            <w:tcW w:w="540" w:type="dxa"/>
            <w:tcBorders>
              <w:bottom w:val="nil"/>
            </w:tcBorders>
            <w:vAlign w:val="center"/>
          </w:tcPr>
          <w:p w14:paraId="446A6EC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2.9</w:t>
            </w:r>
          </w:p>
        </w:tc>
        <w:tc>
          <w:tcPr>
            <w:tcW w:w="540" w:type="dxa"/>
            <w:tcBorders>
              <w:bottom w:val="nil"/>
            </w:tcBorders>
            <w:vAlign w:val="center"/>
          </w:tcPr>
          <w:p w14:paraId="4228A1D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3.8</w:t>
            </w:r>
          </w:p>
        </w:tc>
        <w:tc>
          <w:tcPr>
            <w:tcW w:w="540" w:type="dxa"/>
            <w:tcBorders>
              <w:bottom w:val="nil"/>
            </w:tcBorders>
            <w:vAlign w:val="center"/>
          </w:tcPr>
          <w:p w14:paraId="2BD55B8C"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6.7</w:t>
            </w:r>
          </w:p>
        </w:tc>
        <w:tc>
          <w:tcPr>
            <w:tcW w:w="540" w:type="dxa"/>
            <w:tcBorders>
              <w:bottom w:val="nil"/>
            </w:tcBorders>
            <w:vAlign w:val="center"/>
          </w:tcPr>
          <w:p w14:paraId="3325C44E"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6.1</w:t>
            </w:r>
          </w:p>
        </w:tc>
        <w:tc>
          <w:tcPr>
            <w:tcW w:w="601" w:type="dxa"/>
            <w:tcBorders>
              <w:bottom w:val="nil"/>
            </w:tcBorders>
            <w:vAlign w:val="center"/>
          </w:tcPr>
          <w:p w14:paraId="4AE8B1E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6.2</w:t>
            </w:r>
          </w:p>
        </w:tc>
        <w:tc>
          <w:tcPr>
            <w:tcW w:w="554" w:type="dxa"/>
            <w:tcBorders>
              <w:bottom w:val="nil"/>
            </w:tcBorders>
            <w:vAlign w:val="center"/>
          </w:tcPr>
          <w:p w14:paraId="5BFD2B3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6.4</w:t>
            </w:r>
          </w:p>
        </w:tc>
        <w:tc>
          <w:tcPr>
            <w:tcW w:w="567" w:type="dxa"/>
            <w:tcBorders>
              <w:bottom w:val="nil"/>
            </w:tcBorders>
            <w:vAlign w:val="center"/>
          </w:tcPr>
          <w:p w14:paraId="1A70412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-1.9</w:t>
            </w:r>
          </w:p>
        </w:tc>
        <w:tc>
          <w:tcPr>
            <w:tcW w:w="618" w:type="dxa"/>
            <w:tcBorders>
              <w:bottom w:val="nil"/>
            </w:tcBorders>
            <w:vAlign w:val="center"/>
          </w:tcPr>
          <w:p w14:paraId="5F7FB93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-0.1</w:t>
            </w:r>
          </w:p>
        </w:tc>
        <w:tc>
          <w:tcPr>
            <w:tcW w:w="540" w:type="dxa"/>
            <w:tcBorders>
              <w:bottom w:val="nil"/>
            </w:tcBorders>
            <w:vAlign w:val="center"/>
          </w:tcPr>
          <w:p w14:paraId="41F1B3EC"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vAlign w:val="center"/>
          </w:tcPr>
          <w:p w14:paraId="70903402"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vAlign w:val="center"/>
          </w:tcPr>
          <w:p w14:paraId="6728114F"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r>
      <w:tr w:rsidR="009B1CF2" w:rsidRPr="009B1CF2" w14:paraId="47AACA07" w14:textId="77777777" w:rsidTr="001D5328">
        <w:trPr>
          <w:jc w:val="center"/>
        </w:trPr>
        <w:tc>
          <w:tcPr>
            <w:tcW w:w="2610" w:type="dxa"/>
            <w:tcBorders>
              <w:top w:val="nil"/>
              <w:bottom w:val="nil"/>
            </w:tcBorders>
          </w:tcPr>
          <w:p w14:paraId="6004FFC0"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Exportadores de petróleo</w:t>
            </w:r>
            <w:r w:rsidRPr="00A808BF">
              <w:rPr>
                <w:rFonts w:eastAsia="Times New Roman"/>
                <w:b/>
                <w:sz w:val="12"/>
                <w:szCs w:val="12"/>
                <w:u w:val="single"/>
                <w:vertAlign w:val="superscript"/>
                <w:lang w:val="es-ES"/>
              </w:rPr>
              <w:t>4</w:t>
            </w:r>
            <w:r w:rsidRPr="00A808BF">
              <w:rPr>
                <w:rFonts w:eastAsia="Times New Roman"/>
                <w:b/>
                <w:sz w:val="12"/>
                <w:szCs w:val="12"/>
                <w:vertAlign w:val="superscript"/>
                <w:lang w:val="es-ES"/>
              </w:rPr>
              <w:t>/</w:t>
            </w:r>
          </w:p>
        </w:tc>
        <w:tc>
          <w:tcPr>
            <w:tcW w:w="540" w:type="dxa"/>
            <w:tcBorders>
              <w:top w:val="nil"/>
              <w:bottom w:val="nil"/>
            </w:tcBorders>
          </w:tcPr>
          <w:p w14:paraId="3AD4549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40" w:type="dxa"/>
            <w:tcBorders>
              <w:top w:val="nil"/>
              <w:bottom w:val="nil"/>
            </w:tcBorders>
          </w:tcPr>
          <w:p w14:paraId="7EBD4D7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2.4</w:t>
            </w:r>
          </w:p>
        </w:tc>
        <w:tc>
          <w:tcPr>
            <w:tcW w:w="540" w:type="dxa"/>
            <w:tcBorders>
              <w:top w:val="nil"/>
              <w:bottom w:val="nil"/>
            </w:tcBorders>
          </w:tcPr>
          <w:p w14:paraId="3F52963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3.5</w:t>
            </w:r>
          </w:p>
        </w:tc>
        <w:tc>
          <w:tcPr>
            <w:tcW w:w="540" w:type="dxa"/>
            <w:tcBorders>
              <w:top w:val="nil"/>
              <w:bottom w:val="nil"/>
            </w:tcBorders>
          </w:tcPr>
          <w:p w14:paraId="5E58B149"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5.6</w:t>
            </w:r>
          </w:p>
        </w:tc>
        <w:tc>
          <w:tcPr>
            <w:tcW w:w="540" w:type="dxa"/>
            <w:tcBorders>
              <w:top w:val="nil"/>
              <w:bottom w:val="nil"/>
            </w:tcBorders>
          </w:tcPr>
          <w:p w14:paraId="0B963569"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5.6</w:t>
            </w:r>
          </w:p>
        </w:tc>
        <w:tc>
          <w:tcPr>
            <w:tcW w:w="601" w:type="dxa"/>
            <w:tcBorders>
              <w:top w:val="nil"/>
              <w:bottom w:val="nil"/>
            </w:tcBorders>
          </w:tcPr>
          <w:p w14:paraId="1C8BA23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6.0</w:t>
            </w:r>
          </w:p>
        </w:tc>
        <w:tc>
          <w:tcPr>
            <w:tcW w:w="554" w:type="dxa"/>
            <w:tcBorders>
              <w:top w:val="nil"/>
              <w:bottom w:val="nil"/>
            </w:tcBorders>
          </w:tcPr>
          <w:p w14:paraId="33DBAE44"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10.0</w:t>
            </w:r>
          </w:p>
        </w:tc>
        <w:tc>
          <w:tcPr>
            <w:tcW w:w="567" w:type="dxa"/>
            <w:tcBorders>
              <w:top w:val="nil"/>
              <w:bottom w:val="nil"/>
            </w:tcBorders>
          </w:tcPr>
          <w:p w14:paraId="0DB931B6"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-1.0</w:t>
            </w:r>
          </w:p>
        </w:tc>
        <w:tc>
          <w:tcPr>
            <w:tcW w:w="618" w:type="dxa"/>
            <w:tcBorders>
              <w:top w:val="nil"/>
              <w:bottom w:val="nil"/>
            </w:tcBorders>
          </w:tcPr>
          <w:p w14:paraId="14B4BFC7"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1.7</w:t>
            </w:r>
          </w:p>
        </w:tc>
        <w:tc>
          <w:tcPr>
            <w:tcW w:w="540" w:type="dxa"/>
            <w:tcBorders>
              <w:top w:val="nil"/>
              <w:bottom w:val="nil"/>
            </w:tcBorders>
          </w:tcPr>
          <w:p w14:paraId="752DF2A8" w14:textId="77777777" w:rsidR="009B1CF2" w:rsidRPr="00A808BF" w:rsidRDefault="009B1CF2" w:rsidP="00A808BF">
            <w:pPr>
              <w:ind w:left="-57" w:right="57"/>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7EC30E2A" w14:textId="77777777" w:rsidR="009B1CF2" w:rsidRPr="00A808BF" w:rsidRDefault="009B1CF2" w:rsidP="00A808BF">
            <w:pPr>
              <w:ind w:left="-57" w:right="57"/>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1C035A45"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r>
      <w:tr w:rsidR="009B1CF2" w:rsidRPr="009B1CF2" w14:paraId="5354F8A2" w14:textId="77777777" w:rsidTr="00A808BF">
        <w:trPr>
          <w:jc w:val="center"/>
        </w:trPr>
        <w:tc>
          <w:tcPr>
            <w:tcW w:w="2610" w:type="dxa"/>
            <w:tcBorders>
              <w:top w:val="nil"/>
              <w:bottom w:val="nil"/>
            </w:tcBorders>
          </w:tcPr>
          <w:p w14:paraId="7E155AE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Arabia Saudita</w:t>
            </w:r>
          </w:p>
        </w:tc>
        <w:tc>
          <w:tcPr>
            <w:tcW w:w="540" w:type="dxa"/>
            <w:tcBorders>
              <w:top w:val="nil"/>
              <w:bottom w:val="nil"/>
            </w:tcBorders>
          </w:tcPr>
          <w:p w14:paraId="144CA95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bottom w:val="nil"/>
            </w:tcBorders>
          </w:tcPr>
          <w:p w14:paraId="5C08E6E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5C8E777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bottom w:val="nil"/>
            </w:tcBorders>
          </w:tcPr>
          <w:p w14:paraId="608A0ABD"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2.7</w:t>
            </w:r>
          </w:p>
        </w:tc>
        <w:tc>
          <w:tcPr>
            <w:tcW w:w="540" w:type="dxa"/>
            <w:tcBorders>
              <w:top w:val="nil"/>
              <w:bottom w:val="nil"/>
            </w:tcBorders>
          </w:tcPr>
          <w:p w14:paraId="2ACACDD4"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2.0</w:t>
            </w:r>
          </w:p>
        </w:tc>
        <w:tc>
          <w:tcPr>
            <w:tcW w:w="601" w:type="dxa"/>
            <w:tcBorders>
              <w:top w:val="nil"/>
              <w:bottom w:val="nil"/>
            </w:tcBorders>
          </w:tcPr>
          <w:p w14:paraId="4146F75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54" w:type="dxa"/>
            <w:tcBorders>
              <w:top w:val="nil"/>
              <w:bottom w:val="nil"/>
            </w:tcBorders>
          </w:tcPr>
          <w:p w14:paraId="5A8B765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14.1</w:t>
            </w:r>
          </w:p>
        </w:tc>
        <w:tc>
          <w:tcPr>
            <w:tcW w:w="567" w:type="dxa"/>
            <w:tcBorders>
              <w:top w:val="nil"/>
              <w:bottom w:val="nil"/>
            </w:tcBorders>
          </w:tcPr>
          <w:p w14:paraId="3348724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-1.0</w:t>
            </w:r>
          </w:p>
        </w:tc>
        <w:tc>
          <w:tcPr>
            <w:tcW w:w="618" w:type="dxa"/>
            <w:tcBorders>
              <w:top w:val="nil"/>
              <w:bottom w:val="nil"/>
            </w:tcBorders>
          </w:tcPr>
          <w:p w14:paraId="7D54D2E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3.7</w:t>
            </w:r>
          </w:p>
        </w:tc>
        <w:tc>
          <w:tcPr>
            <w:tcW w:w="540" w:type="dxa"/>
            <w:tcBorders>
              <w:top w:val="nil"/>
              <w:bottom w:val="nil"/>
            </w:tcBorders>
          </w:tcPr>
          <w:p w14:paraId="3A2AC759"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5.5</w:t>
            </w:r>
          </w:p>
        </w:tc>
        <w:tc>
          <w:tcPr>
            <w:tcW w:w="540" w:type="dxa"/>
            <w:tcBorders>
              <w:top w:val="nil"/>
              <w:bottom w:val="nil"/>
            </w:tcBorders>
          </w:tcPr>
          <w:p w14:paraId="162E716F"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0EC2697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5278200E" w14:textId="77777777" w:rsidTr="00A808BF">
        <w:trPr>
          <w:jc w:val="center"/>
        </w:trPr>
        <w:tc>
          <w:tcPr>
            <w:tcW w:w="2610" w:type="dxa"/>
            <w:tcBorders>
              <w:top w:val="nil"/>
              <w:bottom w:val="nil"/>
            </w:tcBorders>
          </w:tcPr>
          <w:p w14:paraId="7DD34919"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Irán</w:t>
            </w:r>
          </w:p>
        </w:tc>
        <w:tc>
          <w:tcPr>
            <w:tcW w:w="540" w:type="dxa"/>
            <w:tcBorders>
              <w:top w:val="nil"/>
              <w:bottom w:val="nil"/>
            </w:tcBorders>
          </w:tcPr>
          <w:p w14:paraId="2DA833A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28D252F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0.6</w:t>
            </w:r>
          </w:p>
        </w:tc>
        <w:tc>
          <w:tcPr>
            <w:tcW w:w="540" w:type="dxa"/>
            <w:tcBorders>
              <w:top w:val="nil"/>
              <w:bottom w:val="nil"/>
            </w:tcBorders>
          </w:tcPr>
          <w:p w14:paraId="27C61B5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40" w:type="dxa"/>
            <w:tcBorders>
              <w:top w:val="nil"/>
              <w:bottom w:val="nil"/>
            </w:tcBorders>
          </w:tcPr>
          <w:p w14:paraId="761375E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15.5</w:t>
            </w:r>
          </w:p>
        </w:tc>
        <w:tc>
          <w:tcPr>
            <w:tcW w:w="540" w:type="dxa"/>
            <w:tcBorders>
              <w:top w:val="nil"/>
              <w:bottom w:val="nil"/>
            </w:tcBorders>
          </w:tcPr>
          <w:p w14:paraId="639EF994"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16.5</w:t>
            </w:r>
          </w:p>
        </w:tc>
        <w:tc>
          <w:tcPr>
            <w:tcW w:w="601" w:type="dxa"/>
            <w:tcBorders>
              <w:top w:val="nil"/>
              <w:bottom w:val="nil"/>
            </w:tcBorders>
          </w:tcPr>
          <w:p w14:paraId="64D99AE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17.0</w:t>
            </w:r>
          </w:p>
        </w:tc>
        <w:tc>
          <w:tcPr>
            <w:tcW w:w="554" w:type="dxa"/>
            <w:tcBorders>
              <w:top w:val="nil"/>
              <w:bottom w:val="nil"/>
            </w:tcBorders>
          </w:tcPr>
          <w:p w14:paraId="0B1763BD"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3.8</w:t>
            </w:r>
          </w:p>
        </w:tc>
        <w:tc>
          <w:tcPr>
            <w:tcW w:w="567" w:type="dxa"/>
            <w:tcBorders>
              <w:top w:val="nil"/>
              <w:bottom w:val="nil"/>
            </w:tcBorders>
          </w:tcPr>
          <w:p w14:paraId="1B59ED6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0.8</w:t>
            </w:r>
          </w:p>
        </w:tc>
        <w:tc>
          <w:tcPr>
            <w:tcW w:w="618" w:type="dxa"/>
            <w:tcBorders>
              <w:top w:val="nil"/>
              <w:bottom w:val="nil"/>
            </w:tcBorders>
          </w:tcPr>
          <w:p w14:paraId="63F5548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1.2</w:t>
            </w:r>
          </w:p>
        </w:tc>
        <w:tc>
          <w:tcPr>
            <w:tcW w:w="540" w:type="dxa"/>
            <w:tcBorders>
              <w:top w:val="nil"/>
              <w:bottom w:val="nil"/>
            </w:tcBorders>
          </w:tcPr>
          <w:p w14:paraId="55B94750"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11.2</w:t>
            </w:r>
          </w:p>
        </w:tc>
        <w:tc>
          <w:tcPr>
            <w:tcW w:w="540" w:type="dxa"/>
            <w:tcBorders>
              <w:top w:val="nil"/>
              <w:bottom w:val="nil"/>
            </w:tcBorders>
          </w:tcPr>
          <w:p w14:paraId="3FF1BAB4"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12.3</w:t>
            </w:r>
          </w:p>
        </w:tc>
        <w:tc>
          <w:tcPr>
            <w:tcW w:w="540" w:type="dxa"/>
            <w:tcBorders>
              <w:top w:val="nil"/>
              <w:bottom w:val="nil"/>
            </w:tcBorders>
          </w:tcPr>
          <w:p w14:paraId="379461C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13.2</w:t>
            </w:r>
          </w:p>
        </w:tc>
      </w:tr>
      <w:tr w:rsidR="009B1CF2" w:rsidRPr="009B1CF2" w14:paraId="77E4CDD8" w14:textId="77777777" w:rsidTr="00A808BF">
        <w:trPr>
          <w:jc w:val="center"/>
        </w:trPr>
        <w:tc>
          <w:tcPr>
            <w:tcW w:w="2610" w:type="dxa"/>
            <w:tcBorders>
              <w:top w:val="nil"/>
              <w:bottom w:val="nil"/>
            </w:tcBorders>
          </w:tcPr>
          <w:p w14:paraId="6572903A"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Emiratos Árabes Unidos</w:t>
            </w:r>
          </w:p>
        </w:tc>
        <w:tc>
          <w:tcPr>
            <w:tcW w:w="540" w:type="dxa"/>
            <w:tcBorders>
              <w:top w:val="nil"/>
              <w:bottom w:val="nil"/>
            </w:tcBorders>
          </w:tcPr>
          <w:p w14:paraId="7713E46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bottom w:val="nil"/>
            </w:tcBorders>
          </w:tcPr>
          <w:p w14:paraId="512EFDE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12CEFB0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298033C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2.3</w:t>
            </w:r>
          </w:p>
        </w:tc>
        <w:tc>
          <w:tcPr>
            <w:tcW w:w="540" w:type="dxa"/>
            <w:tcBorders>
              <w:top w:val="nil"/>
              <w:bottom w:val="nil"/>
            </w:tcBorders>
          </w:tcPr>
          <w:p w14:paraId="364F07AD"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2.1</w:t>
            </w:r>
          </w:p>
        </w:tc>
        <w:tc>
          <w:tcPr>
            <w:tcW w:w="601" w:type="dxa"/>
            <w:tcBorders>
              <w:top w:val="nil"/>
              <w:bottom w:val="nil"/>
            </w:tcBorders>
          </w:tcPr>
          <w:p w14:paraId="10E63C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54" w:type="dxa"/>
            <w:tcBorders>
              <w:top w:val="nil"/>
              <w:bottom w:val="nil"/>
            </w:tcBorders>
          </w:tcPr>
          <w:p w14:paraId="6B99E3F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12.1</w:t>
            </w:r>
          </w:p>
        </w:tc>
        <w:tc>
          <w:tcPr>
            <w:tcW w:w="567" w:type="dxa"/>
            <w:tcBorders>
              <w:top w:val="nil"/>
              <w:bottom w:val="nil"/>
            </w:tcBorders>
          </w:tcPr>
          <w:p w14:paraId="09CC15A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5.3</w:t>
            </w:r>
          </w:p>
        </w:tc>
        <w:tc>
          <w:tcPr>
            <w:tcW w:w="618" w:type="dxa"/>
            <w:tcBorders>
              <w:top w:val="nil"/>
              <w:bottom w:val="nil"/>
            </w:tcBorders>
          </w:tcPr>
          <w:p w14:paraId="7567C96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7.2</w:t>
            </w:r>
          </w:p>
        </w:tc>
        <w:tc>
          <w:tcPr>
            <w:tcW w:w="540" w:type="dxa"/>
            <w:tcBorders>
              <w:top w:val="nil"/>
              <w:bottom w:val="nil"/>
            </w:tcBorders>
          </w:tcPr>
          <w:p w14:paraId="29A7ADBF"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20C14D22"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2B8D58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0540F7E8" w14:textId="77777777" w:rsidTr="00A808BF">
        <w:trPr>
          <w:jc w:val="center"/>
        </w:trPr>
        <w:tc>
          <w:tcPr>
            <w:tcW w:w="2610" w:type="dxa"/>
            <w:tcBorders>
              <w:top w:val="nil"/>
              <w:bottom w:val="nil"/>
            </w:tcBorders>
          </w:tcPr>
          <w:p w14:paraId="1FB9D8F2"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Argelia</w:t>
            </w:r>
          </w:p>
        </w:tc>
        <w:tc>
          <w:tcPr>
            <w:tcW w:w="540" w:type="dxa"/>
            <w:tcBorders>
              <w:top w:val="nil"/>
              <w:bottom w:val="nil"/>
            </w:tcBorders>
          </w:tcPr>
          <w:p w14:paraId="37C490F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bottom w:val="nil"/>
            </w:tcBorders>
          </w:tcPr>
          <w:p w14:paraId="0AF9E71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2.6</w:t>
            </w:r>
          </w:p>
        </w:tc>
        <w:tc>
          <w:tcPr>
            <w:tcW w:w="540" w:type="dxa"/>
            <w:tcBorders>
              <w:top w:val="nil"/>
              <w:bottom w:val="nil"/>
            </w:tcBorders>
          </w:tcPr>
          <w:p w14:paraId="3022256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3.9</w:t>
            </w:r>
          </w:p>
        </w:tc>
        <w:tc>
          <w:tcPr>
            <w:tcW w:w="540" w:type="dxa"/>
            <w:tcBorders>
              <w:top w:val="nil"/>
              <w:bottom w:val="nil"/>
            </w:tcBorders>
          </w:tcPr>
          <w:p w14:paraId="2901E365"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2.9</w:t>
            </w:r>
          </w:p>
        </w:tc>
        <w:tc>
          <w:tcPr>
            <w:tcW w:w="540" w:type="dxa"/>
            <w:tcBorders>
              <w:top w:val="nil"/>
              <w:bottom w:val="nil"/>
            </w:tcBorders>
          </w:tcPr>
          <w:p w14:paraId="487D60A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4.0</w:t>
            </w:r>
          </w:p>
        </w:tc>
        <w:tc>
          <w:tcPr>
            <w:tcW w:w="601" w:type="dxa"/>
            <w:tcBorders>
              <w:top w:val="nil"/>
              <w:bottom w:val="nil"/>
            </w:tcBorders>
          </w:tcPr>
          <w:p w14:paraId="0CF19AA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54" w:type="dxa"/>
            <w:tcBorders>
              <w:top w:val="nil"/>
              <w:bottom w:val="nil"/>
            </w:tcBorders>
          </w:tcPr>
          <w:p w14:paraId="2BC76E3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-4.3</w:t>
            </w:r>
          </w:p>
        </w:tc>
        <w:tc>
          <w:tcPr>
            <w:tcW w:w="567" w:type="dxa"/>
            <w:tcBorders>
              <w:top w:val="nil"/>
              <w:bottom w:val="nil"/>
            </w:tcBorders>
          </w:tcPr>
          <w:p w14:paraId="1CDBCA2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-15.7</w:t>
            </w:r>
          </w:p>
        </w:tc>
        <w:tc>
          <w:tcPr>
            <w:tcW w:w="618" w:type="dxa"/>
            <w:tcBorders>
              <w:top w:val="nil"/>
              <w:bottom w:val="nil"/>
            </w:tcBorders>
          </w:tcPr>
          <w:p w14:paraId="36E757B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-13.2</w:t>
            </w:r>
          </w:p>
        </w:tc>
        <w:tc>
          <w:tcPr>
            <w:tcW w:w="540" w:type="dxa"/>
            <w:tcBorders>
              <w:top w:val="nil"/>
              <w:bottom w:val="nil"/>
            </w:tcBorders>
          </w:tcPr>
          <w:p w14:paraId="641DED7C"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10.6</w:t>
            </w:r>
          </w:p>
        </w:tc>
        <w:tc>
          <w:tcPr>
            <w:tcW w:w="540" w:type="dxa"/>
            <w:tcBorders>
              <w:top w:val="nil"/>
              <w:bottom w:val="nil"/>
            </w:tcBorders>
          </w:tcPr>
          <w:p w14:paraId="6B2CA99A"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11.8</w:t>
            </w:r>
          </w:p>
        </w:tc>
        <w:tc>
          <w:tcPr>
            <w:tcW w:w="540" w:type="dxa"/>
            <w:tcBorders>
              <w:top w:val="nil"/>
              <w:bottom w:val="nil"/>
            </w:tcBorders>
          </w:tcPr>
          <w:p w14:paraId="2B7366F1"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11.9</w:t>
            </w:r>
          </w:p>
        </w:tc>
      </w:tr>
      <w:tr w:rsidR="009B1CF2" w:rsidRPr="009B1CF2" w14:paraId="2F35FE46" w14:textId="77777777" w:rsidTr="00A808BF">
        <w:trPr>
          <w:jc w:val="center"/>
        </w:trPr>
        <w:tc>
          <w:tcPr>
            <w:tcW w:w="2610" w:type="dxa"/>
            <w:tcBorders>
              <w:top w:val="nil"/>
              <w:bottom w:val="nil"/>
            </w:tcBorders>
          </w:tcPr>
          <w:p w14:paraId="28733648"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Iraq</w:t>
            </w:r>
          </w:p>
        </w:tc>
        <w:tc>
          <w:tcPr>
            <w:tcW w:w="540" w:type="dxa"/>
            <w:tcBorders>
              <w:top w:val="nil"/>
              <w:bottom w:val="nil"/>
            </w:tcBorders>
          </w:tcPr>
          <w:p w14:paraId="66F6281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top w:val="nil"/>
              <w:bottom w:val="nil"/>
            </w:tcBorders>
          </w:tcPr>
          <w:p w14:paraId="0C6C120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40" w:type="dxa"/>
            <w:tcBorders>
              <w:top w:val="nil"/>
              <w:bottom w:val="nil"/>
            </w:tcBorders>
          </w:tcPr>
          <w:p w14:paraId="28FD82E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c>
          <w:tcPr>
            <w:tcW w:w="540" w:type="dxa"/>
            <w:tcBorders>
              <w:top w:val="nil"/>
              <w:bottom w:val="nil"/>
            </w:tcBorders>
          </w:tcPr>
          <w:p w14:paraId="2094576D"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2.2</w:t>
            </w:r>
          </w:p>
        </w:tc>
        <w:tc>
          <w:tcPr>
            <w:tcW w:w="540" w:type="dxa"/>
            <w:tcBorders>
              <w:top w:val="nil"/>
              <w:bottom w:val="nil"/>
            </w:tcBorders>
          </w:tcPr>
          <w:p w14:paraId="75EAB335"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3.0</w:t>
            </w:r>
          </w:p>
        </w:tc>
        <w:tc>
          <w:tcPr>
            <w:tcW w:w="601" w:type="dxa"/>
            <w:tcBorders>
              <w:top w:val="nil"/>
              <w:bottom w:val="nil"/>
            </w:tcBorders>
          </w:tcPr>
          <w:p w14:paraId="47E9E47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54" w:type="dxa"/>
            <w:tcBorders>
              <w:top w:val="nil"/>
              <w:bottom w:val="nil"/>
            </w:tcBorders>
          </w:tcPr>
          <w:p w14:paraId="72EDF4B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-3.5</w:t>
            </w:r>
          </w:p>
        </w:tc>
        <w:tc>
          <w:tcPr>
            <w:tcW w:w="567" w:type="dxa"/>
            <w:tcBorders>
              <w:top w:val="nil"/>
              <w:bottom w:val="nil"/>
            </w:tcBorders>
          </w:tcPr>
          <w:p w14:paraId="2DD190E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-9.6</w:t>
            </w:r>
          </w:p>
        </w:tc>
        <w:tc>
          <w:tcPr>
            <w:tcW w:w="618" w:type="dxa"/>
            <w:tcBorders>
              <w:top w:val="nil"/>
              <w:bottom w:val="nil"/>
            </w:tcBorders>
          </w:tcPr>
          <w:p w14:paraId="5BB1D7E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-3.6</w:t>
            </w:r>
          </w:p>
        </w:tc>
        <w:tc>
          <w:tcPr>
            <w:tcW w:w="540" w:type="dxa"/>
            <w:tcBorders>
              <w:top w:val="nil"/>
              <w:bottom w:val="nil"/>
            </w:tcBorders>
          </w:tcPr>
          <w:p w14:paraId="50B45970"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1D7F115"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444892D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55AD1D54" w14:textId="77777777" w:rsidTr="00A808BF">
        <w:trPr>
          <w:jc w:val="center"/>
        </w:trPr>
        <w:tc>
          <w:tcPr>
            <w:tcW w:w="2610" w:type="dxa"/>
            <w:tcBorders>
              <w:top w:val="nil"/>
              <w:bottom w:val="nil"/>
            </w:tcBorders>
          </w:tcPr>
          <w:p w14:paraId="456897CD"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Qatar</w:t>
            </w:r>
          </w:p>
        </w:tc>
        <w:tc>
          <w:tcPr>
            <w:tcW w:w="540" w:type="dxa"/>
            <w:tcBorders>
              <w:top w:val="nil"/>
              <w:bottom w:val="nil"/>
            </w:tcBorders>
          </w:tcPr>
          <w:p w14:paraId="58945B2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bottom w:val="nil"/>
            </w:tcBorders>
          </w:tcPr>
          <w:p w14:paraId="4E7AC70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7.1</w:t>
            </w:r>
          </w:p>
        </w:tc>
        <w:tc>
          <w:tcPr>
            <w:tcW w:w="540" w:type="dxa"/>
            <w:tcBorders>
              <w:top w:val="nil"/>
              <w:bottom w:val="nil"/>
            </w:tcBorders>
          </w:tcPr>
          <w:p w14:paraId="5732572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6.5</w:t>
            </w:r>
          </w:p>
        </w:tc>
        <w:tc>
          <w:tcPr>
            <w:tcW w:w="540" w:type="dxa"/>
            <w:tcBorders>
              <w:top w:val="nil"/>
              <w:bottom w:val="nil"/>
            </w:tcBorders>
          </w:tcPr>
          <w:p w14:paraId="41460D1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377125B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1.8</w:t>
            </w:r>
          </w:p>
        </w:tc>
        <w:tc>
          <w:tcPr>
            <w:tcW w:w="601" w:type="dxa"/>
            <w:tcBorders>
              <w:top w:val="nil"/>
              <w:bottom w:val="nil"/>
            </w:tcBorders>
          </w:tcPr>
          <w:p w14:paraId="0AC0A8B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54" w:type="dxa"/>
            <w:tcBorders>
              <w:top w:val="nil"/>
              <w:bottom w:val="nil"/>
            </w:tcBorders>
          </w:tcPr>
          <w:p w14:paraId="1C150FA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25.1</w:t>
            </w:r>
          </w:p>
        </w:tc>
        <w:tc>
          <w:tcPr>
            <w:tcW w:w="567" w:type="dxa"/>
            <w:tcBorders>
              <w:top w:val="nil"/>
              <w:bottom w:val="nil"/>
            </w:tcBorders>
          </w:tcPr>
          <w:p w14:paraId="6F075D9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8.4</w:t>
            </w:r>
          </w:p>
        </w:tc>
        <w:tc>
          <w:tcPr>
            <w:tcW w:w="618" w:type="dxa"/>
            <w:tcBorders>
              <w:top w:val="nil"/>
              <w:bottom w:val="nil"/>
            </w:tcBorders>
          </w:tcPr>
          <w:p w14:paraId="089DC8A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2827E9C4"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1E3FCD09"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10A99B0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4AEBE038" w14:textId="77777777" w:rsidTr="00A808BF">
        <w:trPr>
          <w:jc w:val="center"/>
        </w:trPr>
        <w:tc>
          <w:tcPr>
            <w:tcW w:w="2610" w:type="dxa"/>
            <w:tcBorders>
              <w:top w:val="nil"/>
              <w:bottom w:val="nil"/>
            </w:tcBorders>
          </w:tcPr>
          <w:p w14:paraId="6D4B0BC9"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Kuwait</w:t>
            </w:r>
          </w:p>
        </w:tc>
        <w:tc>
          <w:tcPr>
            <w:tcW w:w="540" w:type="dxa"/>
            <w:tcBorders>
              <w:top w:val="nil"/>
              <w:bottom w:val="nil"/>
            </w:tcBorders>
          </w:tcPr>
          <w:p w14:paraId="731009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1.3</w:t>
            </w:r>
          </w:p>
        </w:tc>
        <w:tc>
          <w:tcPr>
            <w:tcW w:w="540" w:type="dxa"/>
            <w:tcBorders>
              <w:top w:val="nil"/>
              <w:bottom w:val="nil"/>
            </w:tcBorders>
          </w:tcPr>
          <w:p w14:paraId="4959456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w:t>
            </w:r>
          </w:p>
        </w:tc>
        <w:tc>
          <w:tcPr>
            <w:tcW w:w="540" w:type="dxa"/>
            <w:tcBorders>
              <w:top w:val="nil"/>
              <w:bottom w:val="nil"/>
            </w:tcBorders>
          </w:tcPr>
          <w:p w14:paraId="00C9445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1.8</w:t>
            </w:r>
          </w:p>
        </w:tc>
        <w:tc>
          <w:tcPr>
            <w:tcW w:w="540" w:type="dxa"/>
            <w:tcBorders>
              <w:top w:val="nil"/>
              <w:bottom w:val="nil"/>
            </w:tcBorders>
          </w:tcPr>
          <w:p w14:paraId="444F53A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2.9</w:t>
            </w:r>
          </w:p>
        </w:tc>
        <w:tc>
          <w:tcPr>
            <w:tcW w:w="540" w:type="dxa"/>
            <w:tcBorders>
              <w:top w:val="nil"/>
              <w:bottom w:val="nil"/>
            </w:tcBorders>
          </w:tcPr>
          <w:p w14:paraId="32485721"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3.3</w:t>
            </w:r>
          </w:p>
        </w:tc>
        <w:tc>
          <w:tcPr>
            <w:tcW w:w="601" w:type="dxa"/>
            <w:tcBorders>
              <w:top w:val="nil"/>
              <w:bottom w:val="nil"/>
            </w:tcBorders>
          </w:tcPr>
          <w:p w14:paraId="1C4353C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54" w:type="dxa"/>
            <w:tcBorders>
              <w:top w:val="nil"/>
              <w:bottom w:val="nil"/>
            </w:tcBorders>
          </w:tcPr>
          <w:p w14:paraId="5DF2858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35.3</w:t>
            </w:r>
          </w:p>
        </w:tc>
        <w:tc>
          <w:tcPr>
            <w:tcW w:w="567" w:type="dxa"/>
            <w:tcBorders>
              <w:top w:val="nil"/>
              <w:bottom w:val="nil"/>
            </w:tcBorders>
          </w:tcPr>
          <w:p w14:paraId="3BF9BD1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15.7</w:t>
            </w:r>
          </w:p>
        </w:tc>
        <w:tc>
          <w:tcPr>
            <w:tcW w:w="618" w:type="dxa"/>
            <w:tcBorders>
              <w:top w:val="nil"/>
              <w:bottom w:val="nil"/>
            </w:tcBorders>
          </w:tcPr>
          <w:p w14:paraId="76D84A3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19.3</w:t>
            </w:r>
          </w:p>
        </w:tc>
        <w:tc>
          <w:tcPr>
            <w:tcW w:w="540" w:type="dxa"/>
            <w:tcBorders>
              <w:top w:val="nil"/>
              <w:bottom w:val="nil"/>
            </w:tcBorders>
          </w:tcPr>
          <w:p w14:paraId="62A4DE0D"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2.1</w:t>
            </w:r>
          </w:p>
        </w:tc>
        <w:tc>
          <w:tcPr>
            <w:tcW w:w="540" w:type="dxa"/>
            <w:tcBorders>
              <w:top w:val="nil"/>
              <w:bottom w:val="nil"/>
            </w:tcBorders>
          </w:tcPr>
          <w:p w14:paraId="69E7751B"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2.1</w:t>
            </w:r>
          </w:p>
        </w:tc>
        <w:tc>
          <w:tcPr>
            <w:tcW w:w="540" w:type="dxa"/>
            <w:tcBorders>
              <w:top w:val="nil"/>
              <w:bottom w:val="nil"/>
            </w:tcBorders>
          </w:tcPr>
          <w:p w14:paraId="6F848B9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2.1</w:t>
            </w:r>
          </w:p>
        </w:tc>
      </w:tr>
      <w:tr w:rsidR="009B1CF2" w:rsidRPr="009B1CF2" w14:paraId="6D8917F5" w14:textId="77777777" w:rsidTr="00A808BF">
        <w:trPr>
          <w:jc w:val="center"/>
        </w:trPr>
        <w:tc>
          <w:tcPr>
            <w:tcW w:w="2610" w:type="dxa"/>
            <w:tcBorders>
              <w:top w:val="nil"/>
              <w:bottom w:val="nil"/>
            </w:tcBorders>
          </w:tcPr>
          <w:p w14:paraId="56059F61"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Importadores de petróleo</w:t>
            </w:r>
            <w:r w:rsidRPr="00A808BF">
              <w:rPr>
                <w:rFonts w:eastAsia="Times New Roman"/>
                <w:b/>
                <w:sz w:val="12"/>
                <w:szCs w:val="12"/>
                <w:u w:val="single"/>
                <w:vertAlign w:val="superscript"/>
                <w:lang w:val="es-ES"/>
              </w:rPr>
              <w:t>5</w:t>
            </w:r>
            <w:r w:rsidRPr="00A808BF">
              <w:rPr>
                <w:rFonts w:eastAsia="Times New Roman"/>
                <w:b/>
                <w:sz w:val="12"/>
                <w:szCs w:val="12"/>
                <w:vertAlign w:val="superscript"/>
                <w:lang w:val="es-ES"/>
              </w:rPr>
              <w:t>/</w:t>
            </w:r>
          </w:p>
        </w:tc>
        <w:tc>
          <w:tcPr>
            <w:tcW w:w="540" w:type="dxa"/>
            <w:tcBorders>
              <w:top w:val="nil"/>
              <w:bottom w:val="nil"/>
            </w:tcBorders>
          </w:tcPr>
          <w:p w14:paraId="30C040A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3.0</w:t>
            </w:r>
          </w:p>
        </w:tc>
        <w:tc>
          <w:tcPr>
            <w:tcW w:w="540" w:type="dxa"/>
            <w:tcBorders>
              <w:top w:val="nil"/>
              <w:bottom w:val="nil"/>
            </w:tcBorders>
          </w:tcPr>
          <w:p w14:paraId="5A7E110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4.0</w:t>
            </w:r>
          </w:p>
        </w:tc>
        <w:tc>
          <w:tcPr>
            <w:tcW w:w="540" w:type="dxa"/>
            <w:tcBorders>
              <w:top w:val="nil"/>
              <w:bottom w:val="nil"/>
            </w:tcBorders>
          </w:tcPr>
          <w:p w14:paraId="31600DC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4.4</w:t>
            </w:r>
          </w:p>
        </w:tc>
        <w:tc>
          <w:tcPr>
            <w:tcW w:w="540" w:type="dxa"/>
            <w:tcBorders>
              <w:top w:val="nil"/>
              <w:bottom w:val="nil"/>
            </w:tcBorders>
          </w:tcPr>
          <w:p w14:paraId="4CFCD1F9"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9.2</w:t>
            </w:r>
          </w:p>
        </w:tc>
        <w:tc>
          <w:tcPr>
            <w:tcW w:w="540" w:type="dxa"/>
            <w:tcBorders>
              <w:top w:val="nil"/>
              <w:bottom w:val="nil"/>
            </w:tcBorders>
          </w:tcPr>
          <w:p w14:paraId="1A101906"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7.0</w:t>
            </w:r>
          </w:p>
        </w:tc>
        <w:tc>
          <w:tcPr>
            <w:tcW w:w="601" w:type="dxa"/>
            <w:tcBorders>
              <w:top w:val="nil"/>
              <w:bottom w:val="nil"/>
            </w:tcBorders>
          </w:tcPr>
          <w:p w14:paraId="769CAD4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6.6</w:t>
            </w:r>
          </w:p>
        </w:tc>
        <w:tc>
          <w:tcPr>
            <w:tcW w:w="554" w:type="dxa"/>
            <w:tcBorders>
              <w:top w:val="nil"/>
              <w:bottom w:val="nil"/>
            </w:tcBorders>
          </w:tcPr>
          <w:p w14:paraId="73B17707"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-4.0</w:t>
            </w:r>
          </w:p>
        </w:tc>
        <w:tc>
          <w:tcPr>
            <w:tcW w:w="567" w:type="dxa"/>
            <w:tcBorders>
              <w:top w:val="nil"/>
              <w:bottom w:val="nil"/>
            </w:tcBorders>
          </w:tcPr>
          <w:p w14:paraId="7A3044BF"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-4.2</w:t>
            </w:r>
          </w:p>
        </w:tc>
        <w:tc>
          <w:tcPr>
            <w:tcW w:w="618" w:type="dxa"/>
            <w:tcBorders>
              <w:top w:val="nil"/>
              <w:bottom w:val="nil"/>
            </w:tcBorders>
          </w:tcPr>
          <w:p w14:paraId="28CA414F"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-4.5</w:t>
            </w:r>
          </w:p>
        </w:tc>
        <w:tc>
          <w:tcPr>
            <w:tcW w:w="540" w:type="dxa"/>
            <w:tcBorders>
              <w:top w:val="nil"/>
              <w:bottom w:val="nil"/>
            </w:tcBorders>
          </w:tcPr>
          <w:p w14:paraId="72383928" w14:textId="77777777" w:rsidR="009B1CF2" w:rsidRPr="00A808BF" w:rsidRDefault="009B1CF2" w:rsidP="00A808BF">
            <w:pPr>
              <w:ind w:left="-57" w:right="57"/>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71F59BFB" w14:textId="77777777" w:rsidR="009B1CF2" w:rsidRPr="00A808BF" w:rsidRDefault="009B1CF2" w:rsidP="00A808BF">
            <w:pPr>
              <w:ind w:left="-57" w:right="57"/>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766DCE1D"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r>
      <w:tr w:rsidR="009B1CF2" w:rsidRPr="009B1CF2" w14:paraId="39AB367E" w14:textId="77777777" w:rsidTr="00A808BF">
        <w:trPr>
          <w:jc w:val="center"/>
        </w:trPr>
        <w:tc>
          <w:tcPr>
            <w:tcW w:w="2610" w:type="dxa"/>
            <w:tcBorders>
              <w:top w:val="nil"/>
              <w:bottom w:val="nil"/>
            </w:tcBorders>
          </w:tcPr>
          <w:p w14:paraId="3F6901B9"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Egipto</w:t>
            </w:r>
          </w:p>
        </w:tc>
        <w:tc>
          <w:tcPr>
            <w:tcW w:w="540" w:type="dxa"/>
            <w:tcBorders>
              <w:top w:val="nil"/>
              <w:bottom w:val="nil"/>
            </w:tcBorders>
          </w:tcPr>
          <w:p w14:paraId="3A73E97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bottom w:val="nil"/>
            </w:tcBorders>
          </w:tcPr>
          <w:p w14:paraId="0BCFD9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4.0</w:t>
            </w:r>
          </w:p>
        </w:tc>
        <w:tc>
          <w:tcPr>
            <w:tcW w:w="540" w:type="dxa"/>
            <w:tcBorders>
              <w:top w:val="nil"/>
              <w:bottom w:val="nil"/>
            </w:tcBorders>
          </w:tcPr>
          <w:p w14:paraId="3FD47BE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40" w:type="dxa"/>
            <w:tcBorders>
              <w:top w:val="nil"/>
              <w:bottom w:val="nil"/>
            </w:tcBorders>
          </w:tcPr>
          <w:p w14:paraId="55A2B9FD"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10.1</w:t>
            </w:r>
          </w:p>
        </w:tc>
        <w:tc>
          <w:tcPr>
            <w:tcW w:w="540" w:type="dxa"/>
            <w:tcBorders>
              <w:top w:val="nil"/>
              <w:bottom w:val="nil"/>
            </w:tcBorders>
          </w:tcPr>
          <w:p w14:paraId="5EC6140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10.3</w:t>
            </w:r>
          </w:p>
        </w:tc>
        <w:tc>
          <w:tcPr>
            <w:tcW w:w="601" w:type="dxa"/>
            <w:tcBorders>
              <w:top w:val="nil"/>
              <w:bottom w:val="nil"/>
            </w:tcBorders>
          </w:tcPr>
          <w:p w14:paraId="6FFB005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10.5</w:t>
            </w:r>
          </w:p>
        </w:tc>
        <w:tc>
          <w:tcPr>
            <w:tcW w:w="554" w:type="dxa"/>
            <w:tcBorders>
              <w:top w:val="nil"/>
              <w:bottom w:val="nil"/>
            </w:tcBorders>
          </w:tcPr>
          <w:p w14:paraId="0B492BD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-0.8</w:t>
            </w:r>
          </w:p>
        </w:tc>
        <w:tc>
          <w:tcPr>
            <w:tcW w:w="567" w:type="dxa"/>
            <w:tcBorders>
              <w:top w:val="nil"/>
              <w:bottom w:val="nil"/>
            </w:tcBorders>
          </w:tcPr>
          <w:p w14:paraId="1123213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-3.3</w:t>
            </w:r>
          </w:p>
        </w:tc>
        <w:tc>
          <w:tcPr>
            <w:tcW w:w="618" w:type="dxa"/>
            <w:tcBorders>
              <w:top w:val="nil"/>
              <w:bottom w:val="nil"/>
            </w:tcBorders>
          </w:tcPr>
          <w:p w14:paraId="0BBEBDA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-4.3</w:t>
            </w:r>
          </w:p>
        </w:tc>
        <w:tc>
          <w:tcPr>
            <w:tcW w:w="540" w:type="dxa"/>
            <w:tcBorders>
              <w:top w:val="nil"/>
              <w:bottom w:val="nil"/>
            </w:tcBorders>
          </w:tcPr>
          <w:p w14:paraId="2F7DCA97"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13.4</w:t>
            </w:r>
          </w:p>
        </w:tc>
        <w:tc>
          <w:tcPr>
            <w:tcW w:w="540" w:type="dxa"/>
            <w:tcBorders>
              <w:top w:val="nil"/>
              <w:bottom w:val="nil"/>
            </w:tcBorders>
          </w:tcPr>
          <w:p w14:paraId="07D1DB6D"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13.1</w:t>
            </w:r>
          </w:p>
        </w:tc>
        <w:tc>
          <w:tcPr>
            <w:tcW w:w="540" w:type="dxa"/>
            <w:tcBorders>
              <w:top w:val="nil"/>
              <w:bottom w:val="nil"/>
            </w:tcBorders>
          </w:tcPr>
          <w:p w14:paraId="18DB8C8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12.5</w:t>
            </w:r>
          </w:p>
        </w:tc>
      </w:tr>
      <w:tr w:rsidR="009B1CF2" w:rsidRPr="009B1CF2" w14:paraId="33EB3A02" w14:textId="77777777" w:rsidTr="00A808BF">
        <w:trPr>
          <w:jc w:val="center"/>
        </w:trPr>
        <w:tc>
          <w:tcPr>
            <w:tcW w:w="2610" w:type="dxa"/>
            <w:tcBorders>
              <w:top w:val="nil"/>
              <w:bottom w:val="nil"/>
            </w:tcBorders>
          </w:tcPr>
          <w:p w14:paraId="785647A0"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Pakistán</w:t>
            </w:r>
          </w:p>
        </w:tc>
        <w:tc>
          <w:tcPr>
            <w:tcW w:w="540" w:type="dxa"/>
            <w:tcBorders>
              <w:top w:val="nil"/>
              <w:bottom w:val="nil"/>
            </w:tcBorders>
          </w:tcPr>
          <w:p w14:paraId="2106CCB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bottom w:val="nil"/>
            </w:tcBorders>
          </w:tcPr>
          <w:p w14:paraId="1CE98C8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4.3</w:t>
            </w:r>
          </w:p>
        </w:tc>
        <w:tc>
          <w:tcPr>
            <w:tcW w:w="540" w:type="dxa"/>
            <w:tcBorders>
              <w:top w:val="nil"/>
              <w:bottom w:val="nil"/>
            </w:tcBorders>
          </w:tcPr>
          <w:p w14:paraId="46C132B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bottom w:val="nil"/>
            </w:tcBorders>
          </w:tcPr>
          <w:p w14:paraId="7CC48E1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8.6</w:t>
            </w:r>
          </w:p>
        </w:tc>
        <w:tc>
          <w:tcPr>
            <w:tcW w:w="540" w:type="dxa"/>
            <w:tcBorders>
              <w:top w:val="nil"/>
              <w:bottom w:val="nil"/>
            </w:tcBorders>
          </w:tcPr>
          <w:p w14:paraId="1B8C1E3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4.7</w:t>
            </w:r>
          </w:p>
        </w:tc>
        <w:tc>
          <w:tcPr>
            <w:tcW w:w="601" w:type="dxa"/>
            <w:tcBorders>
              <w:top w:val="nil"/>
              <w:bottom w:val="nil"/>
            </w:tcBorders>
          </w:tcPr>
          <w:p w14:paraId="696FE23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54" w:type="dxa"/>
            <w:tcBorders>
              <w:top w:val="nil"/>
              <w:bottom w:val="nil"/>
            </w:tcBorders>
          </w:tcPr>
          <w:p w14:paraId="0447628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-1.2</w:t>
            </w:r>
          </w:p>
        </w:tc>
        <w:tc>
          <w:tcPr>
            <w:tcW w:w="567" w:type="dxa"/>
            <w:tcBorders>
              <w:top w:val="nil"/>
              <w:bottom w:val="nil"/>
            </w:tcBorders>
          </w:tcPr>
          <w:p w14:paraId="419CA8F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-1.3</w:t>
            </w:r>
          </w:p>
        </w:tc>
        <w:tc>
          <w:tcPr>
            <w:tcW w:w="618" w:type="dxa"/>
            <w:tcBorders>
              <w:top w:val="nil"/>
              <w:bottom w:val="nil"/>
            </w:tcBorders>
          </w:tcPr>
          <w:p w14:paraId="320BF61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-1.4</w:t>
            </w:r>
          </w:p>
        </w:tc>
        <w:tc>
          <w:tcPr>
            <w:tcW w:w="540" w:type="dxa"/>
            <w:tcBorders>
              <w:top w:val="nil"/>
              <w:bottom w:val="nil"/>
            </w:tcBorders>
          </w:tcPr>
          <w:p w14:paraId="0FEC6D5B"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6.7</w:t>
            </w:r>
          </w:p>
        </w:tc>
        <w:tc>
          <w:tcPr>
            <w:tcW w:w="540" w:type="dxa"/>
            <w:tcBorders>
              <w:top w:val="nil"/>
              <w:bottom w:val="nil"/>
            </w:tcBorders>
          </w:tcPr>
          <w:p w14:paraId="7C2BFAD8"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6.5</w:t>
            </w:r>
          </w:p>
        </w:tc>
        <w:tc>
          <w:tcPr>
            <w:tcW w:w="540" w:type="dxa"/>
            <w:tcBorders>
              <w:top w:val="nil"/>
              <w:bottom w:val="nil"/>
            </w:tcBorders>
          </w:tcPr>
          <w:p w14:paraId="3E4338E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6.1</w:t>
            </w:r>
          </w:p>
        </w:tc>
      </w:tr>
      <w:tr w:rsidR="009B1CF2" w:rsidRPr="009B1CF2" w14:paraId="3568F229" w14:textId="77777777" w:rsidTr="00A808BF">
        <w:trPr>
          <w:jc w:val="center"/>
        </w:trPr>
        <w:tc>
          <w:tcPr>
            <w:tcW w:w="2610" w:type="dxa"/>
            <w:tcBorders>
              <w:top w:val="nil"/>
              <w:bottom w:val="nil"/>
            </w:tcBorders>
          </w:tcPr>
          <w:p w14:paraId="621D1FC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Marruecos</w:t>
            </w:r>
          </w:p>
        </w:tc>
        <w:tc>
          <w:tcPr>
            <w:tcW w:w="540" w:type="dxa"/>
            <w:tcBorders>
              <w:top w:val="nil"/>
              <w:bottom w:val="nil"/>
            </w:tcBorders>
          </w:tcPr>
          <w:p w14:paraId="12586F2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2.9</w:t>
            </w:r>
          </w:p>
        </w:tc>
        <w:tc>
          <w:tcPr>
            <w:tcW w:w="540" w:type="dxa"/>
            <w:tcBorders>
              <w:top w:val="nil"/>
              <w:bottom w:val="nil"/>
            </w:tcBorders>
          </w:tcPr>
          <w:p w14:paraId="65AD19E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40" w:type="dxa"/>
            <w:tcBorders>
              <w:top w:val="nil"/>
              <w:bottom w:val="nil"/>
            </w:tcBorders>
          </w:tcPr>
          <w:p w14:paraId="3CC7EB5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5C9B5CF0"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0.4</w:t>
            </w:r>
          </w:p>
        </w:tc>
        <w:tc>
          <w:tcPr>
            <w:tcW w:w="540" w:type="dxa"/>
            <w:tcBorders>
              <w:top w:val="nil"/>
              <w:bottom w:val="nil"/>
            </w:tcBorders>
          </w:tcPr>
          <w:p w14:paraId="4F494D3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1.5</w:t>
            </w:r>
          </w:p>
        </w:tc>
        <w:tc>
          <w:tcPr>
            <w:tcW w:w="601" w:type="dxa"/>
            <w:tcBorders>
              <w:top w:val="nil"/>
              <w:bottom w:val="nil"/>
            </w:tcBorders>
          </w:tcPr>
          <w:p w14:paraId="4A23EB4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54" w:type="dxa"/>
            <w:tcBorders>
              <w:top w:val="nil"/>
              <w:bottom w:val="nil"/>
            </w:tcBorders>
          </w:tcPr>
          <w:p w14:paraId="5F05FAC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-5.8</w:t>
            </w:r>
          </w:p>
        </w:tc>
        <w:tc>
          <w:tcPr>
            <w:tcW w:w="567" w:type="dxa"/>
            <w:tcBorders>
              <w:top w:val="nil"/>
              <w:bottom w:val="nil"/>
            </w:tcBorders>
          </w:tcPr>
          <w:p w14:paraId="0371908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-3.4</w:t>
            </w:r>
          </w:p>
        </w:tc>
        <w:tc>
          <w:tcPr>
            <w:tcW w:w="618" w:type="dxa"/>
            <w:tcBorders>
              <w:top w:val="nil"/>
              <w:bottom w:val="nil"/>
            </w:tcBorders>
          </w:tcPr>
          <w:p w14:paraId="36C2AA1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bottom w:val="nil"/>
            </w:tcBorders>
          </w:tcPr>
          <w:p w14:paraId="65050C46" w14:textId="77777777" w:rsidR="009B1CF2" w:rsidRPr="00A808BF" w:rsidRDefault="009B1CF2" w:rsidP="00BA5240">
            <w:pPr>
              <w:ind w:left="-57" w:right="47"/>
              <w:jc w:val="right"/>
              <w:rPr>
                <w:rFonts w:eastAsia="Times New Roman"/>
                <w:sz w:val="12"/>
                <w:szCs w:val="12"/>
                <w:lang w:val="es-ES"/>
              </w:rPr>
            </w:pPr>
            <w:r w:rsidRPr="00A808BF">
              <w:rPr>
                <w:rFonts w:eastAsia="Times New Roman"/>
                <w:sz w:val="12"/>
                <w:szCs w:val="12"/>
                <w:lang w:val="es-ES"/>
              </w:rPr>
              <w:t>9.1</w:t>
            </w:r>
          </w:p>
        </w:tc>
        <w:tc>
          <w:tcPr>
            <w:tcW w:w="540" w:type="dxa"/>
            <w:tcBorders>
              <w:top w:val="nil"/>
              <w:bottom w:val="nil"/>
            </w:tcBorders>
          </w:tcPr>
          <w:p w14:paraId="0DB4CF4C"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9.0</w:t>
            </w:r>
          </w:p>
        </w:tc>
        <w:tc>
          <w:tcPr>
            <w:tcW w:w="540" w:type="dxa"/>
            <w:tcBorders>
              <w:top w:val="nil"/>
              <w:bottom w:val="nil"/>
            </w:tcBorders>
          </w:tcPr>
          <w:p w14:paraId="6C813F5E"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8.9</w:t>
            </w:r>
          </w:p>
        </w:tc>
      </w:tr>
      <w:tr w:rsidR="009B1CF2" w:rsidRPr="009B1CF2" w14:paraId="17AD50A2" w14:textId="77777777" w:rsidTr="00A808BF">
        <w:trPr>
          <w:jc w:val="center"/>
        </w:trPr>
        <w:tc>
          <w:tcPr>
            <w:tcW w:w="2610" w:type="dxa"/>
            <w:tcBorders>
              <w:top w:val="nil"/>
              <w:bottom w:val="nil"/>
            </w:tcBorders>
          </w:tcPr>
          <w:p w14:paraId="161ECFD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Sudán</w:t>
            </w:r>
          </w:p>
        </w:tc>
        <w:tc>
          <w:tcPr>
            <w:tcW w:w="540" w:type="dxa"/>
            <w:tcBorders>
              <w:top w:val="nil"/>
              <w:bottom w:val="nil"/>
            </w:tcBorders>
          </w:tcPr>
          <w:p w14:paraId="3718F0E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bottom w:val="nil"/>
            </w:tcBorders>
          </w:tcPr>
          <w:p w14:paraId="52DEC0C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bottom w:val="nil"/>
            </w:tcBorders>
          </w:tcPr>
          <w:p w14:paraId="4696A3F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3.9</w:t>
            </w:r>
          </w:p>
        </w:tc>
        <w:tc>
          <w:tcPr>
            <w:tcW w:w="540" w:type="dxa"/>
            <w:tcBorders>
              <w:top w:val="nil"/>
              <w:bottom w:val="nil"/>
            </w:tcBorders>
          </w:tcPr>
          <w:p w14:paraId="1C1CA5AE"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36.9</w:t>
            </w:r>
          </w:p>
        </w:tc>
        <w:tc>
          <w:tcPr>
            <w:tcW w:w="540" w:type="dxa"/>
            <w:tcBorders>
              <w:top w:val="nil"/>
              <w:bottom w:val="nil"/>
            </w:tcBorders>
          </w:tcPr>
          <w:p w14:paraId="120CB61E"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19.0</w:t>
            </w:r>
          </w:p>
        </w:tc>
        <w:tc>
          <w:tcPr>
            <w:tcW w:w="601" w:type="dxa"/>
            <w:tcBorders>
              <w:top w:val="nil"/>
              <w:bottom w:val="nil"/>
            </w:tcBorders>
          </w:tcPr>
          <w:p w14:paraId="0CB34F5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10.5</w:t>
            </w:r>
          </w:p>
        </w:tc>
        <w:tc>
          <w:tcPr>
            <w:tcW w:w="554" w:type="dxa"/>
            <w:tcBorders>
              <w:top w:val="nil"/>
              <w:bottom w:val="nil"/>
            </w:tcBorders>
          </w:tcPr>
          <w:p w14:paraId="55F7065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-5.2</w:t>
            </w:r>
          </w:p>
        </w:tc>
        <w:tc>
          <w:tcPr>
            <w:tcW w:w="567" w:type="dxa"/>
            <w:tcBorders>
              <w:top w:val="nil"/>
              <w:bottom w:val="nil"/>
            </w:tcBorders>
          </w:tcPr>
          <w:p w14:paraId="00BBBDC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-4.2</w:t>
            </w:r>
          </w:p>
        </w:tc>
        <w:tc>
          <w:tcPr>
            <w:tcW w:w="618" w:type="dxa"/>
            <w:tcBorders>
              <w:top w:val="nil"/>
              <w:bottom w:val="nil"/>
            </w:tcBorders>
          </w:tcPr>
          <w:p w14:paraId="3D6C6AA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-3.9</w:t>
            </w:r>
          </w:p>
        </w:tc>
        <w:tc>
          <w:tcPr>
            <w:tcW w:w="540" w:type="dxa"/>
            <w:tcBorders>
              <w:top w:val="nil"/>
              <w:bottom w:val="nil"/>
            </w:tcBorders>
          </w:tcPr>
          <w:p w14:paraId="0343C5E9"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13.6</w:t>
            </w:r>
          </w:p>
        </w:tc>
        <w:tc>
          <w:tcPr>
            <w:tcW w:w="540" w:type="dxa"/>
            <w:tcBorders>
              <w:top w:val="nil"/>
              <w:bottom w:val="nil"/>
            </w:tcBorders>
          </w:tcPr>
          <w:p w14:paraId="5A0C40A7"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13.3</w:t>
            </w:r>
          </w:p>
        </w:tc>
        <w:tc>
          <w:tcPr>
            <w:tcW w:w="540" w:type="dxa"/>
            <w:tcBorders>
              <w:top w:val="nil"/>
              <w:bottom w:val="nil"/>
            </w:tcBorders>
          </w:tcPr>
          <w:p w14:paraId="23192BAD"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13.0</w:t>
            </w:r>
          </w:p>
        </w:tc>
      </w:tr>
      <w:tr w:rsidR="009B1CF2" w:rsidRPr="009B1CF2" w14:paraId="65888E94" w14:textId="77777777" w:rsidTr="00A808BF">
        <w:trPr>
          <w:jc w:val="center"/>
        </w:trPr>
        <w:tc>
          <w:tcPr>
            <w:tcW w:w="2610" w:type="dxa"/>
            <w:tcBorders>
              <w:top w:val="nil"/>
              <w:bottom w:val="nil"/>
            </w:tcBorders>
          </w:tcPr>
          <w:p w14:paraId="6EFB26F3"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Túnez</w:t>
            </w:r>
          </w:p>
        </w:tc>
        <w:tc>
          <w:tcPr>
            <w:tcW w:w="540" w:type="dxa"/>
            <w:tcBorders>
              <w:top w:val="nil"/>
              <w:bottom w:val="nil"/>
            </w:tcBorders>
          </w:tcPr>
          <w:p w14:paraId="341218C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bottom w:val="nil"/>
            </w:tcBorders>
          </w:tcPr>
          <w:p w14:paraId="354DAF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0041BCB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3.8</w:t>
            </w:r>
          </w:p>
        </w:tc>
        <w:tc>
          <w:tcPr>
            <w:tcW w:w="540" w:type="dxa"/>
            <w:tcBorders>
              <w:top w:val="nil"/>
              <w:bottom w:val="nil"/>
            </w:tcBorders>
          </w:tcPr>
          <w:p w14:paraId="74F0E83B"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4.9</w:t>
            </w:r>
          </w:p>
        </w:tc>
        <w:tc>
          <w:tcPr>
            <w:tcW w:w="540" w:type="dxa"/>
            <w:tcBorders>
              <w:top w:val="nil"/>
              <w:bottom w:val="nil"/>
            </w:tcBorders>
          </w:tcPr>
          <w:p w14:paraId="590A0B0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5.0</w:t>
            </w:r>
          </w:p>
        </w:tc>
        <w:tc>
          <w:tcPr>
            <w:tcW w:w="601" w:type="dxa"/>
            <w:tcBorders>
              <w:top w:val="nil"/>
              <w:bottom w:val="nil"/>
            </w:tcBorders>
          </w:tcPr>
          <w:p w14:paraId="715613D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4.1</w:t>
            </w:r>
          </w:p>
        </w:tc>
        <w:tc>
          <w:tcPr>
            <w:tcW w:w="554" w:type="dxa"/>
            <w:tcBorders>
              <w:top w:val="nil"/>
              <w:bottom w:val="nil"/>
            </w:tcBorders>
          </w:tcPr>
          <w:p w14:paraId="0E43E21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-8.9</w:t>
            </w:r>
          </w:p>
        </w:tc>
        <w:tc>
          <w:tcPr>
            <w:tcW w:w="567" w:type="dxa"/>
            <w:tcBorders>
              <w:top w:val="nil"/>
              <w:bottom w:val="nil"/>
            </w:tcBorders>
          </w:tcPr>
          <w:p w14:paraId="5D45752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-6.4</w:t>
            </w:r>
          </w:p>
        </w:tc>
        <w:tc>
          <w:tcPr>
            <w:tcW w:w="618" w:type="dxa"/>
            <w:tcBorders>
              <w:top w:val="nil"/>
              <w:bottom w:val="nil"/>
            </w:tcBorders>
          </w:tcPr>
          <w:p w14:paraId="4CAD43F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-5.2</w:t>
            </w:r>
          </w:p>
        </w:tc>
        <w:tc>
          <w:tcPr>
            <w:tcW w:w="540" w:type="dxa"/>
            <w:tcBorders>
              <w:top w:val="nil"/>
              <w:bottom w:val="nil"/>
            </w:tcBorders>
          </w:tcPr>
          <w:p w14:paraId="2E156E44"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15.3</w:t>
            </w:r>
          </w:p>
        </w:tc>
        <w:tc>
          <w:tcPr>
            <w:tcW w:w="540" w:type="dxa"/>
            <w:tcBorders>
              <w:top w:val="nil"/>
              <w:bottom w:val="nil"/>
            </w:tcBorders>
          </w:tcPr>
          <w:p w14:paraId="0733F322"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15.0</w:t>
            </w:r>
          </w:p>
        </w:tc>
        <w:tc>
          <w:tcPr>
            <w:tcW w:w="540" w:type="dxa"/>
            <w:tcBorders>
              <w:top w:val="nil"/>
              <w:bottom w:val="nil"/>
            </w:tcBorders>
          </w:tcPr>
          <w:p w14:paraId="6F031D51"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14.0</w:t>
            </w:r>
          </w:p>
        </w:tc>
      </w:tr>
      <w:tr w:rsidR="009B1CF2" w:rsidRPr="009B1CF2" w14:paraId="7590557F" w14:textId="77777777" w:rsidTr="00A808BF">
        <w:trPr>
          <w:jc w:val="center"/>
        </w:trPr>
        <w:tc>
          <w:tcPr>
            <w:tcW w:w="2610" w:type="dxa"/>
            <w:tcBorders>
              <w:top w:val="nil"/>
              <w:bottom w:val="nil"/>
            </w:tcBorders>
          </w:tcPr>
          <w:p w14:paraId="42D2C22B"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Líbano</w:t>
            </w:r>
          </w:p>
        </w:tc>
        <w:tc>
          <w:tcPr>
            <w:tcW w:w="540" w:type="dxa"/>
            <w:tcBorders>
              <w:top w:val="nil"/>
              <w:bottom w:val="nil"/>
            </w:tcBorders>
          </w:tcPr>
          <w:p w14:paraId="2A6FD5D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1F6C95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bottom w:val="nil"/>
            </w:tcBorders>
          </w:tcPr>
          <w:p w14:paraId="23A54A9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40" w:type="dxa"/>
            <w:tcBorders>
              <w:top w:val="nil"/>
              <w:bottom w:val="nil"/>
            </w:tcBorders>
          </w:tcPr>
          <w:p w14:paraId="172AE350"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1.9</w:t>
            </w:r>
          </w:p>
        </w:tc>
        <w:tc>
          <w:tcPr>
            <w:tcW w:w="540" w:type="dxa"/>
            <w:tcBorders>
              <w:top w:val="nil"/>
              <w:bottom w:val="nil"/>
            </w:tcBorders>
          </w:tcPr>
          <w:p w14:paraId="635F3BD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1.1</w:t>
            </w:r>
          </w:p>
        </w:tc>
        <w:tc>
          <w:tcPr>
            <w:tcW w:w="601" w:type="dxa"/>
            <w:tcBorders>
              <w:top w:val="nil"/>
              <w:bottom w:val="nil"/>
            </w:tcBorders>
          </w:tcPr>
          <w:p w14:paraId="5787A7C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54" w:type="dxa"/>
            <w:tcBorders>
              <w:top w:val="nil"/>
              <w:bottom w:val="nil"/>
            </w:tcBorders>
          </w:tcPr>
          <w:p w14:paraId="0A3B929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-24.9</w:t>
            </w:r>
          </w:p>
        </w:tc>
        <w:tc>
          <w:tcPr>
            <w:tcW w:w="567" w:type="dxa"/>
            <w:tcBorders>
              <w:top w:val="nil"/>
              <w:bottom w:val="nil"/>
            </w:tcBorders>
          </w:tcPr>
          <w:p w14:paraId="2A73B83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-22.2</w:t>
            </w:r>
          </w:p>
        </w:tc>
        <w:tc>
          <w:tcPr>
            <w:tcW w:w="618" w:type="dxa"/>
            <w:tcBorders>
              <w:top w:val="nil"/>
              <w:bottom w:val="nil"/>
            </w:tcBorders>
          </w:tcPr>
          <w:p w14:paraId="3470195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-21.7</w:t>
            </w:r>
          </w:p>
        </w:tc>
        <w:tc>
          <w:tcPr>
            <w:tcW w:w="540" w:type="dxa"/>
            <w:tcBorders>
              <w:top w:val="nil"/>
              <w:bottom w:val="nil"/>
            </w:tcBorders>
          </w:tcPr>
          <w:p w14:paraId="4B89BB68"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DE76E94"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28A0FE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598F3ADE" w14:textId="77777777" w:rsidTr="00A808BF">
        <w:trPr>
          <w:jc w:val="center"/>
        </w:trPr>
        <w:tc>
          <w:tcPr>
            <w:tcW w:w="2610" w:type="dxa"/>
            <w:tcBorders>
              <w:top w:val="nil"/>
              <w:bottom w:val="nil"/>
            </w:tcBorders>
          </w:tcPr>
          <w:p w14:paraId="3D2CE7C4"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Jordania</w:t>
            </w:r>
          </w:p>
        </w:tc>
        <w:tc>
          <w:tcPr>
            <w:tcW w:w="540" w:type="dxa"/>
            <w:tcBorders>
              <w:top w:val="nil"/>
              <w:bottom w:val="nil"/>
            </w:tcBorders>
          </w:tcPr>
          <w:p w14:paraId="7EC4232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bottom w:val="nil"/>
            </w:tcBorders>
          </w:tcPr>
          <w:p w14:paraId="45850D3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3.8</w:t>
            </w:r>
          </w:p>
        </w:tc>
        <w:tc>
          <w:tcPr>
            <w:tcW w:w="540" w:type="dxa"/>
            <w:tcBorders>
              <w:top w:val="nil"/>
              <w:bottom w:val="nil"/>
            </w:tcBorders>
          </w:tcPr>
          <w:p w14:paraId="1C5901F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bottom w:val="nil"/>
            </w:tcBorders>
          </w:tcPr>
          <w:p w14:paraId="1DAD8520"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2.9</w:t>
            </w:r>
          </w:p>
        </w:tc>
        <w:tc>
          <w:tcPr>
            <w:tcW w:w="540" w:type="dxa"/>
            <w:tcBorders>
              <w:top w:val="nil"/>
              <w:bottom w:val="nil"/>
            </w:tcBorders>
          </w:tcPr>
          <w:p w14:paraId="24D8E40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1.2</w:t>
            </w:r>
          </w:p>
        </w:tc>
        <w:tc>
          <w:tcPr>
            <w:tcW w:w="601" w:type="dxa"/>
            <w:tcBorders>
              <w:top w:val="nil"/>
              <w:bottom w:val="nil"/>
            </w:tcBorders>
          </w:tcPr>
          <w:p w14:paraId="2FB0E4B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54" w:type="dxa"/>
            <w:tcBorders>
              <w:top w:val="nil"/>
              <w:bottom w:val="nil"/>
            </w:tcBorders>
          </w:tcPr>
          <w:p w14:paraId="30432A3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-7.0</w:t>
            </w:r>
          </w:p>
        </w:tc>
        <w:tc>
          <w:tcPr>
            <w:tcW w:w="567" w:type="dxa"/>
            <w:tcBorders>
              <w:top w:val="nil"/>
              <w:bottom w:val="nil"/>
            </w:tcBorders>
          </w:tcPr>
          <w:p w14:paraId="1BB6F20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-7.6</w:t>
            </w:r>
          </w:p>
        </w:tc>
        <w:tc>
          <w:tcPr>
            <w:tcW w:w="618" w:type="dxa"/>
            <w:tcBorders>
              <w:top w:val="nil"/>
              <w:bottom w:val="nil"/>
            </w:tcBorders>
          </w:tcPr>
          <w:p w14:paraId="5470721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-6.6</w:t>
            </w:r>
          </w:p>
        </w:tc>
        <w:tc>
          <w:tcPr>
            <w:tcW w:w="540" w:type="dxa"/>
            <w:tcBorders>
              <w:top w:val="nil"/>
              <w:bottom w:val="nil"/>
            </w:tcBorders>
          </w:tcPr>
          <w:p w14:paraId="78D53A2F"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11.9</w:t>
            </w:r>
          </w:p>
        </w:tc>
        <w:tc>
          <w:tcPr>
            <w:tcW w:w="540" w:type="dxa"/>
            <w:tcBorders>
              <w:top w:val="nil"/>
              <w:bottom w:val="nil"/>
            </w:tcBorders>
          </w:tcPr>
          <w:p w14:paraId="272623DF"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D3AF32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4F96EC57" w14:textId="77777777" w:rsidTr="00A808BF">
        <w:trPr>
          <w:jc w:val="center"/>
        </w:trPr>
        <w:tc>
          <w:tcPr>
            <w:tcW w:w="2610" w:type="dxa"/>
            <w:tcBorders>
              <w:top w:val="nil"/>
              <w:bottom w:val="nil"/>
            </w:tcBorders>
          </w:tcPr>
          <w:p w14:paraId="66D241DE" w14:textId="77777777" w:rsidR="009B1CF2" w:rsidRPr="00A808BF" w:rsidRDefault="009B1CF2" w:rsidP="009B1CF2">
            <w:pPr>
              <w:rPr>
                <w:rFonts w:eastAsia="Times New Roman"/>
                <w:b/>
                <w:sz w:val="12"/>
                <w:szCs w:val="12"/>
                <w:lang w:val="es-ES"/>
              </w:rPr>
            </w:pPr>
            <w:r w:rsidRPr="00A808BF">
              <w:rPr>
                <w:rFonts w:eastAsia="Times New Roman"/>
                <w:b/>
                <w:sz w:val="12"/>
                <w:szCs w:val="12"/>
                <w:lang w:val="es-ES"/>
              </w:rPr>
              <w:t>Partidas informativas</w:t>
            </w:r>
          </w:p>
        </w:tc>
        <w:tc>
          <w:tcPr>
            <w:tcW w:w="540" w:type="dxa"/>
            <w:tcBorders>
              <w:top w:val="nil"/>
              <w:bottom w:val="nil"/>
            </w:tcBorders>
          </w:tcPr>
          <w:p w14:paraId="2B35DF14" w14:textId="77777777" w:rsidR="009B1CF2" w:rsidRPr="00A808BF" w:rsidRDefault="009B1CF2" w:rsidP="009B1CF2">
            <w:pPr>
              <w:ind w:right="113"/>
              <w:jc w:val="right"/>
              <w:rPr>
                <w:rFonts w:eastAsia="Times New Roman"/>
                <w:b/>
                <w:sz w:val="12"/>
                <w:szCs w:val="12"/>
                <w:lang w:val="es-ES"/>
              </w:rPr>
            </w:pPr>
          </w:p>
        </w:tc>
        <w:tc>
          <w:tcPr>
            <w:tcW w:w="540" w:type="dxa"/>
            <w:tcBorders>
              <w:top w:val="nil"/>
              <w:bottom w:val="nil"/>
            </w:tcBorders>
          </w:tcPr>
          <w:p w14:paraId="4CBBDEA7" w14:textId="77777777" w:rsidR="009B1CF2" w:rsidRPr="00A808BF" w:rsidRDefault="009B1CF2" w:rsidP="009B1CF2">
            <w:pPr>
              <w:ind w:right="113"/>
              <w:jc w:val="right"/>
              <w:rPr>
                <w:rFonts w:eastAsia="Times New Roman"/>
                <w:b/>
                <w:sz w:val="12"/>
                <w:szCs w:val="12"/>
                <w:lang w:val="es-ES"/>
              </w:rPr>
            </w:pPr>
          </w:p>
        </w:tc>
        <w:tc>
          <w:tcPr>
            <w:tcW w:w="540" w:type="dxa"/>
            <w:tcBorders>
              <w:top w:val="nil"/>
              <w:bottom w:val="nil"/>
            </w:tcBorders>
          </w:tcPr>
          <w:p w14:paraId="5E598515" w14:textId="77777777" w:rsidR="009B1CF2" w:rsidRPr="00A808BF" w:rsidRDefault="009B1CF2" w:rsidP="009B1CF2">
            <w:pPr>
              <w:ind w:right="113"/>
              <w:jc w:val="right"/>
              <w:rPr>
                <w:rFonts w:eastAsia="Times New Roman"/>
                <w:b/>
                <w:sz w:val="12"/>
                <w:szCs w:val="12"/>
                <w:lang w:val="es-ES"/>
              </w:rPr>
            </w:pPr>
          </w:p>
        </w:tc>
        <w:tc>
          <w:tcPr>
            <w:tcW w:w="540" w:type="dxa"/>
            <w:tcBorders>
              <w:top w:val="nil"/>
              <w:bottom w:val="nil"/>
            </w:tcBorders>
          </w:tcPr>
          <w:p w14:paraId="2B535D5B" w14:textId="77777777" w:rsidR="009B1CF2" w:rsidRPr="00A808BF" w:rsidRDefault="009B1CF2" w:rsidP="009B1CF2">
            <w:pPr>
              <w:ind w:right="57"/>
              <w:jc w:val="right"/>
              <w:rPr>
                <w:rFonts w:eastAsia="Times New Roman"/>
                <w:b/>
                <w:sz w:val="12"/>
                <w:szCs w:val="12"/>
                <w:lang w:val="es-ES"/>
              </w:rPr>
            </w:pPr>
          </w:p>
        </w:tc>
        <w:tc>
          <w:tcPr>
            <w:tcW w:w="540" w:type="dxa"/>
            <w:tcBorders>
              <w:top w:val="nil"/>
              <w:bottom w:val="nil"/>
            </w:tcBorders>
          </w:tcPr>
          <w:p w14:paraId="38314706" w14:textId="77777777" w:rsidR="009B1CF2" w:rsidRPr="00A808BF" w:rsidRDefault="009B1CF2" w:rsidP="009B1CF2">
            <w:pPr>
              <w:ind w:right="57"/>
              <w:jc w:val="right"/>
              <w:rPr>
                <w:rFonts w:eastAsia="Times New Roman"/>
                <w:b/>
                <w:sz w:val="12"/>
                <w:szCs w:val="12"/>
                <w:lang w:val="es-ES"/>
              </w:rPr>
            </w:pPr>
          </w:p>
        </w:tc>
        <w:tc>
          <w:tcPr>
            <w:tcW w:w="601" w:type="dxa"/>
            <w:tcBorders>
              <w:top w:val="nil"/>
              <w:bottom w:val="nil"/>
            </w:tcBorders>
          </w:tcPr>
          <w:p w14:paraId="557E7849" w14:textId="77777777" w:rsidR="009B1CF2" w:rsidRPr="00A808BF" w:rsidRDefault="009B1CF2" w:rsidP="009B1CF2">
            <w:pPr>
              <w:ind w:right="113"/>
              <w:jc w:val="right"/>
              <w:rPr>
                <w:rFonts w:eastAsia="Times New Roman"/>
                <w:b/>
                <w:sz w:val="12"/>
                <w:szCs w:val="12"/>
                <w:lang w:val="es-ES"/>
              </w:rPr>
            </w:pPr>
          </w:p>
        </w:tc>
        <w:tc>
          <w:tcPr>
            <w:tcW w:w="554" w:type="dxa"/>
            <w:tcBorders>
              <w:top w:val="nil"/>
              <w:bottom w:val="nil"/>
            </w:tcBorders>
          </w:tcPr>
          <w:p w14:paraId="6FD970D1" w14:textId="77777777" w:rsidR="009B1CF2" w:rsidRPr="00A808BF" w:rsidRDefault="009B1CF2" w:rsidP="00A808BF">
            <w:pPr>
              <w:ind w:left="-57" w:right="113"/>
              <w:jc w:val="right"/>
              <w:rPr>
                <w:rFonts w:eastAsia="Times New Roman"/>
                <w:b/>
                <w:sz w:val="12"/>
                <w:szCs w:val="12"/>
                <w:lang w:val="es-ES"/>
              </w:rPr>
            </w:pPr>
          </w:p>
        </w:tc>
        <w:tc>
          <w:tcPr>
            <w:tcW w:w="567" w:type="dxa"/>
            <w:tcBorders>
              <w:top w:val="nil"/>
              <w:bottom w:val="nil"/>
            </w:tcBorders>
          </w:tcPr>
          <w:p w14:paraId="03C9FC23" w14:textId="77777777" w:rsidR="009B1CF2" w:rsidRPr="00A808BF" w:rsidRDefault="009B1CF2" w:rsidP="00A808BF">
            <w:pPr>
              <w:ind w:left="-57" w:right="113"/>
              <w:jc w:val="right"/>
              <w:rPr>
                <w:rFonts w:eastAsia="Times New Roman"/>
                <w:b/>
                <w:sz w:val="12"/>
                <w:szCs w:val="12"/>
                <w:lang w:val="es-ES"/>
              </w:rPr>
            </w:pPr>
          </w:p>
        </w:tc>
        <w:tc>
          <w:tcPr>
            <w:tcW w:w="618" w:type="dxa"/>
            <w:tcBorders>
              <w:top w:val="nil"/>
              <w:bottom w:val="nil"/>
            </w:tcBorders>
          </w:tcPr>
          <w:p w14:paraId="76DA8814" w14:textId="77777777" w:rsidR="009B1CF2" w:rsidRPr="00A808BF" w:rsidRDefault="009B1CF2" w:rsidP="00A808BF">
            <w:pPr>
              <w:ind w:left="-57" w:right="113"/>
              <w:jc w:val="right"/>
              <w:rPr>
                <w:rFonts w:eastAsia="Times New Roman"/>
                <w:b/>
                <w:sz w:val="12"/>
                <w:szCs w:val="12"/>
                <w:lang w:val="es-ES"/>
              </w:rPr>
            </w:pPr>
          </w:p>
        </w:tc>
        <w:tc>
          <w:tcPr>
            <w:tcW w:w="540" w:type="dxa"/>
            <w:tcBorders>
              <w:top w:val="nil"/>
              <w:bottom w:val="nil"/>
            </w:tcBorders>
          </w:tcPr>
          <w:p w14:paraId="38A35E67" w14:textId="77777777" w:rsidR="009B1CF2" w:rsidRPr="00A808BF" w:rsidRDefault="009B1CF2" w:rsidP="00A808BF">
            <w:pPr>
              <w:ind w:left="-57" w:right="57"/>
              <w:jc w:val="right"/>
              <w:rPr>
                <w:rFonts w:eastAsia="Times New Roman"/>
                <w:b/>
                <w:sz w:val="12"/>
                <w:szCs w:val="12"/>
                <w:lang w:val="es-ES"/>
              </w:rPr>
            </w:pPr>
          </w:p>
        </w:tc>
        <w:tc>
          <w:tcPr>
            <w:tcW w:w="540" w:type="dxa"/>
            <w:tcBorders>
              <w:top w:val="nil"/>
              <w:bottom w:val="nil"/>
            </w:tcBorders>
          </w:tcPr>
          <w:p w14:paraId="6E696810" w14:textId="77777777" w:rsidR="009B1CF2" w:rsidRPr="00A808BF" w:rsidRDefault="009B1CF2" w:rsidP="00A808BF">
            <w:pPr>
              <w:ind w:left="-57" w:right="57"/>
              <w:jc w:val="right"/>
              <w:rPr>
                <w:rFonts w:eastAsia="Times New Roman"/>
                <w:b/>
                <w:sz w:val="12"/>
                <w:szCs w:val="12"/>
                <w:lang w:val="es-ES"/>
              </w:rPr>
            </w:pPr>
          </w:p>
        </w:tc>
        <w:tc>
          <w:tcPr>
            <w:tcW w:w="540" w:type="dxa"/>
            <w:tcBorders>
              <w:top w:val="nil"/>
              <w:bottom w:val="nil"/>
            </w:tcBorders>
          </w:tcPr>
          <w:p w14:paraId="5CCA1510" w14:textId="77777777" w:rsidR="009B1CF2" w:rsidRPr="00A808BF" w:rsidRDefault="009B1CF2" w:rsidP="009B1CF2">
            <w:pPr>
              <w:ind w:right="57"/>
              <w:jc w:val="right"/>
              <w:rPr>
                <w:rFonts w:eastAsia="Times New Roman"/>
                <w:b/>
                <w:sz w:val="12"/>
                <w:szCs w:val="12"/>
                <w:lang w:val="es-ES"/>
              </w:rPr>
            </w:pPr>
          </w:p>
        </w:tc>
      </w:tr>
      <w:tr w:rsidR="009B1CF2" w:rsidRPr="009B1CF2" w14:paraId="5ED25F60" w14:textId="77777777" w:rsidTr="00A808BF">
        <w:trPr>
          <w:jc w:val="center"/>
        </w:trPr>
        <w:tc>
          <w:tcPr>
            <w:tcW w:w="2610" w:type="dxa"/>
            <w:tcBorders>
              <w:top w:val="nil"/>
              <w:bottom w:val="nil"/>
            </w:tcBorders>
          </w:tcPr>
          <w:p w14:paraId="6BF5A42A"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Oriente Medio y Norte de África</w:t>
            </w:r>
          </w:p>
        </w:tc>
        <w:tc>
          <w:tcPr>
            <w:tcW w:w="540" w:type="dxa"/>
            <w:tcBorders>
              <w:top w:val="nil"/>
              <w:bottom w:val="nil"/>
            </w:tcBorders>
            <w:vAlign w:val="bottom"/>
          </w:tcPr>
          <w:p w14:paraId="49A7C1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40" w:type="dxa"/>
            <w:tcBorders>
              <w:top w:val="nil"/>
              <w:bottom w:val="nil"/>
            </w:tcBorders>
            <w:vAlign w:val="bottom"/>
          </w:tcPr>
          <w:p w14:paraId="43C7F69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2.7</w:t>
            </w:r>
          </w:p>
        </w:tc>
        <w:tc>
          <w:tcPr>
            <w:tcW w:w="540" w:type="dxa"/>
            <w:tcBorders>
              <w:top w:val="nil"/>
              <w:bottom w:val="nil"/>
            </w:tcBorders>
            <w:vAlign w:val="bottom"/>
          </w:tcPr>
          <w:p w14:paraId="694B057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3.7</w:t>
            </w:r>
          </w:p>
        </w:tc>
        <w:tc>
          <w:tcPr>
            <w:tcW w:w="540" w:type="dxa"/>
            <w:tcBorders>
              <w:top w:val="nil"/>
              <w:bottom w:val="nil"/>
            </w:tcBorders>
            <w:vAlign w:val="bottom"/>
          </w:tcPr>
          <w:p w14:paraId="7E1DC2E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6.5</w:t>
            </w:r>
          </w:p>
        </w:tc>
        <w:tc>
          <w:tcPr>
            <w:tcW w:w="540" w:type="dxa"/>
            <w:tcBorders>
              <w:top w:val="nil"/>
              <w:bottom w:val="nil"/>
            </w:tcBorders>
            <w:vAlign w:val="bottom"/>
          </w:tcPr>
          <w:p w14:paraId="56CB10D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6.2</w:t>
            </w:r>
          </w:p>
        </w:tc>
        <w:tc>
          <w:tcPr>
            <w:tcW w:w="601" w:type="dxa"/>
            <w:tcBorders>
              <w:top w:val="nil"/>
              <w:bottom w:val="nil"/>
            </w:tcBorders>
            <w:vAlign w:val="bottom"/>
          </w:tcPr>
          <w:p w14:paraId="47525B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554" w:type="dxa"/>
            <w:tcBorders>
              <w:top w:val="nil"/>
              <w:bottom w:val="nil"/>
            </w:tcBorders>
            <w:vAlign w:val="bottom"/>
          </w:tcPr>
          <w:p w14:paraId="3D92009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7.0</w:t>
            </w:r>
          </w:p>
        </w:tc>
        <w:tc>
          <w:tcPr>
            <w:tcW w:w="567" w:type="dxa"/>
            <w:tcBorders>
              <w:top w:val="nil"/>
              <w:bottom w:val="nil"/>
            </w:tcBorders>
            <w:vAlign w:val="bottom"/>
          </w:tcPr>
          <w:p w14:paraId="252C5C52"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-2.0</w:t>
            </w:r>
          </w:p>
        </w:tc>
        <w:tc>
          <w:tcPr>
            <w:tcW w:w="618" w:type="dxa"/>
            <w:tcBorders>
              <w:top w:val="nil"/>
              <w:bottom w:val="nil"/>
            </w:tcBorders>
            <w:vAlign w:val="bottom"/>
          </w:tcPr>
          <w:p w14:paraId="31DE7E9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0.0</w:t>
            </w:r>
          </w:p>
        </w:tc>
        <w:tc>
          <w:tcPr>
            <w:tcW w:w="540" w:type="dxa"/>
            <w:tcBorders>
              <w:top w:val="nil"/>
              <w:bottom w:val="nil"/>
            </w:tcBorders>
            <w:vAlign w:val="bottom"/>
          </w:tcPr>
          <w:p w14:paraId="3FAC6284"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vAlign w:val="bottom"/>
          </w:tcPr>
          <w:p w14:paraId="534C4A1A"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vAlign w:val="bottom"/>
          </w:tcPr>
          <w:p w14:paraId="30C3B3B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58D21827" w14:textId="77777777" w:rsidTr="00A808BF">
        <w:trPr>
          <w:jc w:val="center"/>
        </w:trPr>
        <w:tc>
          <w:tcPr>
            <w:tcW w:w="2610" w:type="dxa"/>
            <w:tcBorders>
              <w:top w:val="nil"/>
              <w:bottom w:val="nil"/>
            </w:tcBorders>
          </w:tcPr>
          <w:p w14:paraId="47A1D54B"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Israel</w:t>
            </w:r>
            <w:r w:rsidRPr="00A808BF">
              <w:rPr>
                <w:rFonts w:eastAsia="Times New Roman"/>
                <w:b/>
                <w:sz w:val="12"/>
                <w:szCs w:val="12"/>
                <w:u w:val="single"/>
                <w:vertAlign w:val="superscript"/>
                <w:lang w:val="es-ES"/>
              </w:rPr>
              <w:t>6</w:t>
            </w:r>
            <w:r w:rsidRPr="00A808BF">
              <w:rPr>
                <w:rFonts w:eastAsia="Times New Roman"/>
                <w:b/>
                <w:sz w:val="12"/>
                <w:szCs w:val="12"/>
                <w:vertAlign w:val="superscript"/>
                <w:lang w:val="es-ES"/>
              </w:rPr>
              <w:t>/</w:t>
            </w:r>
          </w:p>
        </w:tc>
        <w:tc>
          <w:tcPr>
            <w:tcW w:w="540" w:type="dxa"/>
            <w:tcBorders>
              <w:top w:val="nil"/>
              <w:bottom w:val="nil"/>
            </w:tcBorders>
          </w:tcPr>
          <w:p w14:paraId="26807BE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2.8</w:t>
            </w:r>
          </w:p>
        </w:tc>
        <w:tc>
          <w:tcPr>
            <w:tcW w:w="540" w:type="dxa"/>
            <w:tcBorders>
              <w:top w:val="nil"/>
              <w:bottom w:val="nil"/>
            </w:tcBorders>
          </w:tcPr>
          <w:p w14:paraId="2A1E4F1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bottom w:val="nil"/>
            </w:tcBorders>
          </w:tcPr>
          <w:p w14:paraId="67CC2C9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bottom w:val="nil"/>
            </w:tcBorders>
          </w:tcPr>
          <w:p w14:paraId="1ED6BE60"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0.5</w:t>
            </w:r>
          </w:p>
        </w:tc>
        <w:tc>
          <w:tcPr>
            <w:tcW w:w="540" w:type="dxa"/>
            <w:tcBorders>
              <w:top w:val="nil"/>
              <w:bottom w:val="nil"/>
            </w:tcBorders>
          </w:tcPr>
          <w:p w14:paraId="2F521A7B"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-0.2</w:t>
            </w:r>
          </w:p>
        </w:tc>
        <w:tc>
          <w:tcPr>
            <w:tcW w:w="601" w:type="dxa"/>
            <w:tcBorders>
              <w:top w:val="nil"/>
              <w:bottom w:val="nil"/>
            </w:tcBorders>
          </w:tcPr>
          <w:p w14:paraId="7BCE9D9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54" w:type="dxa"/>
            <w:tcBorders>
              <w:top w:val="nil"/>
              <w:bottom w:val="nil"/>
            </w:tcBorders>
          </w:tcPr>
          <w:p w14:paraId="4080EA4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3.0</w:t>
            </w:r>
          </w:p>
        </w:tc>
        <w:tc>
          <w:tcPr>
            <w:tcW w:w="567" w:type="dxa"/>
            <w:tcBorders>
              <w:top w:val="nil"/>
              <w:bottom w:val="nil"/>
            </w:tcBorders>
          </w:tcPr>
          <w:p w14:paraId="2CA8444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4.5</w:t>
            </w:r>
          </w:p>
        </w:tc>
        <w:tc>
          <w:tcPr>
            <w:tcW w:w="618" w:type="dxa"/>
            <w:tcBorders>
              <w:top w:val="nil"/>
              <w:bottom w:val="nil"/>
            </w:tcBorders>
          </w:tcPr>
          <w:p w14:paraId="4E50A1F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4.4</w:t>
            </w:r>
          </w:p>
        </w:tc>
        <w:tc>
          <w:tcPr>
            <w:tcW w:w="540" w:type="dxa"/>
            <w:tcBorders>
              <w:top w:val="nil"/>
              <w:bottom w:val="nil"/>
            </w:tcBorders>
          </w:tcPr>
          <w:p w14:paraId="0661C3AB"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6.0</w:t>
            </w:r>
          </w:p>
        </w:tc>
        <w:tc>
          <w:tcPr>
            <w:tcW w:w="540" w:type="dxa"/>
            <w:tcBorders>
              <w:top w:val="nil"/>
              <w:bottom w:val="nil"/>
            </w:tcBorders>
          </w:tcPr>
          <w:p w14:paraId="6F9C292C"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5.5</w:t>
            </w:r>
          </w:p>
        </w:tc>
        <w:tc>
          <w:tcPr>
            <w:tcW w:w="540" w:type="dxa"/>
            <w:tcBorders>
              <w:top w:val="nil"/>
              <w:bottom w:val="nil"/>
            </w:tcBorders>
          </w:tcPr>
          <w:p w14:paraId="54E463B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5.3</w:t>
            </w:r>
          </w:p>
        </w:tc>
      </w:tr>
      <w:tr w:rsidR="009B1CF2" w:rsidRPr="009B1CF2" w14:paraId="786A84CD" w14:textId="77777777" w:rsidTr="001D5328">
        <w:trPr>
          <w:jc w:val="center"/>
        </w:trPr>
        <w:tc>
          <w:tcPr>
            <w:tcW w:w="2610" w:type="dxa"/>
            <w:tcBorders>
              <w:top w:val="nil"/>
              <w:bottom w:val="nil"/>
            </w:tcBorders>
          </w:tcPr>
          <w:p w14:paraId="0EF5849C" w14:textId="253BAFF6" w:rsidR="009B1CF2" w:rsidRPr="00A808BF" w:rsidRDefault="009B1CF2" w:rsidP="00BA5240">
            <w:pPr>
              <w:rPr>
                <w:rFonts w:eastAsia="Times New Roman"/>
                <w:sz w:val="12"/>
                <w:szCs w:val="12"/>
                <w:lang w:val="es-ES"/>
              </w:rPr>
            </w:pPr>
            <w:r w:rsidRPr="00A808BF">
              <w:rPr>
                <w:rFonts w:eastAsia="Times New Roman"/>
                <w:sz w:val="12"/>
                <w:szCs w:val="12"/>
                <w:lang w:val="es-ES"/>
              </w:rPr>
              <w:t>Magreb</w:t>
            </w:r>
            <w:r w:rsidRPr="00A808BF">
              <w:rPr>
                <w:rFonts w:eastAsia="Times New Roman"/>
                <w:b/>
                <w:sz w:val="12"/>
                <w:szCs w:val="12"/>
                <w:u w:val="single"/>
                <w:vertAlign w:val="superscript"/>
                <w:lang w:val="es-ES"/>
              </w:rPr>
              <w:t>7</w:t>
            </w:r>
            <w:r w:rsidRPr="00A808BF">
              <w:rPr>
                <w:rFonts w:eastAsia="Times New Roman"/>
                <w:b/>
                <w:sz w:val="12"/>
                <w:szCs w:val="12"/>
                <w:vertAlign w:val="superscript"/>
                <w:lang w:val="es-ES"/>
              </w:rPr>
              <w:t>/</w:t>
            </w:r>
          </w:p>
        </w:tc>
        <w:tc>
          <w:tcPr>
            <w:tcW w:w="540" w:type="dxa"/>
            <w:tcBorders>
              <w:top w:val="nil"/>
              <w:bottom w:val="nil"/>
            </w:tcBorders>
          </w:tcPr>
          <w:p w14:paraId="7BED127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bottom w:val="nil"/>
            </w:tcBorders>
          </w:tcPr>
          <w:p w14:paraId="50EB19A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3.3</w:t>
            </w:r>
          </w:p>
        </w:tc>
        <w:tc>
          <w:tcPr>
            <w:tcW w:w="540" w:type="dxa"/>
            <w:tcBorders>
              <w:top w:val="nil"/>
              <w:bottom w:val="nil"/>
            </w:tcBorders>
          </w:tcPr>
          <w:p w14:paraId="6643159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5.6</w:t>
            </w:r>
          </w:p>
        </w:tc>
        <w:tc>
          <w:tcPr>
            <w:tcW w:w="540" w:type="dxa"/>
            <w:tcBorders>
              <w:top w:val="nil"/>
              <w:bottom w:val="nil"/>
            </w:tcBorders>
          </w:tcPr>
          <w:p w14:paraId="36A1505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2.5</w:t>
            </w:r>
          </w:p>
        </w:tc>
        <w:tc>
          <w:tcPr>
            <w:tcW w:w="540" w:type="dxa"/>
            <w:tcBorders>
              <w:top w:val="nil"/>
              <w:bottom w:val="nil"/>
            </w:tcBorders>
          </w:tcPr>
          <w:p w14:paraId="659358A4"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3.3</w:t>
            </w:r>
          </w:p>
        </w:tc>
        <w:tc>
          <w:tcPr>
            <w:tcW w:w="601" w:type="dxa"/>
            <w:tcBorders>
              <w:top w:val="nil"/>
              <w:bottom w:val="nil"/>
            </w:tcBorders>
          </w:tcPr>
          <w:p w14:paraId="60BC794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3.6</w:t>
            </w:r>
          </w:p>
        </w:tc>
        <w:tc>
          <w:tcPr>
            <w:tcW w:w="554" w:type="dxa"/>
            <w:tcBorders>
              <w:top w:val="nil"/>
              <w:bottom w:val="nil"/>
            </w:tcBorders>
          </w:tcPr>
          <w:p w14:paraId="3985494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-8.1</w:t>
            </w:r>
          </w:p>
        </w:tc>
        <w:tc>
          <w:tcPr>
            <w:tcW w:w="567" w:type="dxa"/>
            <w:tcBorders>
              <w:top w:val="nil"/>
              <w:bottom w:val="nil"/>
            </w:tcBorders>
          </w:tcPr>
          <w:p w14:paraId="4958C9E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-14.6</w:t>
            </w:r>
          </w:p>
        </w:tc>
        <w:tc>
          <w:tcPr>
            <w:tcW w:w="618" w:type="dxa"/>
            <w:tcBorders>
              <w:top w:val="nil"/>
              <w:bottom w:val="nil"/>
            </w:tcBorders>
          </w:tcPr>
          <w:p w14:paraId="6E46D46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-11.6</w:t>
            </w:r>
          </w:p>
        </w:tc>
        <w:tc>
          <w:tcPr>
            <w:tcW w:w="540" w:type="dxa"/>
            <w:tcBorders>
              <w:top w:val="nil"/>
              <w:bottom w:val="nil"/>
            </w:tcBorders>
          </w:tcPr>
          <w:p w14:paraId="2E5018D7"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1D5AF45"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0DB1C8A1"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5E1E3066" w14:textId="77777777" w:rsidTr="001D5328">
        <w:trPr>
          <w:jc w:val="center"/>
        </w:trPr>
        <w:tc>
          <w:tcPr>
            <w:tcW w:w="2610" w:type="dxa"/>
            <w:tcBorders>
              <w:top w:val="nil"/>
              <w:bottom w:val="single" w:sz="4" w:space="0" w:color="auto"/>
            </w:tcBorders>
          </w:tcPr>
          <w:p w14:paraId="2975B525" w14:textId="77777777" w:rsidR="009B1CF2" w:rsidRPr="00A808BF" w:rsidRDefault="009B1CF2" w:rsidP="009B1CF2">
            <w:pPr>
              <w:rPr>
                <w:rFonts w:eastAsia="Times New Roman"/>
                <w:sz w:val="12"/>
                <w:szCs w:val="12"/>
                <w:lang w:val="es-ES"/>
              </w:rPr>
            </w:pPr>
            <w:r w:rsidRPr="00A808BF">
              <w:rPr>
                <w:rFonts w:eastAsia="Times New Roman"/>
                <w:sz w:val="12"/>
                <w:szCs w:val="12"/>
                <w:lang w:val="es-ES"/>
              </w:rPr>
              <w:t>Mashreq</w:t>
            </w:r>
            <w:r w:rsidRPr="00A808BF">
              <w:rPr>
                <w:rFonts w:eastAsia="Times New Roman"/>
                <w:b/>
                <w:sz w:val="12"/>
                <w:szCs w:val="12"/>
                <w:u w:val="single"/>
                <w:vertAlign w:val="superscript"/>
                <w:lang w:val="es-ES"/>
              </w:rPr>
              <w:t>8</w:t>
            </w:r>
            <w:r w:rsidRPr="00A808BF">
              <w:rPr>
                <w:rFonts w:eastAsia="Times New Roman"/>
                <w:b/>
                <w:sz w:val="12"/>
                <w:szCs w:val="12"/>
                <w:vertAlign w:val="superscript"/>
                <w:lang w:val="es-ES"/>
              </w:rPr>
              <w:t>/</w:t>
            </w:r>
          </w:p>
        </w:tc>
        <w:tc>
          <w:tcPr>
            <w:tcW w:w="540" w:type="dxa"/>
            <w:tcBorders>
              <w:top w:val="nil"/>
              <w:bottom w:val="single" w:sz="4" w:space="0" w:color="auto"/>
            </w:tcBorders>
          </w:tcPr>
          <w:p w14:paraId="23B30BE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2.2</w:t>
            </w:r>
          </w:p>
        </w:tc>
        <w:tc>
          <w:tcPr>
            <w:tcW w:w="540" w:type="dxa"/>
            <w:tcBorders>
              <w:top w:val="nil"/>
              <w:bottom w:val="single" w:sz="4" w:space="0" w:color="auto"/>
            </w:tcBorders>
          </w:tcPr>
          <w:p w14:paraId="26DC975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3.9</w:t>
            </w:r>
          </w:p>
        </w:tc>
        <w:tc>
          <w:tcPr>
            <w:tcW w:w="540" w:type="dxa"/>
            <w:tcBorders>
              <w:top w:val="nil"/>
              <w:bottom w:val="single" w:sz="4" w:space="0" w:color="auto"/>
            </w:tcBorders>
          </w:tcPr>
          <w:p w14:paraId="77A729E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bottom w:val="single" w:sz="4" w:space="0" w:color="auto"/>
            </w:tcBorders>
          </w:tcPr>
          <w:p w14:paraId="62FEF3A1"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8.9</w:t>
            </w:r>
          </w:p>
        </w:tc>
        <w:tc>
          <w:tcPr>
            <w:tcW w:w="540" w:type="dxa"/>
            <w:tcBorders>
              <w:top w:val="nil"/>
              <w:bottom w:val="single" w:sz="4" w:space="0" w:color="auto"/>
            </w:tcBorders>
          </w:tcPr>
          <w:p w14:paraId="69D5659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8.9</w:t>
            </w:r>
          </w:p>
        </w:tc>
        <w:tc>
          <w:tcPr>
            <w:tcW w:w="601" w:type="dxa"/>
            <w:tcBorders>
              <w:top w:val="nil"/>
              <w:bottom w:val="single" w:sz="4" w:space="0" w:color="auto"/>
            </w:tcBorders>
          </w:tcPr>
          <w:p w14:paraId="3AA7469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9.3</w:t>
            </w:r>
          </w:p>
        </w:tc>
        <w:tc>
          <w:tcPr>
            <w:tcW w:w="554" w:type="dxa"/>
            <w:tcBorders>
              <w:top w:val="nil"/>
              <w:bottom w:val="single" w:sz="4" w:space="0" w:color="auto"/>
            </w:tcBorders>
          </w:tcPr>
          <w:p w14:paraId="3E4C0EE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-4.7</w:t>
            </w:r>
          </w:p>
        </w:tc>
        <w:tc>
          <w:tcPr>
            <w:tcW w:w="567" w:type="dxa"/>
            <w:tcBorders>
              <w:top w:val="nil"/>
              <w:bottom w:val="single" w:sz="4" w:space="0" w:color="auto"/>
            </w:tcBorders>
          </w:tcPr>
          <w:p w14:paraId="06E4C462"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-6.2</w:t>
            </w:r>
          </w:p>
        </w:tc>
        <w:tc>
          <w:tcPr>
            <w:tcW w:w="618" w:type="dxa"/>
            <w:tcBorders>
              <w:top w:val="nil"/>
              <w:bottom w:val="single" w:sz="4" w:space="0" w:color="auto"/>
            </w:tcBorders>
          </w:tcPr>
          <w:p w14:paraId="114E9ED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-6.8</w:t>
            </w:r>
          </w:p>
        </w:tc>
        <w:tc>
          <w:tcPr>
            <w:tcW w:w="540" w:type="dxa"/>
            <w:tcBorders>
              <w:top w:val="nil"/>
              <w:bottom w:val="single" w:sz="4" w:space="0" w:color="auto"/>
            </w:tcBorders>
          </w:tcPr>
          <w:p w14:paraId="10319E7E"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single" w:sz="4" w:space="0" w:color="auto"/>
            </w:tcBorders>
          </w:tcPr>
          <w:p w14:paraId="5A99F434" w14:textId="77777777" w:rsidR="009B1CF2" w:rsidRPr="00A808BF" w:rsidRDefault="009B1CF2" w:rsidP="00A808BF">
            <w:pPr>
              <w:ind w:left="-57"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single" w:sz="4" w:space="0" w:color="auto"/>
            </w:tcBorders>
          </w:tcPr>
          <w:p w14:paraId="5F3A6414"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9B1CF2" w14:paraId="209EC96F" w14:textId="77777777" w:rsidTr="001D5328">
        <w:trPr>
          <w:jc w:val="center"/>
        </w:trPr>
        <w:tc>
          <w:tcPr>
            <w:tcW w:w="9270" w:type="dxa"/>
            <w:gridSpan w:val="13"/>
            <w:tcBorders>
              <w:top w:val="single" w:sz="4" w:space="0" w:color="auto"/>
              <w:left w:val="nil"/>
              <w:bottom w:val="nil"/>
              <w:right w:val="nil"/>
            </w:tcBorders>
          </w:tcPr>
          <w:p w14:paraId="4733B0CA" w14:textId="6F459D99" w:rsidR="009B1CF2" w:rsidRPr="00A808BF" w:rsidRDefault="009B1CF2" w:rsidP="009B1CF2">
            <w:pPr>
              <w:ind w:right="57"/>
              <w:jc w:val="both"/>
              <w:rPr>
                <w:rFonts w:eastAsia="Times New Roman"/>
                <w:sz w:val="12"/>
                <w:szCs w:val="12"/>
                <w:lang w:val="es-ES"/>
              </w:rPr>
            </w:pPr>
            <w:r w:rsidRPr="00A808BF">
              <w:rPr>
                <w:rFonts w:eastAsia="Times New Roman"/>
                <w:sz w:val="12"/>
                <w:szCs w:val="12"/>
                <w:lang w:val="es-ES"/>
              </w:rPr>
              <w:t>Los datos correspondientes a algunos países se basan en el ejercicio fiscal. Véase en el cuadro F del apéndice estadístico</w:t>
            </w:r>
            <w:r w:rsidR="0098560F">
              <w:rPr>
                <w:rFonts w:eastAsia="Times New Roman"/>
                <w:sz w:val="12"/>
                <w:szCs w:val="12"/>
                <w:lang w:val="es-ES"/>
              </w:rPr>
              <w:t xml:space="preserve"> del documento original </w:t>
            </w:r>
            <w:r w:rsidRPr="00A808BF">
              <w:rPr>
                <w:rFonts w:eastAsia="Times New Roman"/>
                <w:sz w:val="12"/>
                <w:szCs w:val="12"/>
                <w:lang w:val="es-ES"/>
              </w:rPr>
              <w:t xml:space="preserve"> la lista de economías con períodos de declaración excepcionales.</w:t>
            </w:r>
          </w:p>
          <w:p w14:paraId="25121944" w14:textId="5CBBF6C8" w:rsidR="009B1CF2" w:rsidRPr="00A808BF" w:rsidRDefault="009B1CF2" w:rsidP="0098560F">
            <w:pPr>
              <w:ind w:left="125" w:right="57" w:hanging="125"/>
              <w:jc w:val="both"/>
              <w:rPr>
                <w:rFonts w:eastAsia="Times New Roman"/>
                <w:sz w:val="12"/>
                <w:szCs w:val="12"/>
                <w:lang w:val="es-ES"/>
              </w:rPr>
            </w:pPr>
            <w:r w:rsidRPr="00A808BF">
              <w:rPr>
                <w:rFonts w:eastAsia="Times New Roman"/>
                <w:sz w:val="12"/>
                <w:szCs w:val="12"/>
                <w:u w:val="single"/>
                <w:lang w:val="es-ES"/>
              </w:rPr>
              <w:t>1</w:t>
            </w:r>
            <w:r w:rsidRPr="00A808BF">
              <w:rPr>
                <w:rFonts w:eastAsia="Times New Roman"/>
                <w:sz w:val="12"/>
                <w:szCs w:val="12"/>
                <w:lang w:val="es-ES"/>
              </w:rPr>
              <w:t>/ La variación de los precios al consumidor se indica como promedio anual. Las variaciones de diciembre a diciembre pueden encontrarse en los cuadros A6 y A7 del apéndice estadístico</w:t>
            </w:r>
            <w:r w:rsidR="0098560F">
              <w:rPr>
                <w:rFonts w:eastAsia="Times New Roman"/>
                <w:sz w:val="12"/>
                <w:szCs w:val="12"/>
                <w:lang w:val="es-ES"/>
              </w:rPr>
              <w:t xml:space="preserve"> del documento original</w:t>
            </w:r>
            <w:r w:rsidRPr="00A808BF">
              <w:rPr>
                <w:rFonts w:eastAsia="Times New Roman"/>
                <w:sz w:val="12"/>
                <w:szCs w:val="12"/>
                <w:lang w:val="es-ES"/>
              </w:rPr>
              <w:t>.</w:t>
            </w:r>
          </w:p>
          <w:p w14:paraId="425FFE0D"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2</w:t>
            </w:r>
            <w:r w:rsidRPr="00A808BF">
              <w:rPr>
                <w:rFonts w:eastAsia="Times New Roman"/>
                <w:sz w:val="12"/>
                <w:szCs w:val="12"/>
                <w:lang w:val="es-ES"/>
              </w:rPr>
              <w:t>/ Porcentaje del PIB.</w:t>
            </w:r>
          </w:p>
          <w:p w14:paraId="77A202F9"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3</w:t>
            </w:r>
            <w:r w:rsidRPr="00A808BF">
              <w:rPr>
                <w:rFonts w:eastAsia="Times New Roman"/>
                <w:sz w:val="12"/>
                <w:szCs w:val="12"/>
                <w:lang w:val="es-ES"/>
              </w:rPr>
              <w:t>/ Porcentaje. Las definiciones nacionales de desempleo pueden variar.</w:t>
            </w:r>
          </w:p>
          <w:p w14:paraId="1D590AE3"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4</w:t>
            </w:r>
            <w:r w:rsidRPr="00A808BF">
              <w:rPr>
                <w:rFonts w:eastAsia="Times New Roman"/>
                <w:sz w:val="12"/>
                <w:szCs w:val="12"/>
                <w:lang w:val="es-ES"/>
              </w:rPr>
              <w:t>/ Incluye Bahrein, Libia, Omán y Yemen.</w:t>
            </w:r>
          </w:p>
          <w:p w14:paraId="7C0366D3" w14:textId="7DDA4302"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5</w:t>
            </w:r>
            <w:r w:rsidRPr="00A808BF">
              <w:rPr>
                <w:rFonts w:eastAsia="Times New Roman"/>
                <w:sz w:val="12"/>
                <w:szCs w:val="12"/>
                <w:lang w:val="es-ES"/>
              </w:rPr>
              <w:t>/ Incluye Afganistán, Dijbouti y Mauritan</w:t>
            </w:r>
            <w:r w:rsidR="00BA5240">
              <w:rPr>
                <w:rFonts w:eastAsia="Times New Roman"/>
                <w:sz w:val="12"/>
                <w:szCs w:val="12"/>
                <w:lang w:val="es-ES"/>
              </w:rPr>
              <w:t>i</w:t>
            </w:r>
            <w:r w:rsidRPr="00A808BF">
              <w:rPr>
                <w:rFonts w:eastAsia="Times New Roman"/>
                <w:sz w:val="12"/>
                <w:szCs w:val="12"/>
                <w:lang w:val="es-ES"/>
              </w:rPr>
              <w:t>a. Excluye Siria debido a la incertidumbre de la situación política.</w:t>
            </w:r>
          </w:p>
          <w:p w14:paraId="298CADFB"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6</w:t>
            </w:r>
            <w:r w:rsidRPr="00A808BF">
              <w:rPr>
                <w:rFonts w:eastAsia="Times New Roman"/>
                <w:sz w:val="12"/>
                <w:szCs w:val="12"/>
                <w:lang w:val="es-ES"/>
              </w:rPr>
              <w:t>/ Israel, que no es miembro de la región, se incluye por razones geográficas. Cabe notar que Israel no se incluye en los agregados regionales.</w:t>
            </w:r>
          </w:p>
          <w:p w14:paraId="14FB3D71"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7</w:t>
            </w:r>
            <w:r w:rsidRPr="00A808BF">
              <w:rPr>
                <w:rFonts w:eastAsia="Times New Roman"/>
                <w:sz w:val="12"/>
                <w:szCs w:val="12"/>
                <w:lang w:val="es-ES"/>
              </w:rPr>
              <w:t>/ El Magreb comprende Argelia, Libia, Marruecos, Mauritania y Túnez.</w:t>
            </w:r>
          </w:p>
          <w:p w14:paraId="0570E7EE"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8</w:t>
            </w:r>
            <w:r w:rsidRPr="00A808BF">
              <w:rPr>
                <w:rFonts w:eastAsia="Times New Roman"/>
                <w:sz w:val="12"/>
                <w:szCs w:val="12"/>
                <w:lang w:val="es-ES"/>
              </w:rPr>
              <w:t>/ El Mashreq comprende Egipto, Jordania y Líbano. Excluye Siria debido a la incertidumbre de la situación política.</w:t>
            </w:r>
          </w:p>
          <w:p w14:paraId="577E3AB3" w14:textId="77777777" w:rsidR="009B1CF2" w:rsidRPr="00BA5240" w:rsidRDefault="009B1CF2" w:rsidP="009B1CF2">
            <w:pPr>
              <w:ind w:left="113" w:hanging="113"/>
              <w:jc w:val="both"/>
              <w:rPr>
                <w:rFonts w:eastAsia="Times New Roman"/>
                <w:sz w:val="12"/>
                <w:szCs w:val="12"/>
                <w:lang w:val="es-ES"/>
              </w:rPr>
            </w:pPr>
            <w:r w:rsidRPr="00BA5240">
              <w:rPr>
                <w:rFonts w:eastAsia="Times New Roman"/>
                <w:sz w:val="12"/>
                <w:szCs w:val="12"/>
                <w:lang w:val="es-ES"/>
              </w:rPr>
              <w:t>FUENTE: FMI.</w:t>
            </w:r>
          </w:p>
        </w:tc>
      </w:tr>
    </w:tbl>
    <w:p w14:paraId="3949B157" w14:textId="77777777" w:rsidR="00BA5240" w:rsidRDefault="00BA5240" w:rsidP="009B1CF2">
      <w:pPr>
        <w:spacing w:after="360" w:line="360" w:lineRule="auto"/>
        <w:ind w:right="-159"/>
        <w:jc w:val="both"/>
        <w:rPr>
          <w:rFonts w:eastAsia="Calibri"/>
          <w:sz w:val="26"/>
          <w:szCs w:val="26"/>
          <w:lang w:eastAsia="en-US"/>
        </w:rPr>
      </w:pPr>
    </w:p>
    <w:p w14:paraId="1FCCA1C4"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 producción y los precios del petróleo, así como los persistentes conflictos en la región, constituyen importantes riesgos para las perspectivas. Continúa la creciente incertidumbre sobre el mercado petrolero, observándose una volatilidad del precio del petróleo en niveles históricamente altos y riesgos para la producción de petróleo inclinados a la baja. Los riesgos a la baja para el crecimiento no petrolero también se </w:t>
      </w:r>
      <w:r w:rsidRPr="009B1CF2">
        <w:rPr>
          <w:rFonts w:eastAsia="Calibri"/>
          <w:sz w:val="26"/>
          <w:szCs w:val="26"/>
          <w:lang w:eastAsia="en-US"/>
        </w:rPr>
        <w:lastRenderedPageBreak/>
        <w:t xml:space="preserve">deben a la posibilidad de que el ajuste fiscal sea mayor de lo previsto actualmente o de que la inversión privada se vea afectada por una pérdida de confianza. El recrudecimiento de los conflictos y las perturbaciones de la seguridad en una serie de países exportadores de petróleo podrían socavar aún más la actividad económica, postergar las reformas y mermar la confianza. </w:t>
      </w:r>
    </w:p>
    <w:p w14:paraId="08669288"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autoridades económicas deben estar preparadas para hacer frente a un período sostenido de precios del petróleo más bajos y reevaluar sus planes a mediano plazo según corresponda. Los países deben abordar las vulnerabilidades fiscales generadas por la rápida erosión de los márgenes de maniobra existentes y los elevados precios de equilibrio del petróleo, y ahorrar montos equitativos de su riqueza petrolera no renovable para las generaciones futuras. A fin de evitar en lo posible perjudicar el crecimiento, los planes de consolidación fiscal deberían centrarse en controlar los gastos corrientes, entre otras formas, limitando el crecimiento de los costos salariales del sector público y reduciendo los subsidios generalizados a la energía, que siguen siendo elevados en muchos países a pesar de la caída de los precios del petróleo. Es preciso priorizar los gastos de capital y aumentar los ingresos no petroleros a fin de respaldar los esfuerzos orientados a frenar el gasto. </w:t>
      </w:r>
    </w:p>
    <w:p w14:paraId="621012F7"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Paralelamente a la consolidación fiscal, es necesario aplicar importantes reformas estructurales para abandonar los anteriores modelos de crecimiento impulsados por un gasto público que estaba respaldado por el petróleo y para elevar la productividad en el sector privado no petrolero. El desafío consistirá en fomentar la diversificación hacia actividades en el sector de bienes transables y permitir al sector privado convertirse en un motor del crecimiento más independiente, alentando al mismo tiempo la creación de empleo en este sector. </w:t>
      </w:r>
    </w:p>
    <w:p w14:paraId="1DB48A57" w14:textId="77777777" w:rsidR="009B1CF2" w:rsidRPr="009B1CF2" w:rsidRDefault="009B1CF2" w:rsidP="009B1CF2">
      <w:pPr>
        <w:spacing w:after="360" w:line="360" w:lineRule="auto"/>
        <w:ind w:right="-159"/>
        <w:jc w:val="both"/>
        <w:rPr>
          <w:rFonts w:eastAsia="Calibri"/>
          <w:sz w:val="26"/>
          <w:szCs w:val="26"/>
          <w:lang w:eastAsia="en-US"/>
        </w:rPr>
      </w:pPr>
    </w:p>
    <w:p w14:paraId="322BE1B4" w14:textId="77777777" w:rsidR="009B1CF2" w:rsidRPr="009B1CF2" w:rsidRDefault="009B1CF2" w:rsidP="009B1CF2">
      <w:pPr>
        <w:spacing w:after="360" w:line="360" w:lineRule="auto"/>
        <w:ind w:right="-159"/>
        <w:jc w:val="both"/>
        <w:rPr>
          <w:rFonts w:eastAsia="Calibri"/>
          <w:sz w:val="26"/>
          <w:szCs w:val="26"/>
          <w:lang w:eastAsia="en-US"/>
        </w:rPr>
      </w:pPr>
    </w:p>
    <w:p w14:paraId="587E95C6"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lastRenderedPageBreak/>
        <w:t>ORIENTE MEDIO, NORTE DE ÁFRICA, AFGANISTÁN Y PAKISTÁN: PETRÓLEO, CONFLICTOS Y TRANSICIONES</w:t>
      </w:r>
    </w:p>
    <w:p w14:paraId="0B44AF8A" w14:textId="77777777"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El crecimiento continuó siendo débil en Oriente Medio, Norte de África, Afganistán y Pakistán (OMNAP) en 2014 en un contexto caracterizado por la disminución de los precios del petróleo, la intensificación de los conflictos y la persistente incertidumbre política. El fuerte descenso de los precios del petróleo ha debilitado los saldos fiscales y externos de los países exportadores de petróleo de la región, proporcionando al mismo tiempo un muy necesario margen de maniobra a los países importadores de petróleo. En toda la región, la disminución de los precios del petróleo brinda la oportunidad de implementar reformas estructurales y de los subsidios, las cuales crearán espacio fiscal para realizar inversiones que promuevan el crecimiento, mejorar la competitividad y respaldar la creación de empleo y el crecimiento inclusivo</w:t>
      </w:r>
    </w:p>
    <w:tbl>
      <w:tblPr>
        <w:tblW w:w="0" w:type="auto"/>
        <w:tblLook w:val="04A0" w:firstRow="1" w:lastRow="0" w:firstColumn="1" w:lastColumn="0" w:noHBand="0" w:noVBand="1"/>
      </w:tblPr>
      <w:tblGrid>
        <w:gridCol w:w="8828"/>
      </w:tblGrid>
      <w:tr w:rsidR="009B1CF2" w:rsidRPr="009B1CF2" w14:paraId="2C059970" w14:textId="77777777" w:rsidTr="008B3DA6">
        <w:tc>
          <w:tcPr>
            <w:tcW w:w="8828" w:type="dxa"/>
          </w:tcPr>
          <w:p w14:paraId="650EF61B" w14:textId="77777777" w:rsidR="009B1CF2" w:rsidRPr="009B1CF2" w:rsidRDefault="009B1CF2" w:rsidP="009B1CF2">
            <w:pPr>
              <w:jc w:val="center"/>
              <w:rPr>
                <w:sz w:val="22"/>
                <w:szCs w:val="22"/>
                <w:lang w:eastAsia="en-US"/>
              </w:rPr>
            </w:pPr>
            <w:r w:rsidRPr="009B1CF2">
              <w:rPr>
                <w:sz w:val="22"/>
                <w:szCs w:val="22"/>
                <w:lang w:eastAsia="en-US"/>
              </w:rPr>
              <w:fldChar w:fldCharType="begin"/>
            </w:r>
            <w:r w:rsidRPr="009B1CF2">
              <w:rPr>
                <w:sz w:val="22"/>
                <w:szCs w:val="22"/>
                <w:lang w:eastAsia="en-US"/>
              </w:rPr>
              <w:instrText xml:space="preserve"> LINK PowerPoint.Slide.8 "D:\\2015\\ABRIL\\GRÁFICAS POWER POINT\\25.-GRÁFICAS  DEL FONDO MONETARIO.pptx!299" "" \a \p </w:instrText>
            </w:r>
            <w:r w:rsidRPr="009B1CF2">
              <w:rPr>
                <w:sz w:val="22"/>
                <w:szCs w:val="22"/>
                <w:lang w:eastAsia="en-US"/>
              </w:rPr>
              <w:fldChar w:fldCharType="separate"/>
            </w:r>
            <w:r w:rsidRPr="009B1CF2">
              <w:rPr>
                <w:noProof/>
                <w:sz w:val="22"/>
                <w:szCs w:val="22"/>
                <w:lang w:eastAsia="es-MX"/>
              </w:rPr>
              <w:drawing>
                <wp:inline distT="0" distB="0" distL="0" distR="0" wp14:anchorId="41ED0075" wp14:editId="3C375B13">
                  <wp:extent cx="3811905" cy="1792021"/>
                  <wp:effectExtent l="0" t="0" r="0" b="0"/>
                  <wp:docPr id="1870" name="Imagen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2488" t="14434" r="12059" b="22678"/>
                          <a:stretch/>
                        </pic:blipFill>
                        <pic:spPr bwMode="auto">
                          <a:xfrm>
                            <a:off x="0" y="0"/>
                            <a:ext cx="3811905" cy="1792021"/>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sz w:val="22"/>
                <w:szCs w:val="22"/>
                <w:lang w:eastAsia="en-US"/>
              </w:rPr>
              <w:fldChar w:fldCharType="end"/>
            </w:r>
          </w:p>
          <w:p w14:paraId="0A0453C3" w14:textId="77777777" w:rsidR="009B1CF2" w:rsidRDefault="009B1CF2" w:rsidP="009B1CF2">
            <w:pPr>
              <w:jc w:val="center"/>
              <w:rPr>
                <w:sz w:val="22"/>
                <w:szCs w:val="22"/>
                <w:lang w:eastAsia="en-US"/>
              </w:rPr>
            </w:pPr>
            <w:r w:rsidRPr="009B1CF2">
              <w:rPr>
                <w:sz w:val="22"/>
                <w:szCs w:val="22"/>
                <w:lang w:eastAsia="en-US"/>
              </w:rPr>
              <w:fldChar w:fldCharType="begin"/>
            </w:r>
            <w:r w:rsidRPr="009B1CF2">
              <w:rPr>
                <w:sz w:val="22"/>
                <w:szCs w:val="22"/>
                <w:lang w:eastAsia="en-US"/>
              </w:rPr>
              <w:instrText xml:space="preserve"> LINK PowerPoint.Slide.8 "D:\\2015\\ABRIL\\GRÁFICAS POWER POINT\\25.-GRÁFICAS  DEL FONDO MONETARIO.pptx!300" "" \a \p </w:instrText>
            </w:r>
            <w:r w:rsidRPr="009B1CF2">
              <w:rPr>
                <w:sz w:val="22"/>
                <w:szCs w:val="22"/>
                <w:lang w:eastAsia="en-US"/>
              </w:rPr>
              <w:fldChar w:fldCharType="separate"/>
            </w:r>
            <w:r w:rsidRPr="009B1CF2">
              <w:rPr>
                <w:noProof/>
                <w:sz w:val="22"/>
                <w:szCs w:val="22"/>
                <w:lang w:eastAsia="es-MX"/>
              </w:rPr>
              <w:drawing>
                <wp:inline distT="0" distB="0" distL="0" distR="0" wp14:anchorId="32ADC830" wp14:editId="4FE59C93">
                  <wp:extent cx="3731895" cy="2020570"/>
                  <wp:effectExtent l="0" t="0" r="1905" b="0"/>
                  <wp:docPr id="1871" name="Imagen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2"/>
                          <pic:cNvPicPr>
                            <a:picLocks noChangeAspect="1" noChangeArrowheads="1"/>
                          </pic:cNvPicPr>
                        </pic:nvPicPr>
                        <pic:blipFill>
                          <a:blip r:embed="rId86" cstate="print">
                            <a:extLst>
                              <a:ext uri="{28A0092B-C50C-407E-A947-70E740481C1C}">
                                <a14:useLocalDpi xmlns:a14="http://schemas.microsoft.com/office/drawing/2010/main" val="0"/>
                              </a:ext>
                            </a:extLst>
                          </a:blip>
                          <a:srcRect l="11777" t="7047" r="14754" b="22159"/>
                          <a:stretch>
                            <a:fillRect/>
                          </a:stretch>
                        </pic:blipFill>
                        <pic:spPr bwMode="auto">
                          <a:xfrm>
                            <a:off x="0" y="0"/>
                            <a:ext cx="3731895" cy="2020570"/>
                          </a:xfrm>
                          <a:prstGeom prst="rect">
                            <a:avLst/>
                          </a:prstGeom>
                          <a:noFill/>
                          <a:ln>
                            <a:noFill/>
                          </a:ln>
                        </pic:spPr>
                      </pic:pic>
                    </a:graphicData>
                  </a:graphic>
                </wp:inline>
              </w:drawing>
            </w:r>
            <w:r w:rsidRPr="009B1CF2">
              <w:rPr>
                <w:sz w:val="22"/>
                <w:szCs w:val="22"/>
                <w:lang w:eastAsia="en-US"/>
              </w:rPr>
              <w:fldChar w:fldCharType="end"/>
            </w:r>
          </w:p>
          <w:p w14:paraId="0CDCC054" w14:textId="77777777" w:rsidR="0098560F" w:rsidRDefault="0098560F" w:rsidP="009B1CF2">
            <w:pPr>
              <w:jc w:val="center"/>
              <w:rPr>
                <w:sz w:val="22"/>
                <w:szCs w:val="22"/>
                <w:lang w:eastAsia="en-US"/>
              </w:rPr>
            </w:pPr>
          </w:p>
          <w:p w14:paraId="0BCB1EAD" w14:textId="77777777" w:rsidR="0098560F" w:rsidRDefault="0098560F" w:rsidP="009B1CF2">
            <w:pPr>
              <w:jc w:val="center"/>
              <w:rPr>
                <w:sz w:val="22"/>
                <w:szCs w:val="22"/>
                <w:lang w:eastAsia="en-US"/>
              </w:rPr>
            </w:pPr>
          </w:p>
          <w:p w14:paraId="0A648341" w14:textId="77777777" w:rsidR="0098560F" w:rsidRDefault="0098560F" w:rsidP="009B1CF2">
            <w:pPr>
              <w:jc w:val="center"/>
              <w:rPr>
                <w:sz w:val="22"/>
                <w:szCs w:val="22"/>
                <w:lang w:eastAsia="en-US"/>
              </w:rPr>
            </w:pPr>
          </w:p>
          <w:p w14:paraId="4D0C1520" w14:textId="77777777" w:rsidR="0098560F" w:rsidRPr="009B1CF2" w:rsidRDefault="0098560F" w:rsidP="009B1CF2">
            <w:pPr>
              <w:jc w:val="center"/>
              <w:rPr>
                <w:sz w:val="22"/>
                <w:szCs w:val="22"/>
                <w:lang w:eastAsia="en-US"/>
              </w:rPr>
            </w:pPr>
          </w:p>
          <w:p w14:paraId="630E0D2B" w14:textId="77777777" w:rsidR="009B1CF2" w:rsidRPr="009B1CF2" w:rsidRDefault="009B1CF2" w:rsidP="009B1CF2">
            <w:pPr>
              <w:jc w:val="center"/>
              <w:rPr>
                <w:sz w:val="22"/>
                <w:szCs w:val="22"/>
                <w:lang w:eastAsia="en-US"/>
              </w:rPr>
            </w:pPr>
            <w:r w:rsidRPr="009B1CF2">
              <w:rPr>
                <w:sz w:val="22"/>
                <w:szCs w:val="22"/>
                <w:lang w:eastAsia="en-US"/>
              </w:rPr>
              <w:lastRenderedPageBreak/>
              <w:fldChar w:fldCharType="begin"/>
            </w:r>
            <w:r w:rsidRPr="009B1CF2">
              <w:rPr>
                <w:sz w:val="22"/>
                <w:szCs w:val="22"/>
                <w:lang w:eastAsia="en-US"/>
              </w:rPr>
              <w:instrText xml:space="preserve"> LINK PowerPoint.Slide.8 "D:\\2015\\ABRIL\\GRÁFICAS POWER POINT\\25.-GRÁFICAS  DEL FONDO MONETARIO.pptx!301" "" \a \p </w:instrText>
            </w:r>
            <w:r w:rsidRPr="009B1CF2">
              <w:rPr>
                <w:sz w:val="22"/>
                <w:szCs w:val="22"/>
                <w:lang w:eastAsia="en-US"/>
              </w:rPr>
              <w:fldChar w:fldCharType="separate"/>
            </w:r>
            <w:r w:rsidRPr="009B1CF2">
              <w:rPr>
                <w:noProof/>
                <w:sz w:val="22"/>
                <w:szCs w:val="22"/>
                <w:lang w:eastAsia="es-MX"/>
              </w:rPr>
              <w:drawing>
                <wp:inline distT="0" distB="0" distL="0" distR="0" wp14:anchorId="36B483A7" wp14:editId="462B65C0">
                  <wp:extent cx="3781425" cy="1971040"/>
                  <wp:effectExtent l="0" t="0" r="9525" b="0"/>
                  <wp:docPr id="1872" name="Imagen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3"/>
                          <pic:cNvPicPr>
                            <a:picLocks noChangeAspect="1" noChangeArrowheads="1"/>
                          </pic:cNvPicPr>
                        </pic:nvPicPr>
                        <pic:blipFill>
                          <a:blip r:embed="rId87" cstate="print">
                            <a:extLst>
                              <a:ext uri="{28A0092B-C50C-407E-A947-70E740481C1C}">
                                <a14:useLocalDpi xmlns:a14="http://schemas.microsoft.com/office/drawing/2010/main" val="0"/>
                              </a:ext>
                            </a:extLst>
                          </a:blip>
                          <a:srcRect l="13762" t="9308" r="11630" b="21417"/>
                          <a:stretch>
                            <a:fillRect/>
                          </a:stretch>
                        </pic:blipFill>
                        <pic:spPr bwMode="auto">
                          <a:xfrm>
                            <a:off x="0" y="0"/>
                            <a:ext cx="3781425" cy="1971040"/>
                          </a:xfrm>
                          <a:prstGeom prst="rect">
                            <a:avLst/>
                          </a:prstGeom>
                          <a:noFill/>
                          <a:ln>
                            <a:noFill/>
                          </a:ln>
                        </pic:spPr>
                      </pic:pic>
                    </a:graphicData>
                  </a:graphic>
                </wp:inline>
              </w:drawing>
            </w:r>
            <w:r w:rsidRPr="009B1CF2">
              <w:rPr>
                <w:sz w:val="22"/>
                <w:szCs w:val="22"/>
                <w:lang w:eastAsia="en-US"/>
              </w:rPr>
              <w:fldChar w:fldCharType="end"/>
            </w:r>
          </w:p>
          <w:p w14:paraId="2D1C26B4" w14:textId="6D9A5837" w:rsidR="009B1CF2" w:rsidRPr="009B1CF2" w:rsidRDefault="00501F0F" w:rsidP="009B1CF2">
            <w:pPr>
              <w:jc w:val="center"/>
              <w:rPr>
                <w:sz w:val="22"/>
                <w:szCs w:val="22"/>
                <w:lang w:eastAsia="en-US"/>
              </w:rPr>
            </w:pPr>
            <w:r>
              <w:fldChar w:fldCharType="begin"/>
            </w:r>
            <w:r>
              <w:instrText xml:space="preserve"> LINK PowerPoint.Slide.8 "D:\\2015\\ABRIL\\DOCUMENTOS\\25.-GRÁFICAS  DEL FONDO MONETARIO.pptx!302" "" \a \p </w:instrText>
            </w:r>
            <w:r>
              <w:fldChar w:fldCharType="separate"/>
            </w:r>
            <w:r>
              <w:rPr>
                <w:noProof/>
                <w:lang w:eastAsia="es-MX"/>
              </w:rPr>
              <w:drawing>
                <wp:inline distT="0" distB="0" distL="0" distR="0" wp14:anchorId="553737C1" wp14:editId="4262D808">
                  <wp:extent cx="4874895" cy="1890395"/>
                  <wp:effectExtent l="0" t="0" r="190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88" cstate="print">
                            <a:extLst>
                              <a:ext uri="{28A0092B-C50C-407E-A947-70E740481C1C}">
                                <a14:useLocalDpi xmlns:a14="http://schemas.microsoft.com/office/drawing/2010/main" val="0"/>
                              </a:ext>
                            </a:extLst>
                          </a:blip>
                          <a:srcRect l="8228" t="1260" r="11632" b="43575"/>
                          <a:stretch>
                            <a:fillRect/>
                          </a:stretch>
                        </pic:blipFill>
                        <pic:spPr bwMode="auto">
                          <a:xfrm>
                            <a:off x="0" y="0"/>
                            <a:ext cx="4874895" cy="1890395"/>
                          </a:xfrm>
                          <a:prstGeom prst="rect">
                            <a:avLst/>
                          </a:prstGeom>
                          <a:noFill/>
                          <a:ln>
                            <a:noFill/>
                          </a:ln>
                        </pic:spPr>
                      </pic:pic>
                    </a:graphicData>
                  </a:graphic>
                </wp:inline>
              </w:drawing>
            </w:r>
            <w:r>
              <w:fldChar w:fldCharType="end"/>
            </w:r>
          </w:p>
        </w:tc>
      </w:tr>
    </w:tbl>
    <w:p w14:paraId="6DDC338E" w14:textId="77777777" w:rsidR="009B1CF2" w:rsidRPr="009B1CF2" w:rsidRDefault="009B1CF2" w:rsidP="009B1CF2">
      <w:pPr>
        <w:spacing w:after="360" w:line="360" w:lineRule="auto"/>
        <w:ind w:right="-159"/>
        <w:jc w:val="both"/>
        <w:rPr>
          <w:rFonts w:eastAsia="Calibri"/>
          <w:b/>
          <w:sz w:val="26"/>
          <w:szCs w:val="26"/>
          <w:lang w:eastAsia="en-US"/>
        </w:rPr>
      </w:pPr>
    </w:p>
    <w:p w14:paraId="33B2AE92" w14:textId="77777777"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Economías importadoras de petróleo </w:t>
      </w:r>
    </w:p>
    <w:p w14:paraId="68DFE4BD"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los países importadores de petróleo de la región, la recuperación siguió siendo débil en 2014. El impulso generado por la mayor estabilidad política y las reformas iniciales se vio mermado por la intensificación de los conflictos regionales y las persistentes tensiones sociopolíticas y de seguridad. El débil crecimiento de la zona del euro y el deterioro de la competitividad provocado por el fortalecimiento del dólar estadounidense (en algunos países cuya moneda está vinculada a la moneda estadounidense) también afectaron negativamente a la actividad económica. Sin embargo, se observan señales de una incipiente mejora de la confianza, entre otras cosas, en el ascenso de la calificación de los primeros bonos internacionales emitidos por Egipto y Pakistán en siete años. </w:t>
      </w:r>
    </w:p>
    <w:p w14:paraId="70570E5C" w14:textId="3E80C2E9"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Se prevé que el crecimiento aumente de 3</w:t>
      </w:r>
      <w:r w:rsidR="00BA5240">
        <w:rPr>
          <w:rFonts w:eastAsia="Calibri"/>
          <w:sz w:val="26"/>
          <w:szCs w:val="26"/>
          <w:lang w:eastAsia="en-US"/>
        </w:rPr>
        <w:t>.</w:t>
      </w:r>
      <w:r w:rsidRPr="009B1CF2">
        <w:rPr>
          <w:rFonts w:eastAsia="Calibri"/>
          <w:sz w:val="26"/>
          <w:szCs w:val="26"/>
          <w:lang w:eastAsia="en-US"/>
        </w:rPr>
        <w:t xml:space="preserve">0% registrado el pasado año a 4.0% en 2015 y a 4.4% en 2016 (cuadro </w:t>
      </w:r>
      <w:r w:rsidRPr="009B1CF2">
        <w:rPr>
          <w:rFonts w:eastAsia="Calibri"/>
          <w:i/>
          <w:sz w:val="26"/>
          <w:szCs w:val="26"/>
          <w:lang w:eastAsia="en-US"/>
        </w:rPr>
        <w:t>PIB real, precios al consumidor, saldo en cuenta corriente y desempleo en las economías de Oriente Medio, Norte de África, Afganistán y Pakistán</w:t>
      </w:r>
      <w:r w:rsidRPr="009B1CF2">
        <w:rPr>
          <w:rFonts w:eastAsia="Calibri"/>
          <w:sz w:val="26"/>
          <w:szCs w:val="26"/>
          <w:lang w:eastAsia="en-US"/>
        </w:rPr>
        <w:t xml:space="preserve">). Se espera que la demanda interna mejore gracias al fortalecimiento de la confianza, la aplicación de una política monetaria más expansiva y el menor freno fiscal. La recuperación en Europa respaldará el crecimiento de las exportaciones, lo cual compensará el impacto negativo provocado por la desaceleración del crecimiento en los países exportadores de petróleo de la región. La disminución de los precios del petróleo está reduciendo las vulnerabilidades, pero su impacto en el crecimiento es limitado dado que los gobiernos ahorrarán gran parte de los ingresos petroleros extraordinarios. Además, las crecientes dificultades en materia de seguridad y los efectos de contagio regionales afectarán negativamente a las perspectivas de reforma. También hay en juego factores específicos de cada país, por ejemplo: </w:t>
      </w:r>
    </w:p>
    <w:p w14:paraId="56CEC83F" w14:textId="77777777" w:rsidR="009B1CF2" w:rsidRPr="009B1CF2" w:rsidRDefault="009B1CF2" w:rsidP="003518F4">
      <w:pPr>
        <w:numPr>
          <w:ilvl w:val="1"/>
          <w:numId w:val="16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Egipto, se espera que los planes de estabilización macroeconómica y las reformas estructurales de gran alcance fortalezcan la confianza, y se prevé que el crecimiento aumente a 4% este año. Sin embargo, es necesario seguir avanzando en la consolidación fiscal, implementar reformas de manera sostenida y lograr financiamiento externo para mantener la estabilidad macroeconómica y generar un crecimiento sostenible y empleos. </w:t>
      </w:r>
    </w:p>
    <w:p w14:paraId="55E4F738" w14:textId="77777777" w:rsidR="009B1CF2" w:rsidRPr="009B1CF2" w:rsidRDefault="009B1CF2" w:rsidP="003518F4">
      <w:pPr>
        <w:numPr>
          <w:ilvl w:val="1"/>
          <w:numId w:val="16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Marruecos, la implementación firme de políticas (entre ellas, la eliminación de los subsidios energéticos) ha ayudado a estabilizar la economía. Se prevé que el fortalecimiento de la demanda externa, el aumento de la confianza y la recuperación de la producción agrícola impulsen el crecimiento a 4.4% en 2015 y 5% en 2016, pero es necesario seguir implementando reformas estructurales, incluidas aquellas reformas dirigidas a mejorar el clima empresarial, a fin de mejorar la competitividad y empleo. </w:t>
      </w:r>
    </w:p>
    <w:p w14:paraId="4BED137B" w14:textId="74371D75" w:rsidR="009B1CF2" w:rsidRPr="009B1CF2" w:rsidRDefault="009B1CF2" w:rsidP="003518F4">
      <w:pPr>
        <w:numPr>
          <w:ilvl w:val="1"/>
          <w:numId w:val="16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lastRenderedPageBreak/>
        <w:t>En Pakistán, la economía se ha estabilizado, y se prevé un crecimiento de 4</w:t>
      </w:r>
      <w:r w:rsidR="00BA5240">
        <w:rPr>
          <w:rFonts w:eastAsia="Calibri"/>
          <w:sz w:val="26"/>
          <w:szCs w:val="26"/>
          <w:lang w:eastAsia="en-US"/>
        </w:rPr>
        <w:t>.</w:t>
      </w:r>
      <w:r w:rsidRPr="009B1CF2">
        <w:rPr>
          <w:rFonts w:eastAsia="Calibri"/>
          <w:sz w:val="26"/>
          <w:szCs w:val="26"/>
          <w:lang w:eastAsia="en-US"/>
        </w:rPr>
        <w:t xml:space="preserve">3% en 2015 y una mejora gradual de las posiciones fiscal y externa. Es de vital importancia aplicar reformas contundentes para afianzar estos avances y contrarrestar los efectos adversos de la caída de los precios del algodón y las tensiones políticas y de seguridad en la actividad económica.  </w:t>
      </w:r>
    </w:p>
    <w:p w14:paraId="6111445A" w14:textId="77777777" w:rsidR="009B1CF2" w:rsidRPr="009B1CF2" w:rsidRDefault="009B1CF2" w:rsidP="003518F4">
      <w:pPr>
        <w:numPr>
          <w:ilvl w:val="1"/>
          <w:numId w:val="164"/>
        </w:numPr>
        <w:spacing w:after="360" w:line="360" w:lineRule="auto"/>
        <w:ind w:left="714" w:right="-159" w:hanging="357"/>
        <w:jc w:val="both"/>
        <w:rPr>
          <w:rFonts w:eastAsia="Calibri"/>
          <w:sz w:val="26"/>
          <w:szCs w:val="26"/>
          <w:lang w:eastAsia="en-US"/>
        </w:rPr>
      </w:pPr>
      <w:r w:rsidRPr="009B1CF2">
        <w:rPr>
          <w:rFonts w:eastAsia="Calibri"/>
          <w:sz w:val="26"/>
          <w:szCs w:val="26"/>
          <w:lang w:eastAsia="en-US"/>
        </w:rPr>
        <w:t xml:space="preserve">En Túnez, se prevé un retorno de la confianza y del crecimiento cuando concluya la transición política, pero el aumento de los desequilibrios externos, las persistentes vulnerabilidades bancarias y las tensiones en materia de seguridad afectarán negativamente a la actividad económica. En Jordania, se prevé que la disminución de los precios del petróleo y la aplicación de reformas adicionales contribuyan a aumentar el crecimiento en el presente año. En Líbano, el estancamiento político y los efectos de contagio derivados del conflicto en Siria seguirán frenando la actividad económica. Y Sudán continúa adaptándose a la caída de los ingresos petroleros debido a la secesión de Sudán del Sur, en el contexto de un entorno regional volátil, sanciones y una elevada carga de la deuda.  </w:t>
      </w:r>
    </w:p>
    <w:p w14:paraId="6E781565"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Los riesgos para el crecimiento en la región se inclinan a la baja. La intensificación de las tensiones y los problemas en las transiciones políticas podrían socavar aún más el comercio, la confianza, los esfuerzos de reforma y la estabilidad macroeconómica. Un crecimiento menor de lo previsto en Europa, los países miembros del Consejo de Cooperación para los Estados Árabes del Golfo o los mercados emergentes podría desacelerar el turismo y las exportaciones, y con algún rezago, las remesas y el apoyo financiero. Por el lado positivo, los gastos menores de lo previsto derivados de la caída de los precios del petróleo podrían impulsar aún más el crecimiento. </w:t>
      </w:r>
    </w:p>
    <w:p w14:paraId="0FD9C8B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Para mejorar las perspectivas económicas y la creación de empleos se requerirá implementar reformas estructurales en muchos ámbitos. Es de vital importancia </w:t>
      </w:r>
      <w:r w:rsidRPr="009B1CF2">
        <w:rPr>
          <w:rFonts w:eastAsia="Calibri"/>
          <w:sz w:val="26"/>
          <w:szCs w:val="26"/>
          <w:lang w:eastAsia="en-US"/>
        </w:rPr>
        <w:lastRenderedPageBreak/>
        <w:t xml:space="preserve">fortalecer el clima de negocios e implementar reformas de la gestión de gobierno, mejorar el acceso al financiamiento y promover la eficiencia del mercado de trabajo y la infraestructura a fin de reducir los costos operativos de las empresas y crear nuevos empleos. Para promover la productividad y la innovación es esencial fortalecer las capacidades de los trabajadores a través de la educación para adaptarlas a las necesidades del sector privado, adoptar las últimas tecnologías y técnicas de gestión, intensificar la integración comercial y recalibrar el papel del gobierno en apoyo del sector privado. El respaldo internacional a través de financiamiento, el acceso a los principales mercados de exportación, la asistencia técnica y el asesoramiento en materia de políticas impulsarían estos esfuerzos de reforma. </w:t>
      </w:r>
    </w:p>
    <w:p w14:paraId="30F4F1AA"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políticas macroeconómicas pueden respaldar estas reformas a favor del crecimiento y la equidad, asegurando al mismo tiempo la estabilidad macroeconómica. La caída de precios del petróleo crea condiciones favorables para acelerar la reforma de los subsidios y aumentar los impuestos sobre la energía. Si la sostenibilidad fiscal y externa constituye un motivo de preocupación, es preciso ahorrar las ganancias extraordinarias. Si existe espacio, los recursos liberados podrían gastarse en infraestructura que promueva el crecimiento, la atención de la salud y la educación. Dada la incertidumbre que rodea la persistencia de la caída de los precios del petróleo, los países deben evitar compromisos de gasto irreversibles, tales como un aumento del gasto salarial del sector público. El incremento de las reservas y los bajos niveles de inflación brindan una oportunidad para reforzar la flexibilidad del tipo de cambio a fin de mejorar la competitividad —en especial después de la apreciación del dólar estadounidense— y la capacidad de ajustarse a los </w:t>
      </w:r>
      <w:r w:rsidRPr="009B1CF2">
        <w:rPr>
          <w:rFonts w:eastAsia="Calibri"/>
          <w:i/>
          <w:sz w:val="26"/>
          <w:szCs w:val="26"/>
          <w:lang w:eastAsia="en-US"/>
        </w:rPr>
        <w:t>shocks</w:t>
      </w:r>
      <w:r w:rsidRPr="009B1CF2">
        <w:rPr>
          <w:rFonts w:eastAsia="Calibri"/>
          <w:sz w:val="26"/>
          <w:szCs w:val="26"/>
          <w:lang w:eastAsia="en-US"/>
        </w:rPr>
        <w:t xml:space="preserve">.  </w:t>
      </w:r>
    </w:p>
    <w:p w14:paraId="3FE7C58C" w14:textId="7E4972AC" w:rsidR="009B1CF2" w:rsidRPr="009B1CF2" w:rsidRDefault="009B1CF2" w:rsidP="009B1CF2">
      <w:pPr>
        <w:spacing w:after="360" w:line="360" w:lineRule="auto"/>
        <w:ind w:right="-159"/>
        <w:jc w:val="both"/>
        <w:rPr>
          <w:rFonts w:eastAsia="Calibri"/>
          <w:b/>
          <w:sz w:val="26"/>
          <w:szCs w:val="26"/>
          <w:lang w:eastAsia="en-US"/>
        </w:rPr>
      </w:pPr>
      <w:r w:rsidRPr="009B1CF2">
        <w:rPr>
          <w:rFonts w:eastAsia="Calibri"/>
          <w:b/>
          <w:sz w:val="26"/>
          <w:szCs w:val="26"/>
          <w:lang w:eastAsia="en-US"/>
        </w:rPr>
        <w:t xml:space="preserve">África </w:t>
      </w:r>
      <w:r w:rsidR="001611C8">
        <w:rPr>
          <w:rFonts w:eastAsia="Calibri"/>
          <w:b/>
          <w:sz w:val="26"/>
          <w:szCs w:val="26"/>
          <w:lang w:eastAsia="en-US"/>
        </w:rPr>
        <w:t>Subsahariana</w:t>
      </w:r>
      <w:r w:rsidRPr="009B1CF2">
        <w:rPr>
          <w:rFonts w:eastAsia="Calibri"/>
          <w:b/>
          <w:sz w:val="26"/>
          <w:szCs w:val="26"/>
          <w:lang w:eastAsia="en-US"/>
        </w:rPr>
        <w:t xml:space="preserve">: Resiliencia frente a los vientos en contra </w:t>
      </w:r>
    </w:p>
    <w:p w14:paraId="39926DF1" w14:textId="2705B23D"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El crecimiento en África </w:t>
      </w:r>
      <w:r w:rsidR="001611C8">
        <w:rPr>
          <w:rFonts w:eastAsia="Calibri"/>
          <w:sz w:val="26"/>
          <w:szCs w:val="26"/>
          <w:lang w:eastAsia="en-US"/>
        </w:rPr>
        <w:t>Subsahariana</w:t>
      </w:r>
      <w:r w:rsidRPr="009B1CF2">
        <w:rPr>
          <w:rFonts w:eastAsia="Calibri"/>
          <w:sz w:val="26"/>
          <w:szCs w:val="26"/>
          <w:lang w:eastAsia="en-US"/>
        </w:rPr>
        <w:t xml:space="preserve"> sigue siendo sólido, pero, según las previsiones, se desacelerará en 2015 debido a los vientos en contra derivados de la caída de los </w:t>
      </w:r>
      <w:r w:rsidRPr="009B1CF2">
        <w:rPr>
          <w:rFonts w:eastAsia="Calibri"/>
          <w:sz w:val="26"/>
          <w:szCs w:val="26"/>
          <w:lang w:eastAsia="en-US"/>
        </w:rPr>
        <w:lastRenderedPageBreak/>
        <w:t xml:space="preserve">precios de las materias primas y la epidemia que azota a los países afectados por el ébola. Los principales riesgos a la baja son una mayor desaceleración del crecimiento de sus principales socios comerciales, un endurecimiento de las condiciones financieras mundiales más drástico del esperado y un aumento de las amenazas en materia de seguridad nacional y de la incertidumbre política de cara a las elecciones. Los países exportadores de petróleo deberían efectuar ajustes fiscales rápidamente, mientras que la orientación de las políticas de los países importadores de petróleo debería permitir encontrar un equilibrio adecuado entre promover el crecimiento y preservar la estabilidad. </w:t>
      </w:r>
    </w:p>
    <w:p w14:paraId="41908779" w14:textId="5B2AFEF9"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2014, el crecimiento de África </w:t>
      </w:r>
      <w:r w:rsidR="001611C8">
        <w:rPr>
          <w:rFonts w:eastAsia="Calibri"/>
          <w:sz w:val="26"/>
          <w:szCs w:val="26"/>
          <w:lang w:eastAsia="en-US"/>
        </w:rPr>
        <w:t>Subsahariana</w:t>
      </w:r>
      <w:r w:rsidRPr="009B1CF2">
        <w:rPr>
          <w:rFonts w:eastAsia="Calibri"/>
          <w:sz w:val="26"/>
          <w:szCs w:val="26"/>
          <w:lang w:eastAsia="en-US"/>
        </w:rPr>
        <w:t xml:space="preserve"> en su conjunto se mantuvo sólido en 5%, aunque se trata de una cifra inferior al 5.2% registrado en 2013. En Sudáfrica, el crecimiento cayó de 2.2% en 2013 a 1.5% en 2014, como consecuencia de las huelgas en el sector de la minería y las limitaciones de la oferta energética. En el resto de la región, especialmente en los países de bajo ingreso, el crecimiento se mantuvo estable gracias a las fuertes inversiones realizadas en el sector de la minería y en infraestructura y al consumo privado. Guinea, Liberia y Sierra Leona fueron la excepción, puesto que su crecimiento cayó bruscamente como consecuencia de la epidemia de ébola, que ocasionó graves perturbaciones en los sectores agrícola y de servicios y el aplazamiento de proyectos de desarrollo en el sector de la minería. </w:t>
      </w:r>
    </w:p>
    <w:p w14:paraId="60AA0D63"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Los países exportadores de petróleo de la región, en particular los que cuentan con reservas limitadas (Chad, Nigeria), comenzaron a adaptarse a la disminución de los precios del petróleo. Este ajuste conllevó un crecimiento menor del esperado. En cambio, el crecimiento en los países importadores de petróleo de la región fue por lo general conforme a las proyecciones anteriores, aunque con considerables variaciones entre los países.</w:t>
      </w:r>
    </w:p>
    <w:p w14:paraId="76D08666"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Los saldos fiscales y en cuenta corriente se deterioraron significativamente en los países exportadores de petróleo de la región, debido al financiamiento de ambiciosos proyectos de inversión en infraestructura con ingresos del petróleo cada vez más reducidos (gráfica siguiente). Los saldos fiscales también se deterioraron en otros países de la región, como resultado de las persistentes dificultades fiscales que atraviesan los países afectados por el ébola y del fuerte aumento excepcional del gasto en Mozambique. En cambio, los saldos fiscales de Ghana y Zambia mejoraron gracias a los esfuerzos de consolidación realizados. Los bajos precios del petróleo y de los alimentos han contribuido a reforzar el contexto de baja inflación en la región, lo que les puede permitir a los países con niveles más bajos de crecimiento adoptar una orientación de la política monetaria más acomodaticia. El dólar se ha apreciado recientemente, y esto podría afectar la competitividad de algunos países cuya moneda está vinculada en general al dólar estadounidense. </w:t>
      </w:r>
    </w:p>
    <w:p w14:paraId="38C0E56D" w14:textId="4516AB49"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 xml:space="preserve">ÁFRICA </w:t>
      </w:r>
      <w:r w:rsidR="001611C8">
        <w:rPr>
          <w:rFonts w:eastAsia="Calibri"/>
          <w:b/>
          <w:sz w:val="20"/>
          <w:szCs w:val="20"/>
          <w:lang w:eastAsia="en-US"/>
        </w:rPr>
        <w:t>SUBSAHARIANA</w:t>
      </w:r>
      <w:r w:rsidRPr="009B1CF2">
        <w:rPr>
          <w:rFonts w:eastAsia="Calibri"/>
          <w:b/>
          <w:sz w:val="20"/>
          <w:szCs w:val="20"/>
          <w:lang w:eastAsia="en-US"/>
        </w:rPr>
        <w:t>: RESILENCIA ANTE LOS VIENTOS EN CONTRA</w:t>
      </w:r>
    </w:p>
    <w:p w14:paraId="5B2E4F80" w14:textId="0D0DC5D8" w:rsidR="009B1CF2" w:rsidRPr="009B1CF2" w:rsidRDefault="009B1CF2" w:rsidP="009B1CF2">
      <w:pPr>
        <w:ind w:left="1134" w:right="1134"/>
        <w:jc w:val="center"/>
        <w:rPr>
          <w:rFonts w:eastAsia="Calibri"/>
          <w:b/>
          <w:sz w:val="20"/>
          <w:szCs w:val="20"/>
          <w:lang w:eastAsia="en-US"/>
        </w:rPr>
      </w:pPr>
      <w:r w:rsidRPr="009B1CF2">
        <w:rPr>
          <w:rFonts w:eastAsia="Calibri"/>
          <w:b/>
          <w:sz w:val="20"/>
          <w:szCs w:val="20"/>
          <w:lang w:eastAsia="en-US"/>
        </w:rPr>
        <w:t xml:space="preserve">El crecimiento se mantendrá sólido en la mayoría de las economías de África </w:t>
      </w:r>
      <w:r w:rsidR="001611C8">
        <w:rPr>
          <w:rFonts w:eastAsia="Calibri"/>
          <w:b/>
          <w:sz w:val="20"/>
          <w:szCs w:val="20"/>
          <w:lang w:eastAsia="en-US"/>
        </w:rPr>
        <w:t>Subsahariana</w:t>
      </w:r>
      <w:r w:rsidRPr="009B1CF2">
        <w:rPr>
          <w:rFonts w:eastAsia="Calibri"/>
          <w:b/>
          <w:sz w:val="20"/>
          <w:szCs w:val="20"/>
          <w:lang w:eastAsia="en-US"/>
        </w:rPr>
        <w:t xml:space="preserve">, a pesar del fuerte shock adverso derivado del descenso de los precios del petróleo. Los exportadores de petróleo se enfrentarán al enorme desafío de lidiar con este </w:t>
      </w:r>
      <w:r w:rsidRPr="009B1CF2">
        <w:rPr>
          <w:rFonts w:eastAsia="Calibri"/>
          <w:b/>
          <w:i/>
          <w:sz w:val="20"/>
          <w:szCs w:val="20"/>
          <w:lang w:eastAsia="en-US"/>
        </w:rPr>
        <w:t>shock</w:t>
      </w:r>
      <w:r w:rsidRPr="009B1CF2">
        <w:rPr>
          <w:rFonts w:eastAsia="Calibri"/>
          <w:b/>
          <w:sz w:val="20"/>
          <w:szCs w:val="20"/>
          <w:lang w:eastAsia="en-US"/>
        </w:rPr>
        <w:t>. En el resto de la región, el abaratamiento del petróleo representa un hecho favorable, que en algunos casos, sin embargo, se verá neutralizado por el descenso de los precios de otras exportaciones de materias primas</w:t>
      </w:r>
    </w:p>
    <w:tbl>
      <w:tblPr>
        <w:tblW w:w="0" w:type="auto"/>
        <w:tblLook w:val="04A0" w:firstRow="1" w:lastRow="0" w:firstColumn="1" w:lastColumn="0" w:noHBand="0" w:noVBand="1"/>
      </w:tblPr>
      <w:tblGrid>
        <w:gridCol w:w="8828"/>
      </w:tblGrid>
      <w:tr w:rsidR="009B1CF2" w:rsidRPr="009B1CF2" w14:paraId="67FC2B93" w14:textId="77777777" w:rsidTr="008B3DA6">
        <w:tc>
          <w:tcPr>
            <w:tcW w:w="8828" w:type="dxa"/>
          </w:tcPr>
          <w:p w14:paraId="1AACD797"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MONETARIO.pptx!303"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34E3E116" wp14:editId="253ECB61">
                  <wp:extent cx="4102735" cy="1878518"/>
                  <wp:effectExtent l="0" t="0" r="0" b="7620"/>
                  <wp:docPr id="1874" name="Imagen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9"/>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12207" t="20454" r="13614" b="19395"/>
                          <a:stretch/>
                        </pic:blipFill>
                        <pic:spPr bwMode="auto">
                          <a:xfrm>
                            <a:off x="0" y="0"/>
                            <a:ext cx="4102735" cy="1878518"/>
                          </a:xfrm>
                          <a:prstGeom prst="rect">
                            <a:avLst/>
                          </a:prstGeom>
                          <a:noFill/>
                          <a:ln>
                            <a:noFill/>
                          </a:ln>
                          <a:extLst>
                            <a:ext uri="{53640926-AAD7-44D8-BBD7-CCE9431645EC}">
                              <a14:shadowObscured xmlns:a14="http://schemas.microsoft.com/office/drawing/2010/main"/>
                            </a:ext>
                          </a:extLst>
                        </pic:spPr>
                      </pic:pic>
                    </a:graphicData>
                  </a:graphic>
                </wp:inline>
              </w:drawing>
            </w:r>
            <w:r w:rsidRPr="009B1CF2">
              <w:rPr>
                <w:rFonts w:ascii="Calibri" w:eastAsia="Calibri" w:hAnsi="Calibri"/>
                <w:sz w:val="22"/>
                <w:szCs w:val="22"/>
                <w:lang w:eastAsia="en-US"/>
              </w:rPr>
              <w:fldChar w:fldCharType="end"/>
            </w:r>
          </w:p>
          <w:p w14:paraId="73D77985"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lastRenderedPageBreak/>
              <w:fldChar w:fldCharType="begin"/>
            </w:r>
            <w:r w:rsidRPr="009B1CF2">
              <w:rPr>
                <w:rFonts w:ascii="Calibri" w:eastAsia="Calibri" w:hAnsi="Calibri"/>
                <w:sz w:val="22"/>
                <w:szCs w:val="22"/>
                <w:lang w:eastAsia="en-US"/>
              </w:rPr>
              <w:instrText xml:space="preserve"> LINK PowerPoint.Slide.8 "D:\\2015\\ABRIL\\GRÁFICAS POWER POINT\\25.-GRÁFICAS  DEL FONDO MONETARIO.pptx!304"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750D1F87" wp14:editId="137F6F56">
                  <wp:extent cx="3942080" cy="1964690"/>
                  <wp:effectExtent l="0" t="0" r="1270" b="0"/>
                  <wp:docPr id="1875" name="Imagen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0"/>
                          <pic:cNvPicPr>
                            <a:picLocks noChangeAspect="1" noChangeArrowheads="1"/>
                          </pic:cNvPicPr>
                        </pic:nvPicPr>
                        <pic:blipFill>
                          <a:blip r:embed="rId90" cstate="print">
                            <a:extLst>
                              <a:ext uri="{28A0092B-C50C-407E-A947-70E740481C1C}">
                                <a14:useLocalDpi xmlns:a14="http://schemas.microsoft.com/office/drawing/2010/main" val="0"/>
                              </a:ext>
                            </a:extLst>
                          </a:blip>
                          <a:srcRect l="13898" t="11067" r="14607" b="25700"/>
                          <a:stretch>
                            <a:fillRect/>
                          </a:stretch>
                        </pic:blipFill>
                        <pic:spPr bwMode="auto">
                          <a:xfrm>
                            <a:off x="0" y="0"/>
                            <a:ext cx="3942080" cy="1964690"/>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2C5DCFF7" w14:textId="77777777" w:rsidR="009B1CF2" w:rsidRPr="009B1CF2" w:rsidRDefault="009B1CF2" w:rsidP="009B1CF2">
            <w:pPr>
              <w:jc w:val="center"/>
              <w:rPr>
                <w:rFonts w:ascii="Calibri" w:eastAsia="Calibri" w:hAnsi="Calibri"/>
                <w:sz w:val="22"/>
                <w:szCs w:val="22"/>
                <w:lang w:eastAsia="en-US"/>
              </w:rPr>
            </w:pPr>
            <w:r w:rsidRPr="009B1CF2">
              <w:rPr>
                <w:rFonts w:ascii="Calibri" w:eastAsia="Calibri" w:hAnsi="Calibri"/>
                <w:sz w:val="22"/>
                <w:szCs w:val="22"/>
                <w:lang w:eastAsia="en-US"/>
              </w:rPr>
              <w:fldChar w:fldCharType="begin"/>
            </w:r>
            <w:r w:rsidRPr="009B1CF2">
              <w:rPr>
                <w:rFonts w:ascii="Calibri" w:eastAsia="Calibri" w:hAnsi="Calibri"/>
                <w:sz w:val="22"/>
                <w:szCs w:val="22"/>
                <w:lang w:eastAsia="en-US"/>
              </w:rPr>
              <w:instrText xml:space="preserve"> LINK PowerPoint.Slide.8 "D:\\2015\\ABRIL\\GRÁFICAS POWER POINT\\25.-GRÁFICAS  DEL FONDO MONETARIO.pptx!305" "" \a \p </w:instrText>
            </w:r>
            <w:r w:rsidRPr="009B1CF2">
              <w:rPr>
                <w:rFonts w:ascii="Calibri" w:eastAsia="Calibri" w:hAnsi="Calibri"/>
                <w:sz w:val="22"/>
                <w:szCs w:val="22"/>
                <w:lang w:eastAsia="en-US"/>
              </w:rPr>
              <w:fldChar w:fldCharType="separate"/>
            </w:r>
            <w:r w:rsidRPr="009B1CF2">
              <w:rPr>
                <w:rFonts w:ascii="Calibri" w:eastAsia="Calibri" w:hAnsi="Calibri"/>
                <w:noProof/>
                <w:sz w:val="22"/>
                <w:szCs w:val="22"/>
                <w:lang w:eastAsia="es-MX"/>
              </w:rPr>
              <w:drawing>
                <wp:inline distT="0" distB="0" distL="0" distR="0" wp14:anchorId="1ADF024C" wp14:editId="7867DF18">
                  <wp:extent cx="4516120" cy="2131695"/>
                  <wp:effectExtent l="0" t="0" r="0" b="1905"/>
                  <wp:docPr id="1876" name="Imagen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1"/>
                          <pic:cNvPicPr>
                            <a:picLocks noChangeAspect="1" noChangeArrowheads="1"/>
                          </pic:cNvPicPr>
                        </pic:nvPicPr>
                        <pic:blipFill>
                          <a:blip r:embed="rId91" cstate="print">
                            <a:extLst>
                              <a:ext uri="{28A0092B-C50C-407E-A947-70E740481C1C}">
                                <a14:useLocalDpi xmlns:a14="http://schemas.microsoft.com/office/drawing/2010/main" val="0"/>
                              </a:ext>
                            </a:extLst>
                          </a:blip>
                          <a:srcRect l="12061" t="9830" r="13614" b="27943"/>
                          <a:stretch>
                            <a:fillRect/>
                          </a:stretch>
                        </pic:blipFill>
                        <pic:spPr bwMode="auto">
                          <a:xfrm>
                            <a:off x="0" y="0"/>
                            <a:ext cx="4516120" cy="2131695"/>
                          </a:xfrm>
                          <a:prstGeom prst="rect">
                            <a:avLst/>
                          </a:prstGeom>
                          <a:noFill/>
                          <a:ln>
                            <a:noFill/>
                          </a:ln>
                        </pic:spPr>
                      </pic:pic>
                    </a:graphicData>
                  </a:graphic>
                </wp:inline>
              </w:drawing>
            </w:r>
            <w:r w:rsidRPr="009B1CF2">
              <w:rPr>
                <w:rFonts w:ascii="Calibri" w:eastAsia="Calibri" w:hAnsi="Calibri"/>
                <w:sz w:val="22"/>
                <w:szCs w:val="22"/>
                <w:lang w:eastAsia="en-US"/>
              </w:rPr>
              <w:fldChar w:fldCharType="end"/>
            </w:r>
          </w:p>
          <w:p w14:paraId="25FFF8E5" w14:textId="27F94FA6" w:rsidR="009B1CF2" w:rsidRPr="009B1CF2" w:rsidRDefault="00501F0F" w:rsidP="009B1CF2">
            <w:pPr>
              <w:jc w:val="center"/>
              <w:rPr>
                <w:rFonts w:ascii="Calibri" w:eastAsia="Calibri" w:hAnsi="Calibri"/>
                <w:sz w:val="22"/>
                <w:szCs w:val="22"/>
                <w:lang w:eastAsia="en-US"/>
              </w:rPr>
            </w:pPr>
            <w:r>
              <w:fldChar w:fldCharType="begin"/>
            </w:r>
            <w:r>
              <w:instrText xml:space="preserve"> LINK PowerPoint.Slide.8 "D:\\2015\\ABRIL\\DOCUMENTOS\\25.-GRÁFICAS  DEL FONDO MONETARIO.pptx!306" "" \a \p </w:instrText>
            </w:r>
            <w:r>
              <w:fldChar w:fldCharType="separate"/>
            </w:r>
            <w:r>
              <w:rPr>
                <w:noProof/>
                <w:lang w:eastAsia="es-MX"/>
              </w:rPr>
              <w:drawing>
                <wp:inline distT="0" distB="0" distL="0" distR="0" wp14:anchorId="2271653E" wp14:editId="7345B3C1">
                  <wp:extent cx="4436110" cy="1724025"/>
                  <wp:effectExtent l="0" t="0" r="254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7"/>
                          <pic:cNvPicPr>
                            <a:picLocks noChangeAspect="1" noChangeArrowheads="1"/>
                          </pic:cNvPicPr>
                        </pic:nvPicPr>
                        <pic:blipFill>
                          <a:blip r:embed="rId92" cstate="print">
                            <a:extLst>
                              <a:ext uri="{28A0092B-C50C-407E-A947-70E740481C1C}">
                                <a14:useLocalDpi xmlns:a14="http://schemas.microsoft.com/office/drawing/2010/main" val="0"/>
                              </a:ext>
                            </a:extLst>
                          </a:blip>
                          <a:srcRect l="9648" r="11914" b="45837"/>
                          <a:stretch>
                            <a:fillRect/>
                          </a:stretch>
                        </pic:blipFill>
                        <pic:spPr bwMode="auto">
                          <a:xfrm>
                            <a:off x="0" y="0"/>
                            <a:ext cx="4436110" cy="1724025"/>
                          </a:xfrm>
                          <a:prstGeom prst="rect">
                            <a:avLst/>
                          </a:prstGeom>
                          <a:noFill/>
                          <a:ln>
                            <a:noFill/>
                          </a:ln>
                        </pic:spPr>
                      </pic:pic>
                    </a:graphicData>
                  </a:graphic>
                </wp:inline>
              </w:drawing>
            </w:r>
            <w:r>
              <w:fldChar w:fldCharType="end"/>
            </w:r>
          </w:p>
        </w:tc>
      </w:tr>
    </w:tbl>
    <w:p w14:paraId="5020A40E" w14:textId="77777777" w:rsidR="009B1CF2" w:rsidRPr="009B1CF2" w:rsidRDefault="009B1CF2" w:rsidP="009B1CF2">
      <w:pPr>
        <w:spacing w:after="360" w:line="360" w:lineRule="auto"/>
        <w:ind w:right="-159"/>
        <w:jc w:val="center"/>
        <w:rPr>
          <w:rFonts w:eastAsia="Calibri"/>
          <w:sz w:val="26"/>
          <w:szCs w:val="26"/>
          <w:lang w:eastAsia="en-US"/>
        </w:rPr>
      </w:pPr>
    </w:p>
    <w:p w14:paraId="0F429E61" w14:textId="7777777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condiciones financieras externas favorables que se registraron durante gran parte del año alentaron un aumento de la emisión de bonos soberanos de 6 mil 500 millones de dólares en 2013 a 8 mil 700 millones de dólares en 2014, realizándose emisiones inaugurales en Costa de Marfil, Etiopía y Kenya. Sin embargo, estas condiciones se han endurecido considerablemente desde diciembre, y los rendimientos de los bonos de la región han presentado una tendencia al alza, sobre todo en Ghana (debido al elevado déficit fiscal) y Gabón y Nigeria (debido al abaratamiento del precio del petróleo). </w:t>
      </w:r>
    </w:p>
    <w:p w14:paraId="09C2BB4B" w14:textId="604DEC58"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lastRenderedPageBreak/>
        <w:t xml:space="preserve">Según las proyecciones, África </w:t>
      </w:r>
      <w:r w:rsidR="001611C8">
        <w:rPr>
          <w:rFonts w:eastAsia="Calibri"/>
          <w:sz w:val="26"/>
          <w:szCs w:val="26"/>
          <w:lang w:eastAsia="en-US"/>
        </w:rPr>
        <w:t>Subsahariana</w:t>
      </w:r>
      <w:r w:rsidRPr="009B1CF2">
        <w:rPr>
          <w:rFonts w:eastAsia="Calibri"/>
          <w:sz w:val="26"/>
          <w:szCs w:val="26"/>
          <w:lang w:eastAsia="en-US"/>
        </w:rPr>
        <w:t xml:space="preserve"> experimentará un crecimiento sólido en 2015–16. Sin embargo, dado el panorama mundial menos favorable, sus perspectivas económicas se han revisado a la baja respecto de las expectativas anteriores (cuadro </w:t>
      </w:r>
      <w:r w:rsidRPr="009B1CF2">
        <w:rPr>
          <w:rFonts w:eastAsia="Calibri"/>
          <w:i/>
          <w:sz w:val="26"/>
          <w:szCs w:val="26"/>
          <w:lang w:eastAsia="en-US"/>
        </w:rPr>
        <w:t>PIB real, precios al consumidor, saldo en cuenta corriente y desemp</w:t>
      </w:r>
      <w:r w:rsidR="00A808BF">
        <w:rPr>
          <w:rFonts w:eastAsia="Calibri"/>
          <w:i/>
          <w:sz w:val="26"/>
          <w:szCs w:val="26"/>
          <w:lang w:eastAsia="en-US"/>
        </w:rPr>
        <w:t xml:space="preserve">leo en las economías de África </w:t>
      </w:r>
      <w:r w:rsidR="001611C8">
        <w:rPr>
          <w:rFonts w:eastAsia="Calibri"/>
          <w:i/>
          <w:sz w:val="26"/>
          <w:szCs w:val="26"/>
          <w:lang w:eastAsia="en-US"/>
        </w:rPr>
        <w:t>Subsahariana</w:t>
      </w:r>
      <w:r w:rsidRPr="009B1CF2">
        <w:rPr>
          <w:rFonts w:eastAsia="Calibri"/>
          <w:sz w:val="26"/>
          <w:szCs w:val="26"/>
          <w:lang w:eastAsia="en-US"/>
        </w:rPr>
        <w:t xml:space="preserve">). Se espera que el crecimiento de África </w:t>
      </w:r>
      <w:r w:rsidR="001611C8">
        <w:rPr>
          <w:rFonts w:eastAsia="Calibri"/>
          <w:sz w:val="26"/>
          <w:szCs w:val="26"/>
          <w:lang w:eastAsia="en-US"/>
        </w:rPr>
        <w:t>Subsahariana</w:t>
      </w:r>
      <w:r w:rsidRPr="009B1CF2">
        <w:rPr>
          <w:rFonts w:eastAsia="Calibri"/>
          <w:sz w:val="26"/>
          <w:szCs w:val="26"/>
          <w:lang w:eastAsia="en-US"/>
        </w:rPr>
        <w:t xml:space="preserve"> se reduzca a 4.5% en 2015 —una revisión a la baja sustancial de 1.25 puntos porcentuales con respecto a la edición de octubre de 2014 del informe WEO— y que repunte a 5.1% en 2016. Los países exportadores de petróleo de la región se verán muy afectados, por lo que el crecimiento para 2015 se ha revisado a la baja en casi 2.5 puntos porcentuales. En cambio, se espera que el crecimiento de los países importadores de petróleo de la región alcance, en promedio, 4.75% en 2015–16, lo que supone una revisión a la baja de 0.3 puntos porcentuales respecto de las proyecciones presentadas en la edición de octubre de 2014 del informe WEO, puesto que los efectos positivos del abaratamiento del precio del petróleo se verán contrarrestados en gran medida por la disminución de los precios de exportación de las materias primas. </w:t>
      </w:r>
    </w:p>
    <w:p w14:paraId="0E97EDBD" w14:textId="0C2A4C07" w:rsidR="009B1CF2" w:rsidRP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Las perspectivas para la región están sujetas a significativos riesgos a la baja. Los recientes episodios de volatilidad sugieren que las economías de mercado de frontera y los países exportadores de petróleo que tienen previsto cubrir sus necesidades financieras por medio de los mercados internacionales podrían ser vulnerables a un cambio en la actitud de los inversores, especialmente en el contexto de una política monetaria más restrictiva en Estados Unidos de Norteamérica. Un mayor debilitamiento del crecimiento en Europa o en los mercados emergentes, en especial China, podría reducir la demanda de exportaciones, provocar una disminución aún más pronunciada de los precios de las materias primas y limitar la inversión extranjera directa en el sector de la minería y en la infraestructura. De no ejecutarse políticas adecuadas, sobre todo en los países que deben realizar importantes ajustes fiscales, también podría debilitarse la estabilidad macroeconómica. Algunos de los riesgos intrínsecos de la región son la mayor persistencia e impacto regional de la epidemia de </w:t>
      </w:r>
      <w:r w:rsidRPr="009B1CF2">
        <w:rPr>
          <w:rFonts w:eastAsia="Calibri"/>
          <w:sz w:val="26"/>
          <w:szCs w:val="26"/>
          <w:lang w:eastAsia="en-US"/>
        </w:rPr>
        <w:lastRenderedPageBreak/>
        <w:t>ébola, el aumento de los problemas de seguridad y la incertidumbre política de cara a elecciones clave (por ejemplo, en Nigeria y Tanzan</w:t>
      </w:r>
      <w:r w:rsidR="00BA5240">
        <w:rPr>
          <w:rFonts w:eastAsia="Calibri"/>
          <w:sz w:val="26"/>
          <w:szCs w:val="26"/>
          <w:lang w:eastAsia="en-US"/>
        </w:rPr>
        <w:t>i</w:t>
      </w:r>
      <w:r w:rsidRPr="009B1CF2">
        <w:rPr>
          <w:rFonts w:eastAsia="Calibri"/>
          <w:sz w:val="26"/>
          <w:szCs w:val="26"/>
          <w:lang w:eastAsia="en-US"/>
        </w:rPr>
        <w:t xml:space="preserve">a). </w:t>
      </w:r>
    </w:p>
    <w:p w14:paraId="758815B1" w14:textId="77777777" w:rsidR="009B1CF2" w:rsidRDefault="009B1CF2" w:rsidP="009B1CF2">
      <w:pPr>
        <w:spacing w:after="360" w:line="360" w:lineRule="auto"/>
        <w:ind w:right="-159"/>
        <w:jc w:val="both"/>
        <w:rPr>
          <w:rFonts w:eastAsia="Calibri"/>
          <w:sz w:val="26"/>
          <w:szCs w:val="26"/>
          <w:lang w:eastAsia="en-US"/>
        </w:rPr>
      </w:pPr>
      <w:r w:rsidRPr="009B1CF2">
        <w:rPr>
          <w:rFonts w:eastAsia="Calibri"/>
          <w:sz w:val="26"/>
          <w:szCs w:val="26"/>
          <w:lang w:eastAsia="en-US"/>
        </w:rPr>
        <w:t xml:space="preserve">En vista de sus márgenes de maniobra limitados, la mayoría de los países exportadores de petróleo de la región deberán realizar un ajuste fiscal a la brevedad para abordar los persistentes </w:t>
      </w:r>
      <w:r w:rsidRPr="009B1CF2">
        <w:rPr>
          <w:rFonts w:eastAsia="Calibri"/>
          <w:i/>
          <w:sz w:val="26"/>
          <w:szCs w:val="26"/>
          <w:lang w:eastAsia="en-US"/>
        </w:rPr>
        <w:t>shocks</w:t>
      </w:r>
      <w:r w:rsidRPr="009B1CF2">
        <w:rPr>
          <w:rFonts w:eastAsia="Calibri"/>
          <w:sz w:val="26"/>
          <w:szCs w:val="26"/>
          <w:lang w:eastAsia="en-US"/>
        </w:rPr>
        <w:t xml:space="preserve"> de los términos de intercambio a los que se enfrentan actualmente. Cuando sea posible, estos ajustes deben combinarse con un aumento de la flexibilidad del tipo de cambio. En los demás países, para mantener un crecimiento elevado e inclusivo, es necesario que las políticas permitan alcanzar un equilibrio adecuado entre aumentar la inversión pública y preservar la sostenibilidad de la deuda, y recomponer los márgenes de maniobra fiscal. El contexto actual de bajos precios del petróleo brinda una oportunidad única para emprender reformas, difíciles desde el punto de vista político, destinadas a eliminar los subsidios al petróleo aún vigentes. Adelantándose a un posible aumento de la volatilidad de los tipos de cambio y los flujos de capitales, los países también deberán realizar un seguimiento exhaustivo de su sector financiero, y es posible que los que proyectan emitir eurobonos tengan que preparar planes de contingencia. </w:t>
      </w:r>
    </w:p>
    <w:p w14:paraId="63935586" w14:textId="77777777" w:rsidR="0098560F" w:rsidRDefault="0098560F" w:rsidP="009B1CF2">
      <w:pPr>
        <w:spacing w:after="360" w:line="360" w:lineRule="auto"/>
        <w:ind w:right="-159"/>
        <w:jc w:val="both"/>
        <w:rPr>
          <w:rFonts w:eastAsia="Calibri"/>
          <w:sz w:val="26"/>
          <w:szCs w:val="26"/>
          <w:lang w:eastAsia="en-US"/>
        </w:rPr>
      </w:pPr>
    </w:p>
    <w:p w14:paraId="2644DAE9" w14:textId="77777777" w:rsidR="0098560F" w:rsidRDefault="0098560F" w:rsidP="009B1CF2">
      <w:pPr>
        <w:spacing w:after="360" w:line="360" w:lineRule="auto"/>
        <w:ind w:right="-159"/>
        <w:jc w:val="both"/>
        <w:rPr>
          <w:rFonts w:eastAsia="Calibri"/>
          <w:sz w:val="26"/>
          <w:szCs w:val="26"/>
          <w:lang w:eastAsia="en-US"/>
        </w:rPr>
      </w:pPr>
    </w:p>
    <w:p w14:paraId="3A8EDF55" w14:textId="77777777" w:rsidR="0098560F" w:rsidRDefault="0098560F" w:rsidP="009B1CF2">
      <w:pPr>
        <w:spacing w:after="360" w:line="360" w:lineRule="auto"/>
        <w:ind w:right="-159"/>
        <w:jc w:val="both"/>
        <w:rPr>
          <w:rFonts w:eastAsia="Calibri"/>
          <w:sz w:val="26"/>
          <w:szCs w:val="26"/>
          <w:lang w:eastAsia="en-US"/>
        </w:rPr>
      </w:pPr>
    </w:p>
    <w:p w14:paraId="161A8CAF" w14:textId="77777777" w:rsidR="0098560F" w:rsidRDefault="0098560F" w:rsidP="009B1CF2">
      <w:pPr>
        <w:spacing w:after="360" w:line="360" w:lineRule="auto"/>
        <w:ind w:right="-159"/>
        <w:jc w:val="both"/>
        <w:rPr>
          <w:rFonts w:eastAsia="Calibri"/>
          <w:sz w:val="26"/>
          <w:szCs w:val="26"/>
          <w:lang w:eastAsia="en-US"/>
        </w:rPr>
      </w:pPr>
    </w:p>
    <w:p w14:paraId="1393D005" w14:textId="77777777" w:rsidR="0098560F" w:rsidRDefault="0098560F" w:rsidP="009B1CF2">
      <w:pPr>
        <w:spacing w:after="360" w:line="360" w:lineRule="auto"/>
        <w:ind w:right="-159"/>
        <w:jc w:val="both"/>
        <w:rPr>
          <w:rFonts w:eastAsia="Calibri"/>
          <w:sz w:val="26"/>
          <w:szCs w:val="26"/>
          <w:lang w:eastAsia="en-US"/>
        </w:rPr>
      </w:pPr>
    </w:p>
    <w:p w14:paraId="28A01D5E" w14:textId="77777777" w:rsidR="0098560F" w:rsidRPr="009B1CF2" w:rsidRDefault="0098560F" w:rsidP="009B1CF2">
      <w:pPr>
        <w:spacing w:after="360" w:line="360" w:lineRule="auto"/>
        <w:ind w:right="-159"/>
        <w:jc w:val="both"/>
        <w:rPr>
          <w:rFonts w:eastAsia="Calibri"/>
          <w:sz w:val="26"/>
          <w:szCs w:val="26"/>
          <w:lang w:eastAsia="en-US"/>
        </w:rPr>
      </w:pPr>
    </w:p>
    <w:p w14:paraId="00B523B0" w14:textId="77777777" w:rsidR="009B1CF2" w:rsidRPr="009B1CF2" w:rsidRDefault="009B1CF2" w:rsidP="009B1CF2">
      <w:pPr>
        <w:rPr>
          <w:rFonts w:eastAsia="Times New Roman"/>
          <w:lang w:val="es-ES"/>
        </w:rPr>
      </w:pPr>
    </w:p>
    <w:tbl>
      <w:tblPr>
        <w:tblW w:w="9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7"/>
        <w:gridCol w:w="540"/>
        <w:gridCol w:w="540"/>
        <w:gridCol w:w="540"/>
        <w:gridCol w:w="540"/>
        <w:gridCol w:w="540"/>
        <w:gridCol w:w="588"/>
        <w:gridCol w:w="567"/>
        <w:gridCol w:w="645"/>
        <w:gridCol w:w="540"/>
        <w:gridCol w:w="540"/>
        <w:gridCol w:w="540"/>
        <w:gridCol w:w="540"/>
      </w:tblGrid>
      <w:tr w:rsidR="009B1CF2" w:rsidRPr="00A808BF" w14:paraId="0F6B5A69" w14:textId="77777777" w:rsidTr="00A808BF">
        <w:trPr>
          <w:jc w:val="center"/>
        </w:trPr>
        <w:tc>
          <w:tcPr>
            <w:tcW w:w="9157" w:type="dxa"/>
            <w:gridSpan w:val="13"/>
            <w:tcBorders>
              <w:top w:val="nil"/>
              <w:left w:val="nil"/>
              <w:right w:val="nil"/>
            </w:tcBorders>
          </w:tcPr>
          <w:p w14:paraId="4026B822"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PIB REAL, PRECIOS AL CONSUMIDOR, SALDO EN CUENTA CORRIENTE Y DESEMPLEO EN ALGUNAS ECONOMÍAS</w:t>
            </w:r>
          </w:p>
          <w:p w14:paraId="2872B5BD" w14:textId="0C30078B"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 xml:space="preserve">DE ÁFRICA </w:t>
            </w:r>
            <w:r w:rsidR="001611C8">
              <w:rPr>
                <w:rFonts w:eastAsia="Times New Roman"/>
                <w:b/>
                <w:sz w:val="14"/>
                <w:szCs w:val="14"/>
                <w:lang w:val="es-ES"/>
              </w:rPr>
              <w:t>SUBSAHARIANA</w:t>
            </w:r>
          </w:p>
          <w:p w14:paraId="53B2DA3E" w14:textId="77777777" w:rsidR="009B1CF2" w:rsidRPr="00A808BF" w:rsidRDefault="009B1CF2" w:rsidP="009B1CF2">
            <w:pPr>
              <w:jc w:val="center"/>
              <w:rPr>
                <w:rFonts w:eastAsia="Times New Roman"/>
                <w:b/>
                <w:sz w:val="14"/>
                <w:szCs w:val="14"/>
                <w:lang w:val="es-ES"/>
              </w:rPr>
            </w:pPr>
            <w:r w:rsidRPr="00A808BF">
              <w:rPr>
                <w:rFonts w:eastAsia="Times New Roman"/>
                <w:b/>
                <w:sz w:val="14"/>
                <w:szCs w:val="14"/>
                <w:lang w:val="es-ES"/>
              </w:rPr>
              <w:t>-Variación porcentual anual, salvo indicación en contrario-</w:t>
            </w:r>
          </w:p>
        </w:tc>
      </w:tr>
      <w:tr w:rsidR="009B1CF2" w:rsidRPr="00A808BF" w14:paraId="542B8FAB" w14:textId="77777777" w:rsidTr="00A808BF">
        <w:trPr>
          <w:jc w:val="center"/>
        </w:trPr>
        <w:tc>
          <w:tcPr>
            <w:tcW w:w="2497" w:type="dxa"/>
            <w:vMerge w:val="restart"/>
          </w:tcPr>
          <w:p w14:paraId="2478387A" w14:textId="77777777" w:rsidR="009B1CF2" w:rsidRPr="00A808BF" w:rsidRDefault="009B1CF2" w:rsidP="009B1CF2">
            <w:pPr>
              <w:rPr>
                <w:rFonts w:eastAsia="Times New Roman"/>
                <w:b/>
                <w:sz w:val="12"/>
                <w:szCs w:val="12"/>
                <w:lang w:val="es-ES"/>
              </w:rPr>
            </w:pPr>
          </w:p>
        </w:tc>
        <w:tc>
          <w:tcPr>
            <w:tcW w:w="1620" w:type="dxa"/>
            <w:gridSpan w:val="3"/>
            <w:shd w:val="clear" w:color="auto" w:fill="auto"/>
            <w:vAlign w:val="center"/>
          </w:tcPr>
          <w:p w14:paraId="331B5AF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PIB real</w:t>
            </w:r>
          </w:p>
        </w:tc>
        <w:tc>
          <w:tcPr>
            <w:tcW w:w="1668" w:type="dxa"/>
            <w:gridSpan w:val="3"/>
            <w:shd w:val="clear" w:color="auto" w:fill="auto"/>
            <w:vAlign w:val="center"/>
          </w:tcPr>
          <w:p w14:paraId="3B7E7E5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Precios al consumidor</w:t>
            </w:r>
            <w:r w:rsidRPr="00A808BF">
              <w:rPr>
                <w:rFonts w:eastAsia="Times New Roman"/>
                <w:b/>
                <w:sz w:val="12"/>
                <w:szCs w:val="12"/>
                <w:u w:val="single"/>
                <w:vertAlign w:val="superscript"/>
                <w:lang w:val="es-ES"/>
              </w:rPr>
              <w:t>1</w:t>
            </w:r>
            <w:r w:rsidRPr="00A808BF">
              <w:rPr>
                <w:rFonts w:eastAsia="Times New Roman"/>
                <w:b/>
                <w:sz w:val="12"/>
                <w:szCs w:val="12"/>
                <w:vertAlign w:val="superscript"/>
                <w:lang w:val="es-ES"/>
              </w:rPr>
              <w:t>/</w:t>
            </w:r>
          </w:p>
        </w:tc>
        <w:tc>
          <w:tcPr>
            <w:tcW w:w="1752" w:type="dxa"/>
            <w:gridSpan w:val="3"/>
            <w:vAlign w:val="center"/>
          </w:tcPr>
          <w:p w14:paraId="7EC2A98C"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Saldo en cuenta corriente</w:t>
            </w:r>
            <w:r w:rsidRPr="00A808BF">
              <w:rPr>
                <w:rFonts w:eastAsia="Times New Roman"/>
                <w:b/>
                <w:sz w:val="12"/>
                <w:szCs w:val="12"/>
                <w:u w:val="single"/>
                <w:vertAlign w:val="superscript"/>
                <w:lang w:val="es-ES"/>
              </w:rPr>
              <w:t>2</w:t>
            </w:r>
            <w:r w:rsidRPr="00A808BF">
              <w:rPr>
                <w:rFonts w:eastAsia="Times New Roman"/>
                <w:b/>
                <w:sz w:val="12"/>
                <w:szCs w:val="12"/>
                <w:vertAlign w:val="superscript"/>
                <w:lang w:val="es-ES"/>
              </w:rPr>
              <w:t>/</w:t>
            </w:r>
          </w:p>
        </w:tc>
        <w:tc>
          <w:tcPr>
            <w:tcW w:w="1620" w:type="dxa"/>
            <w:gridSpan w:val="3"/>
            <w:vAlign w:val="center"/>
          </w:tcPr>
          <w:p w14:paraId="0CEF520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Desempleo</w:t>
            </w:r>
            <w:r w:rsidRPr="00A808BF">
              <w:rPr>
                <w:rFonts w:eastAsia="Times New Roman"/>
                <w:b/>
                <w:sz w:val="12"/>
                <w:szCs w:val="12"/>
                <w:u w:val="single"/>
                <w:vertAlign w:val="superscript"/>
                <w:lang w:val="es-ES"/>
              </w:rPr>
              <w:t>3</w:t>
            </w:r>
            <w:r w:rsidRPr="00A808BF">
              <w:rPr>
                <w:rFonts w:eastAsia="Times New Roman"/>
                <w:b/>
                <w:sz w:val="12"/>
                <w:szCs w:val="12"/>
                <w:vertAlign w:val="superscript"/>
                <w:lang w:val="es-ES"/>
              </w:rPr>
              <w:t>/</w:t>
            </w:r>
          </w:p>
        </w:tc>
      </w:tr>
      <w:tr w:rsidR="009B1CF2" w:rsidRPr="00A808BF" w14:paraId="017ABF57" w14:textId="77777777" w:rsidTr="00A808BF">
        <w:trPr>
          <w:jc w:val="center"/>
        </w:trPr>
        <w:tc>
          <w:tcPr>
            <w:tcW w:w="2497" w:type="dxa"/>
            <w:vMerge/>
          </w:tcPr>
          <w:p w14:paraId="26336FE2" w14:textId="77777777" w:rsidR="009B1CF2" w:rsidRPr="00A808BF" w:rsidRDefault="009B1CF2" w:rsidP="009B1CF2">
            <w:pPr>
              <w:rPr>
                <w:rFonts w:eastAsia="Times New Roman"/>
                <w:b/>
                <w:sz w:val="12"/>
                <w:szCs w:val="12"/>
                <w:lang w:val="es-ES"/>
              </w:rPr>
            </w:pPr>
          </w:p>
        </w:tc>
        <w:tc>
          <w:tcPr>
            <w:tcW w:w="540" w:type="dxa"/>
            <w:vMerge w:val="restart"/>
            <w:shd w:val="clear" w:color="auto" w:fill="auto"/>
            <w:vAlign w:val="bottom"/>
          </w:tcPr>
          <w:p w14:paraId="1E5805F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shd w:val="clear" w:color="auto" w:fill="auto"/>
            <w:vAlign w:val="center"/>
          </w:tcPr>
          <w:p w14:paraId="31EAD9C2"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shd w:val="clear" w:color="auto" w:fill="auto"/>
            <w:vAlign w:val="bottom"/>
          </w:tcPr>
          <w:p w14:paraId="19B0C45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28" w:type="dxa"/>
            <w:gridSpan w:val="2"/>
            <w:shd w:val="clear" w:color="auto" w:fill="auto"/>
            <w:vAlign w:val="center"/>
          </w:tcPr>
          <w:p w14:paraId="2D680CE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67" w:type="dxa"/>
            <w:vMerge w:val="restart"/>
            <w:vAlign w:val="bottom"/>
          </w:tcPr>
          <w:p w14:paraId="0BC4AE1A"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185" w:type="dxa"/>
            <w:gridSpan w:val="2"/>
            <w:vAlign w:val="center"/>
          </w:tcPr>
          <w:p w14:paraId="1357D24C"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c>
          <w:tcPr>
            <w:tcW w:w="540" w:type="dxa"/>
            <w:vMerge w:val="restart"/>
            <w:vAlign w:val="bottom"/>
          </w:tcPr>
          <w:p w14:paraId="2B2B5F97"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2014</w:t>
            </w:r>
          </w:p>
        </w:tc>
        <w:tc>
          <w:tcPr>
            <w:tcW w:w="1080" w:type="dxa"/>
            <w:gridSpan w:val="2"/>
            <w:vAlign w:val="center"/>
          </w:tcPr>
          <w:p w14:paraId="39FEDD40"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Proyecciones</w:t>
            </w:r>
          </w:p>
        </w:tc>
      </w:tr>
      <w:tr w:rsidR="009B1CF2" w:rsidRPr="00A808BF" w14:paraId="63D63103" w14:textId="77777777" w:rsidTr="00A808BF">
        <w:trPr>
          <w:jc w:val="center"/>
        </w:trPr>
        <w:tc>
          <w:tcPr>
            <w:tcW w:w="2497" w:type="dxa"/>
            <w:vMerge/>
          </w:tcPr>
          <w:p w14:paraId="5D0B0CF9" w14:textId="77777777" w:rsidR="009B1CF2" w:rsidRPr="00A808BF" w:rsidRDefault="009B1CF2" w:rsidP="009B1CF2">
            <w:pPr>
              <w:rPr>
                <w:rFonts w:eastAsia="Times New Roman"/>
                <w:b/>
                <w:sz w:val="12"/>
                <w:szCs w:val="12"/>
                <w:lang w:val="es-ES"/>
              </w:rPr>
            </w:pPr>
          </w:p>
        </w:tc>
        <w:tc>
          <w:tcPr>
            <w:tcW w:w="540" w:type="dxa"/>
            <w:vMerge/>
          </w:tcPr>
          <w:p w14:paraId="0BFD9849" w14:textId="77777777" w:rsidR="009B1CF2" w:rsidRPr="00A808BF" w:rsidRDefault="009B1CF2" w:rsidP="009B1CF2">
            <w:pPr>
              <w:ind w:right="57"/>
              <w:jc w:val="center"/>
              <w:rPr>
                <w:rFonts w:eastAsia="Times New Roman"/>
                <w:b/>
                <w:sz w:val="12"/>
                <w:szCs w:val="12"/>
                <w:lang w:val="es-ES"/>
              </w:rPr>
            </w:pPr>
          </w:p>
        </w:tc>
        <w:tc>
          <w:tcPr>
            <w:tcW w:w="540" w:type="dxa"/>
          </w:tcPr>
          <w:p w14:paraId="1AC7CFB6"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7E782C84"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6350B505" w14:textId="77777777" w:rsidR="009B1CF2" w:rsidRPr="00A808BF" w:rsidRDefault="009B1CF2" w:rsidP="009B1CF2">
            <w:pPr>
              <w:ind w:right="57"/>
              <w:jc w:val="center"/>
              <w:rPr>
                <w:rFonts w:eastAsia="Times New Roman"/>
                <w:b/>
                <w:sz w:val="12"/>
                <w:szCs w:val="12"/>
                <w:lang w:val="es-ES"/>
              </w:rPr>
            </w:pPr>
          </w:p>
        </w:tc>
        <w:tc>
          <w:tcPr>
            <w:tcW w:w="540" w:type="dxa"/>
          </w:tcPr>
          <w:p w14:paraId="2A3D5E67"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88" w:type="dxa"/>
          </w:tcPr>
          <w:p w14:paraId="0F5B6A3D"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67" w:type="dxa"/>
            <w:vMerge/>
          </w:tcPr>
          <w:p w14:paraId="41077150" w14:textId="77777777" w:rsidR="009B1CF2" w:rsidRPr="00A808BF" w:rsidRDefault="009B1CF2" w:rsidP="009B1CF2">
            <w:pPr>
              <w:ind w:right="113"/>
              <w:jc w:val="center"/>
              <w:rPr>
                <w:rFonts w:eastAsia="Times New Roman"/>
                <w:b/>
                <w:sz w:val="12"/>
                <w:szCs w:val="12"/>
                <w:lang w:val="es-ES"/>
              </w:rPr>
            </w:pPr>
          </w:p>
        </w:tc>
        <w:tc>
          <w:tcPr>
            <w:tcW w:w="645" w:type="dxa"/>
          </w:tcPr>
          <w:p w14:paraId="5592EB05"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004EFA4F"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c>
          <w:tcPr>
            <w:tcW w:w="540" w:type="dxa"/>
            <w:vMerge/>
          </w:tcPr>
          <w:p w14:paraId="70E553DB" w14:textId="77777777" w:rsidR="009B1CF2" w:rsidRPr="00A808BF" w:rsidRDefault="009B1CF2" w:rsidP="009B1CF2">
            <w:pPr>
              <w:ind w:right="113"/>
              <w:jc w:val="center"/>
              <w:rPr>
                <w:rFonts w:eastAsia="Times New Roman"/>
                <w:b/>
                <w:sz w:val="12"/>
                <w:szCs w:val="12"/>
                <w:lang w:val="es-ES"/>
              </w:rPr>
            </w:pPr>
          </w:p>
        </w:tc>
        <w:tc>
          <w:tcPr>
            <w:tcW w:w="540" w:type="dxa"/>
          </w:tcPr>
          <w:p w14:paraId="28CEEA61"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2015</w:t>
            </w:r>
          </w:p>
        </w:tc>
        <w:tc>
          <w:tcPr>
            <w:tcW w:w="540" w:type="dxa"/>
          </w:tcPr>
          <w:p w14:paraId="250249CE" w14:textId="77777777" w:rsidR="009B1CF2" w:rsidRPr="00A808BF" w:rsidRDefault="009B1CF2" w:rsidP="009B1CF2">
            <w:pPr>
              <w:jc w:val="center"/>
              <w:rPr>
                <w:rFonts w:eastAsia="Times New Roman"/>
                <w:b/>
                <w:sz w:val="12"/>
                <w:szCs w:val="12"/>
                <w:lang w:val="es-ES"/>
              </w:rPr>
            </w:pPr>
            <w:r w:rsidRPr="00A808BF">
              <w:rPr>
                <w:rFonts w:eastAsia="Times New Roman"/>
                <w:b/>
                <w:sz w:val="12"/>
                <w:szCs w:val="12"/>
                <w:lang w:val="es-ES"/>
              </w:rPr>
              <w:t>2016</w:t>
            </w:r>
          </w:p>
        </w:tc>
      </w:tr>
      <w:tr w:rsidR="009B1CF2" w:rsidRPr="00A808BF" w14:paraId="55EC0744" w14:textId="77777777" w:rsidTr="00A808BF">
        <w:trPr>
          <w:jc w:val="center"/>
        </w:trPr>
        <w:tc>
          <w:tcPr>
            <w:tcW w:w="2497" w:type="dxa"/>
            <w:tcBorders>
              <w:bottom w:val="nil"/>
            </w:tcBorders>
          </w:tcPr>
          <w:p w14:paraId="2B231D61" w14:textId="310E2356" w:rsidR="009B1CF2" w:rsidRPr="00A808BF" w:rsidRDefault="00A808BF" w:rsidP="009B1CF2">
            <w:pPr>
              <w:rPr>
                <w:rFonts w:eastAsia="Times New Roman"/>
                <w:b/>
                <w:sz w:val="12"/>
                <w:szCs w:val="12"/>
                <w:lang w:val="es-ES"/>
              </w:rPr>
            </w:pPr>
            <w:r>
              <w:rPr>
                <w:rFonts w:eastAsia="Times New Roman"/>
                <w:b/>
                <w:sz w:val="12"/>
                <w:szCs w:val="12"/>
                <w:lang w:val="es-ES"/>
              </w:rPr>
              <w:t xml:space="preserve">África </w:t>
            </w:r>
            <w:r w:rsidR="001611C8">
              <w:rPr>
                <w:rFonts w:eastAsia="Times New Roman"/>
                <w:b/>
                <w:sz w:val="12"/>
                <w:szCs w:val="12"/>
                <w:lang w:val="es-ES"/>
              </w:rPr>
              <w:t>Subsahariana</w:t>
            </w:r>
          </w:p>
        </w:tc>
        <w:tc>
          <w:tcPr>
            <w:tcW w:w="540" w:type="dxa"/>
            <w:tcBorders>
              <w:bottom w:val="nil"/>
            </w:tcBorders>
          </w:tcPr>
          <w:p w14:paraId="7D2ACB2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5.0</w:t>
            </w:r>
          </w:p>
        </w:tc>
        <w:tc>
          <w:tcPr>
            <w:tcW w:w="540" w:type="dxa"/>
            <w:tcBorders>
              <w:bottom w:val="nil"/>
            </w:tcBorders>
          </w:tcPr>
          <w:p w14:paraId="6DC1A5B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4.5</w:t>
            </w:r>
          </w:p>
        </w:tc>
        <w:tc>
          <w:tcPr>
            <w:tcW w:w="540" w:type="dxa"/>
            <w:tcBorders>
              <w:bottom w:val="nil"/>
            </w:tcBorders>
          </w:tcPr>
          <w:p w14:paraId="38FF16A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5.1</w:t>
            </w:r>
          </w:p>
        </w:tc>
        <w:tc>
          <w:tcPr>
            <w:tcW w:w="540" w:type="dxa"/>
            <w:tcBorders>
              <w:bottom w:val="nil"/>
            </w:tcBorders>
          </w:tcPr>
          <w:p w14:paraId="2D14CEE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6.3</w:t>
            </w:r>
          </w:p>
        </w:tc>
        <w:tc>
          <w:tcPr>
            <w:tcW w:w="540" w:type="dxa"/>
            <w:tcBorders>
              <w:bottom w:val="nil"/>
            </w:tcBorders>
          </w:tcPr>
          <w:p w14:paraId="12530DC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6.6</w:t>
            </w:r>
          </w:p>
        </w:tc>
        <w:tc>
          <w:tcPr>
            <w:tcW w:w="588" w:type="dxa"/>
            <w:tcBorders>
              <w:bottom w:val="nil"/>
            </w:tcBorders>
          </w:tcPr>
          <w:p w14:paraId="174531B0" w14:textId="77777777" w:rsidR="009B1CF2" w:rsidRPr="00A808BF" w:rsidRDefault="009B1CF2" w:rsidP="00A808BF">
            <w:pPr>
              <w:ind w:right="113"/>
              <w:jc w:val="right"/>
              <w:rPr>
                <w:rFonts w:eastAsia="Times New Roman"/>
                <w:b/>
                <w:sz w:val="12"/>
                <w:szCs w:val="12"/>
                <w:lang w:val="es-ES"/>
              </w:rPr>
            </w:pPr>
            <w:r w:rsidRPr="00A808BF">
              <w:rPr>
                <w:rFonts w:eastAsia="Times New Roman"/>
                <w:b/>
                <w:sz w:val="12"/>
                <w:szCs w:val="12"/>
                <w:lang w:val="es-ES"/>
              </w:rPr>
              <w:t>7.0</w:t>
            </w:r>
          </w:p>
        </w:tc>
        <w:tc>
          <w:tcPr>
            <w:tcW w:w="567" w:type="dxa"/>
            <w:tcBorders>
              <w:bottom w:val="nil"/>
            </w:tcBorders>
          </w:tcPr>
          <w:p w14:paraId="548FF9F6"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-3.3</w:t>
            </w:r>
          </w:p>
        </w:tc>
        <w:tc>
          <w:tcPr>
            <w:tcW w:w="645" w:type="dxa"/>
            <w:tcBorders>
              <w:bottom w:val="nil"/>
            </w:tcBorders>
          </w:tcPr>
          <w:p w14:paraId="3275481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-4.6</w:t>
            </w:r>
          </w:p>
        </w:tc>
        <w:tc>
          <w:tcPr>
            <w:tcW w:w="540" w:type="dxa"/>
            <w:tcBorders>
              <w:bottom w:val="nil"/>
            </w:tcBorders>
          </w:tcPr>
          <w:p w14:paraId="585B0ED1"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-4.1</w:t>
            </w:r>
          </w:p>
        </w:tc>
        <w:tc>
          <w:tcPr>
            <w:tcW w:w="540" w:type="dxa"/>
            <w:tcBorders>
              <w:bottom w:val="nil"/>
            </w:tcBorders>
          </w:tcPr>
          <w:p w14:paraId="385442D1"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13940C1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bottom w:val="nil"/>
            </w:tcBorders>
          </w:tcPr>
          <w:p w14:paraId="319FAE3C"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r>
      <w:tr w:rsidR="009B1CF2" w:rsidRPr="00A808BF" w14:paraId="6715D7FB" w14:textId="77777777" w:rsidTr="00A808BF">
        <w:trPr>
          <w:jc w:val="center"/>
        </w:trPr>
        <w:tc>
          <w:tcPr>
            <w:tcW w:w="2497" w:type="dxa"/>
            <w:tcBorders>
              <w:top w:val="nil"/>
              <w:bottom w:val="nil"/>
            </w:tcBorders>
          </w:tcPr>
          <w:p w14:paraId="5ADFA2E1"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Exportadores de petróleo</w:t>
            </w:r>
            <w:r w:rsidRPr="00A808BF">
              <w:rPr>
                <w:rFonts w:eastAsia="Times New Roman"/>
                <w:b/>
                <w:sz w:val="12"/>
                <w:szCs w:val="12"/>
                <w:u w:val="single"/>
                <w:vertAlign w:val="superscript"/>
                <w:lang w:val="es-ES"/>
              </w:rPr>
              <w:t>4</w:t>
            </w:r>
            <w:r w:rsidRPr="00A808BF">
              <w:rPr>
                <w:rFonts w:eastAsia="Times New Roman"/>
                <w:b/>
                <w:sz w:val="12"/>
                <w:szCs w:val="12"/>
                <w:vertAlign w:val="superscript"/>
                <w:lang w:val="es-ES"/>
              </w:rPr>
              <w:t>/</w:t>
            </w:r>
          </w:p>
        </w:tc>
        <w:tc>
          <w:tcPr>
            <w:tcW w:w="540" w:type="dxa"/>
            <w:tcBorders>
              <w:top w:val="nil"/>
              <w:bottom w:val="nil"/>
            </w:tcBorders>
          </w:tcPr>
          <w:p w14:paraId="5078702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5.8</w:t>
            </w:r>
          </w:p>
        </w:tc>
        <w:tc>
          <w:tcPr>
            <w:tcW w:w="540" w:type="dxa"/>
            <w:tcBorders>
              <w:top w:val="nil"/>
              <w:bottom w:val="nil"/>
            </w:tcBorders>
          </w:tcPr>
          <w:p w14:paraId="3773368D"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4.5</w:t>
            </w:r>
          </w:p>
        </w:tc>
        <w:tc>
          <w:tcPr>
            <w:tcW w:w="540" w:type="dxa"/>
            <w:tcBorders>
              <w:top w:val="nil"/>
              <w:bottom w:val="nil"/>
            </w:tcBorders>
          </w:tcPr>
          <w:p w14:paraId="5A00836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5.2</w:t>
            </w:r>
          </w:p>
        </w:tc>
        <w:tc>
          <w:tcPr>
            <w:tcW w:w="540" w:type="dxa"/>
            <w:tcBorders>
              <w:top w:val="nil"/>
              <w:bottom w:val="nil"/>
            </w:tcBorders>
          </w:tcPr>
          <w:p w14:paraId="60BE11D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7.3</w:t>
            </w:r>
          </w:p>
        </w:tc>
        <w:tc>
          <w:tcPr>
            <w:tcW w:w="540" w:type="dxa"/>
            <w:tcBorders>
              <w:top w:val="nil"/>
              <w:bottom w:val="nil"/>
            </w:tcBorders>
          </w:tcPr>
          <w:p w14:paraId="76C0000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9.2</w:t>
            </w:r>
          </w:p>
        </w:tc>
        <w:tc>
          <w:tcPr>
            <w:tcW w:w="588" w:type="dxa"/>
            <w:tcBorders>
              <w:top w:val="nil"/>
              <w:bottom w:val="nil"/>
            </w:tcBorders>
          </w:tcPr>
          <w:p w14:paraId="3ECE2E50" w14:textId="77777777" w:rsidR="009B1CF2" w:rsidRPr="00A808BF" w:rsidRDefault="009B1CF2" w:rsidP="00A808BF">
            <w:pPr>
              <w:ind w:right="113"/>
              <w:jc w:val="right"/>
              <w:rPr>
                <w:rFonts w:eastAsia="Times New Roman"/>
                <w:b/>
                <w:sz w:val="12"/>
                <w:szCs w:val="12"/>
                <w:lang w:val="es-ES"/>
              </w:rPr>
            </w:pPr>
            <w:r w:rsidRPr="00A808BF">
              <w:rPr>
                <w:rFonts w:eastAsia="Times New Roman"/>
                <w:b/>
                <w:sz w:val="12"/>
                <w:szCs w:val="12"/>
                <w:lang w:val="es-ES"/>
              </w:rPr>
              <w:t>9.6</w:t>
            </w:r>
          </w:p>
        </w:tc>
        <w:tc>
          <w:tcPr>
            <w:tcW w:w="567" w:type="dxa"/>
            <w:tcBorders>
              <w:top w:val="nil"/>
              <w:bottom w:val="nil"/>
            </w:tcBorders>
          </w:tcPr>
          <w:p w14:paraId="06D39333"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1.2</w:t>
            </w:r>
          </w:p>
        </w:tc>
        <w:tc>
          <w:tcPr>
            <w:tcW w:w="645" w:type="dxa"/>
            <w:tcBorders>
              <w:top w:val="nil"/>
              <w:bottom w:val="nil"/>
            </w:tcBorders>
          </w:tcPr>
          <w:p w14:paraId="7DC2C0B9"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-1.5</w:t>
            </w:r>
          </w:p>
        </w:tc>
        <w:tc>
          <w:tcPr>
            <w:tcW w:w="540" w:type="dxa"/>
            <w:tcBorders>
              <w:top w:val="nil"/>
              <w:bottom w:val="nil"/>
            </w:tcBorders>
          </w:tcPr>
          <w:p w14:paraId="33687810"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-0.3</w:t>
            </w:r>
          </w:p>
        </w:tc>
        <w:tc>
          <w:tcPr>
            <w:tcW w:w="540" w:type="dxa"/>
            <w:tcBorders>
              <w:top w:val="nil"/>
              <w:bottom w:val="nil"/>
            </w:tcBorders>
          </w:tcPr>
          <w:p w14:paraId="49D2C538"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35E4D32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268568E5"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r>
      <w:tr w:rsidR="009B1CF2" w:rsidRPr="00A808BF" w14:paraId="51AEEAFA" w14:textId="77777777" w:rsidTr="00A808BF">
        <w:trPr>
          <w:jc w:val="center"/>
        </w:trPr>
        <w:tc>
          <w:tcPr>
            <w:tcW w:w="2497" w:type="dxa"/>
            <w:tcBorders>
              <w:top w:val="nil"/>
              <w:bottom w:val="nil"/>
            </w:tcBorders>
          </w:tcPr>
          <w:p w14:paraId="4C0B9A44"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Nigeria</w:t>
            </w:r>
          </w:p>
        </w:tc>
        <w:tc>
          <w:tcPr>
            <w:tcW w:w="540" w:type="dxa"/>
            <w:tcBorders>
              <w:top w:val="nil"/>
              <w:bottom w:val="nil"/>
            </w:tcBorders>
          </w:tcPr>
          <w:p w14:paraId="7429F39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bottom w:val="nil"/>
            </w:tcBorders>
          </w:tcPr>
          <w:p w14:paraId="0874219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bottom w:val="nil"/>
            </w:tcBorders>
          </w:tcPr>
          <w:p w14:paraId="6A383C1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0A665A0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8.1</w:t>
            </w:r>
          </w:p>
        </w:tc>
        <w:tc>
          <w:tcPr>
            <w:tcW w:w="540" w:type="dxa"/>
            <w:tcBorders>
              <w:top w:val="nil"/>
              <w:bottom w:val="nil"/>
            </w:tcBorders>
          </w:tcPr>
          <w:p w14:paraId="1399B62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9.6</w:t>
            </w:r>
          </w:p>
        </w:tc>
        <w:tc>
          <w:tcPr>
            <w:tcW w:w="588" w:type="dxa"/>
            <w:tcBorders>
              <w:top w:val="nil"/>
              <w:bottom w:val="nil"/>
            </w:tcBorders>
          </w:tcPr>
          <w:p w14:paraId="0AEE0C07"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10.7</w:t>
            </w:r>
          </w:p>
        </w:tc>
        <w:tc>
          <w:tcPr>
            <w:tcW w:w="567" w:type="dxa"/>
            <w:tcBorders>
              <w:top w:val="nil"/>
              <w:bottom w:val="nil"/>
            </w:tcBorders>
          </w:tcPr>
          <w:p w14:paraId="695026C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2.2</w:t>
            </w:r>
          </w:p>
        </w:tc>
        <w:tc>
          <w:tcPr>
            <w:tcW w:w="645" w:type="dxa"/>
            <w:tcBorders>
              <w:top w:val="nil"/>
              <w:bottom w:val="nil"/>
            </w:tcBorders>
          </w:tcPr>
          <w:p w14:paraId="42EDAAD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0.7</w:t>
            </w:r>
          </w:p>
        </w:tc>
        <w:tc>
          <w:tcPr>
            <w:tcW w:w="540" w:type="dxa"/>
            <w:tcBorders>
              <w:top w:val="nil"/>
              <w:bottom w:val="nil"/>
            </w:tcBorders>
          </w:tcPr>
          <w:p w14:paraId="32C0CE0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1.3</w:t>
            </w:r>
          </w:p>
        </w:tc>
        <w:tc>
          <w:tcPr>
            <w:tcW w:w="540" w:type="dxa"/>
            <w:tcBorders>
              <w:top w:val="nil"/>
              <w:bottom w:val="nil"/>
            </w:tcBorders>
          </w:tcPr>
          <w:p w14:paraId="29ADCCE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0B9A56E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B05342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224AF627" w14:textId="77777777" w:rsidTr="00A808BF">
        <w:trPr>
          <w:jc w:val="center"/>
        </w:trPr>
        <w:tc>
          <w:tcPr>
            <w:tcW w:w="2497" w:type="dxa"/>
            <w:tcBorders>
              <w:top w:val="nil"/>
              <w:bottom w:val="nil"/>
            </w:tcBorders>
          </w:tcPr>
          <w:p w14:paraId="3E7949BE"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Angola</w:t>
            </w:r>
          </w:p>
        </w:tc>
        <w:tc>
          <w:tcPr>
            <w:tcW w:w="540" w:type="dxa"/>
            <w:tcBorders>
              <w:top w:val="nil"/>
              <w:bottom w:val="nil"/>
            </w:tcBorders>
          </w:tcPr>
          <w:p w14:paraId="4E0EDE7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bottom w:val="nil"/>
            </w:tcBorders>
          </w:tcPr>
          <w:p w14:paraId="2B78FF9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bottom w:val="nil"/>
            </w:tcBorders>
          </w:tcPr>
          <w:p w14:paraId="5BF198C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3.9</w:t>
            </w:r>
          </w:p>
        </w:tc>
        <w:tc>
          <w:tcPr>
            <w:tcW w:w="540" w:type="dxa"/>
            <w:tcBorders>
              <w:top w:val="nil"/>
              <w:bottom w:val="nil"/>
            </w:tcBorders>
          </w:tcPr>
          <w:p w14:paraId="5E7EACC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7.3</w:t>
            </w:r>
          </w:p>
        </w:tc>
        <w:tc>
          <w:tcPr>
            <w:tcW w:w="540" w:type="dxa"/>
            <w:tcBorders>
              <w:top w:val="nil"/>
              <w:bottom w:val="nil"/>
            </w:tcBorders>
          </w:tcPr>
          <w:p w14:paraId="3CB67D9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8.4</w:t>
            </w:r>
          </w:p>
        </w:tc>
        <w:tc>
          <w:tcPr>
            <w:tcW w:w="588" w:type="dxa"/>
            <w:tcBorders>
              <w:top w:val="nil"/>
              <w:bottom w:val="nil"/>
            </w:tcBorders>
          </w:tcPr>
          <w:p w14:paraId="3FFD185F"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8.5</w:t>
            </w:r>
          </w:p>
        </w:tc>
        <w:tc>
          <w:tcPr>
            <w:tcW w:w="567" w:type="dxa"/>
            <w:tcBorders>
              <w:top w:val="nil"/>
              <w:bottom w:val="nil"/>
            </w:tcBorders>
          </w:tcPr>
          <w:p w14:paraId="6B9CBA6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-0.8</w:t>
            </w:r>
          </w:p>
        </w:tc>
        <w:tc>
          <w:tcPr>
            <w:tcW w:w="645" w:type="dxa"/>
            <w:tcBorders>
              <w:top w:val="nil"/>
              <w:bottom w:val="nil"/>
            </w:tcBorders>
          </w:tcPr>
          <w:p w14:paraId="76A886C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bottom w:val="nil"/>
            </w:tcBorders>
          </w:tcPr>
          <w:p w14:paraId="3A46FC9F"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bottom w:val="nil"/>
            </w:tcBorders>
          </w:tcPr>
          <w:p w14:paraId="50563D7F"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178213E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441FB1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4972BCB5" w14:textId="77777777" w:rsidTr="00A808BF">
        <w:trPr>
          <w:jc w:val="center"/>
        </w:trPr>
        <w:tc>
          <w:tcPr>
            <w:tcW w:w="2497" w:type="dxa"/>
            <w:tcBorders>
              <w:top w:val="nil"/>
              <w:bottom w:val="nil"/>
            </w:tcBorders>
          </w:tcPr>
          <w:p w14:paraId="30D20A9D"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Gabón</w:t>
            </w:r>
          </w:p>
        </w:tc>
        <w:tc>
          <w:tcPr>
            <w:tcW w:w="540" w:type="dxa"/>
            <w:tcBorders>
              <w:top w:val="nil"/>
              <w:bottom w:val="nil"/>
            </w:tcBorders>
          </w:tcPr>
          <w:p w14:paraId="04EDF7B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c>
          <w:tcPr>
            <w:tcW w:w="540" w:type="dxa"/>
            <w:tcBorders>
              <w:top w:val="nil"/>
              <w:bottom w:val="nil"/>
            </w:tcBorders>
          </w:tcPr>
          <w:p w14:paraId="3844D05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4.4</w:t>
            </w:r>
          </w:p>
        </w:tc>
        <w:tc>
          <w:tcPr>
            <w:tcW w:w="540" w:type="dxa"/>
            <w:tcBorders>
              <w:top w:val="nil"/>
              <w:bottom w:val="nil"/>
            </w:tcBorders>
          </w:tcPr>
          <w:p w14:paraId="42F88D0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5.5</w:t>
            </w:r>
          </w:p>
        </w:tc>
        <w:tc>
          <w:tcPr>
            <w:tcW w:w="540" w:type="dxa"/>
            <w:tcBorders>
              <w:top w:val="nil"/>
              <w:bottom w:val="nil"/>
            </w:tcBorders>
          </w:tcPr>
          <w:p w14:paraId="54479BC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bottom w:val="nil"/>
            </w:tcBorders>
          </w:tcPr>
          <w:p w14:paraId="5A2F6D9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w:t>
            </w:r>
          </w:p>
        </w:tc>
        <w:tc>
          <w:tcPr>
            <w:tcW w:w="588" w:type="dxa"/>
            <w:tcBorders>
              <w:top w:val="nil"/>
              <w:bottom w:val="nil"/>
            </w:tcBorders>
          </w:tcPr>
          <w:p w14:paraId="688C2D51"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2.5</w:t>
            </w:r>
          </w:p>
        </w:tc>
        <w:tc>
          <w:tcPr>
            <w:tcW w:w="567" w:type="dxa"/>
            <w:tcBorders>
              <w:top w:val="nil"/>
              <w:bottom w:val="nil"/>
            </w:tcBorders>
          </w:tcPr>
          <w:p w14:paraId="64B3791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11.2</w:t>
            </w:r>
          </w:p>
        </w:tc>
        <w:tc>
          <w:tcPr>
            <w:tcW w:w="645" w:type="dxa"/>
            <w:tcBorders>
              <w:top w:val="nil"/>
              <w:bottom w:val="nil"/>
            </w:tcBorders>
          </w:tcPr>
          <w:p w14:paraId="5439E43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bottom w:val="nil"/>
            </w:tcBorders>
          </w:tcPr>
          <w:p w14:paraId="4BF5D36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bottom w:val="nil"/>
            </w:tcBorders>
          </w:tcPr>
          <w:p w14:paraId="30BCB93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31A4AC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2B44974"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43674107" w14:textId="77777777" w:rsidTr="00A808BF">
        <w:trPr>
          <w:jc w:val="center"/>
        </w:trPr>
        <w:tc>
          <w:tcPr>
            <w:tcW w:w="2497" w:type="dxa"/>
            <w:tcBorders>
              <w:top w:val="nil"/>
              <w:bottom w:val="nil"/>
            </w:tcBorders>
          </w:tcPr>
          <w:p w14:paraId="51BE563A"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Chad</w:t>
            </w:r>
          </w:p>
        </w:tc>
        <w:tc>
          <w:tcPr>
            <w:tcW w:w="540" w:type="dxa"/>
            <w:tcBorders>
              <w:top w:val="nil"/>
              <w:bottom w:val="nil"/>
            </w:tcBorders>
          </w:tcPr>
          <w:p w14:paraId="0DFECD2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c>
          <w:tcPr>
            <w:tcW w:w="540" w:type="dxa"/>
            <w:tcBorders>
              <w:top w:val="nil"/>
              <w:bottom w:val="nil"/>
            </w:tcBorders>
          </w:tcPr>
          <w:p w14:paraId="03123C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c>
          <w:tcPr>
            <w:tcW w:w="540" w:type="dxa"/>
            <w:tcBorders>
              <w:top w:val="nil"/>
              <w:bottom w:val="nil"/>
            </w:tcBorders>
          </w:tcPr>
          <w:p w14:paraId="6DB8E4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40" w:type="dxa"/>
            <w:tcBorders>
              <w:top w:val="nil"/>
              <w:bottom w:val="nil"/>
            </w:tcBorders>
          </w:tcPr>
          <w:p w14:paraId="69260BB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1.7</w:t>
            </w:r>
          </w:p>
        </w:tc>
        <w:tc>
          <w:tcPr>
            <w:tcW w:w="540" w:type="dxa"/>
            <w:tcBorders>
              <w:top w:val="nil"/>
              <w:bottom w:val="nil"/>
            </w:tcBorders>
          </w:tcPr>
          <w:p w14:paraId="739C1EF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88" w:type="dxa"/>
            <w:tcBorders>
              <w:top w:val="nil"/>
              <w:bottom w:val="nil"/>
            </w:tcBorders>
          </w:tcPr>
          <w:p w14:paraId="475C6EAD"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2.9</w:t>
            </w:r>
          </w:p>
        </w:tc>
        <w:tc>
          <w:tcPr>
            <w:tcW w:w="567" w:type="dxa"/>
            <w:tcBorders>
              <w:top w:val="nil"/>
              <w:bottom w:val="nil"/>
            </w:tcBorders>
          </w:tcPr>
          <w:p w14:paraId="400EBC6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-8.7</w:t>
            </w:r>
          </w:p>
        </w:tc>
        <w:tc>
          <w:tcPr>
            <w:tcW w:w="645" w:type="dxa"/>
            <w:tcBorders>
              <w:top w:val="nil"/>
              <w:bottom w:val="nil"/>
            </w:tcBorders>
          </w:tcPr>
          <w:p w14:paraId="105DFE2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-10.5</w:t>
            </w:r>
          </w:p>
        </w:tc>
        <w:tc>
          <w:tcPr>
            <w:tcW w:w="540" w:type="dxa"/>
            <w:tcBorders>
              <w:top w:val="nil"/>
              <w:bottom w:val="nil"/>
            </w:tcBorders>
          </w:tcPr>
          <w:p w14:paraId="00EAFB81"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-8.3</w:t>
            </w:r>
          </w:p>
        </w:tc>
        <w:tc>
          <w:tcPr>
            <w:tcW w:w="540" w:type="dxa"/>
            <w:tcBorders>
              <w:top w:val="nil"/>
              <w:bottom w:val="nil"/>
            </w:tcBorders>
          </w:tcPr>
          <w:p w14:paraId="51BF2A3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2DC3CCE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4B98E3C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4257D034" w14:textId="77777777" w:rsidTr="00A808BF">
        <w:trPr>
          <w:jc w:val="center"/>
        </w:trPr>
        <w:tc>
          <w:tcPr>
            <w:tcW w:w="2497" w:type="dxa"/>
            <w:tcBorders>
              <w:top w:val="nil"/>
              <w:bottom w:val="nil"/>
            </w:tcBorders>
          </w:tcPr>
          <w:p w14:paraId="6B368D6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República del Congo</w:t>
            </w:r>
          </w:p>
        </w:tc>
        <w:tc>
          <w:tcPr>
            <w:tcW w:w="540" w:type="dxa"/>
            <w:tcBorders>
              <w:top w:val="nil"/>
              <w:bottom w:val="nil"/>
            </w:tcBorders>
          </w:tcPr>
          <w:p w14:paraId="26DC46F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6.0</w:t>
            </w:r>
          </w:p>
        </w:tc>
        <w:tc>
          <w:tcPr>
            <w:tcW w:w="540" w:type="dxa"/>
            <w:tcBorders>
              <w:top w:val="nil"/>
              <w:bottom w:val="nil"/>
            </w:tcBorders>
          </w:tcPr>
          <w:p w14:paraId="6B9A7C2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5.2</w:t>
            </w:r>
          </w:p>
        </w:tc>
        <w:tc>
          <w:tcPr>
            <w:tcW w:w="540" w:type="dxa"/>
            <w:tcBorders>
              <w:top w:val="nil"/>
              <w:bottom w:val="nil"/>
            </w:tcBorders>
          </w:tcPr>
          <w:p w14:paraId="209A57B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7.5</w:t>
            </w:r>
          </w:p>
        </w:tc>
        <w:tc>
          <w:tcPr>
            <w:tcW w:w="540" w:type="dxa"/>
            <w:tcBorders>
              <w:top w:val="nil"/>
              <w:bottom w:val="nil"/>
            </w:tcBorders>
          </w:tcPr>
          <w:p w14:paraId="5C22BB4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bottom w:val="nil"/>
            </w:tcBorders>
          </w:tcPr>
          <w:p w14:paraId="3B7853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88" w:type="dxa"/>
            <w:tcBorders>
              <w:top w:val="nil"/>
              <w:bottom w:val="nil"/>
            </w:tcBorders>
          </w:tcPr>
          <w:p w14:paraId="1238E54C"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2.9</w:t>
            </w:r>
          </w:p>
        </w:tc>
        <w:tc>
          <w:tcPr>
            <w:tcW w:w="567" w:type="dxa"/>
            <w:tcBorders>
              <w:top w:val="nil"/>
              <w:bottom w:val="nil"/>
            </w:tcBorders>
          </w:tcPr>
          <w:p w14:paraId="2BC1568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-6.2</w:t>
            </w:r>
          </w:p>
        </w:tc>
        <w:tc>
          <w:tcPr>
            <w:tcW w:w="645" w:type="dxa"/>
            <w:tcBorders>
              <w:top w:val="nil"/>
              <w:bottom w:val="nil"/>
            </w:tcBorders>
          </w:tcPr>
          <w:p w14:paraId="33220CB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-11.3</w:t>
            </w:r>
          </w:p>
        </w:tc>
        <w:tc>
          <w:tcPr>
            <w:tcW w:w="540" w:type="dxa"/>
            <w:tcBorders>
              <w:top w:val="nil"/>
              <w:bottom w:val="nil"/>
            </w:tcBorders>
          </w:tcPr>
          <w:p w14:paraId="3C4E390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-3.1</w:t>
            </w:r>
          </w:p>
        </w:tc>
        <w:tc>
          <w:tcPr>
            <w:tcW w:w="540" w:type="dxa"/>
            <w:tcBorders>
              <w:top w:val="nil"/>
              <w:bottom w:val="nil"/>
            </w:tcBorders>
          </w:tcPr>
          <w:p w14:paraId="1FEF4B2B"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A2360E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A484A50"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67E2E004" w14:textId="77777777" w:rsidTr="00A808BF">
        <w:trPr>
          <w:jc w:val="center"/>
        </w:trPr>
        <w:tc>
          <w:tcPr>
            <w:tcW w:w="2497" w:type="dxa"/>
            <w:tcBorders>
              <w:top w:val="nil"/>
              <w:bottom w:val="nil"/>
            </w:tcBorders>
          </w:tcPr>
          <w:p w14:paraId="3DDB3F85"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Economías de ingreso mediano</w:t>
            </w:r>
            <w:r w:rsidRPr="00A808BF">
              <w:rPr>
                <w:rFonts w:eastAsia="Times New Roman"/>
                <w:b/>
                <w:sz w:val="12"/>
                <w:szCs w:val="12"/>
                <w:u w:val="single"/>
                <w:vertAlign w:val="superscript"/>
                <w:lang w:val="es-ES"/>
              </w:rPr>
              <w:t>5</w:t>
            </w:r>
            <w:r w:rsidRPr="00A808BF">
              <w:rPr>
                <w:rFonts w:eastAsia="Times New Roman"/>
                <w:b/>
                <w:sz w:val="12"/>
                <w:szCs w:val="12"/>
                <w:vertAlign w:val="superscript"/>
                <w:lang w:val="es-ES"/>
              </w:rPr>
              <w:t>/</w:t>
            </w:r>
          </w:p>
        </w:tc>
        <w:tc>
          <w:tcPr>
            <w:tcW w:w="540" w:type="dxa"/>
            <w:tcBorders>
              <w:top w:val="nil"/>
              <w:bottom w:val="nil"/>
            </w:tcBorders>
          </w:tcPr>
          <w:p w14:paraId="1F20A8F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2.9</w:t>
            </w:r>
          </w:p>
        </w:tc>
        <w:tc>
          <w:tcPr>
            <w:tcW w:w="540" w:type="dxa"/>
            <w:tcBorders>
              <w:top w:val="nil"/>
              <w:bottom w:val="nil"/>
            </w:tcBorders>
          </w:tcPr>
          <w:p w14:paraId="42FF92F4"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3.2</w:t>
            </w:r>
          </w:p>
        </w:tc>
        <w:tc>
          <w:tcPr>
            <w:tcW w:w="540" w:type="dxa"/>
            <w:tcBorders>
              <w:top w:val="nil"/>
              <w:bottom w:val="nil"/>
            </w:tcBorders>
          </w:tcPr>
          <w:p w14:paraId="61B57873"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3.6</w:t>
            </w:r>
          </w:p>
        </w:tc>
        <w:tc>
          <w:tcPr>
            <w:tcW w:w="540" w:type="dxa"/>
            <w:tcBorders>
              <w:top w:val="nil"/>
              <w:bottom w:val="nil"/>
            </w:tcBorders>
          </w:tcPr>
          <w:p w14:paraId="09DABD81"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6.0</w:t>
            </w:r>
          </w:p>
        </w:tc>
        <w:tc>
          <w:tcPr>
            <w:tcW w:w="540" w:type="dxa"/>
            <w:tcBorders>
              <w:top w:val="nil"/>
              <w:bottom w:val="nil"/>
            </w:tcBorders>
          </w:tcPr>
          <w:p w14:paraId="27A4BCA8"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4.8</w:t>
            </w:r>
          </w:p>
        </w:tc>
        <w:tc>
          <w:tcPr>
            <w:tcW w:w="588" w:type="dxa"/>
            <w:tcBorders>
              <w:top w:val="nil"/>
              <w:bottom w:val="nil"/>
            </w:tcBorders>
          </w:tcPr>
          <w:p w14:paraId="75E634BF" w14:textId="77777777" w:rsidR="009B1CF2" w:rsidRPr="00A808BF" w:rsidRDefault="009B1CF2" w:rsidP="00A808BF">
            <w:pPr>
              <w:ind w:right="113"/>
              <w:jc w:val="right"/>
              <w:rPr>
                <w:rFonts w:eastAsia="Times New Roman"/>
                <w:b/>
                <w:sz w:val="12"/>
                <w:szCs w:val="12"/>
                <w:lang w:val="es-ES"/>
              </w:rPr>
            </w:pPr>
            <w:r w:rsidRPr="00A808BF">
              <w:rPr>
                <w:rFonts w:eastAsia="Times New Roman"/>
                <w:b/>
                <w:sz w:val="12"/>
                <w:szCs w:val="12"/>
                <w:lang w:val="es-ES"/>
              </w:rPr>
              <w:t>5.3</w:t>
            </w:r>
          </w:p>
        </w:tc>
        <w:tc>
          <w:tcPr>
            <w:tcW w:w="567" w:type="dxa"/>
            <w:tcBorders>
              <w:top w:val="nil"/>
              <w:bottom w:val="nil"/>
            </w:tcBorders>
          </w:tcPr>
          <w:p w14:paraId="1B827AAD"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-4.8</w:t>
            </w:r>
          </w:p>
        </w:tc>
        <w:tc>
          <w:tcPr>
            <w:tcW w:w="645" w:type="dxa"/>
            <w:tcBorders>
              <w:top w:val="nil"/>
              <w:bottom w:val="nil"/>
            </w:tcBorders>
          </w:tcPr>
          <w:p w14:paraId="77A8F8EA"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-4.0</w:t>
            </w:r>
          </w:p>
        </w:tc>
        <w:tc>
          <w:tcPr>
            <w:tcW w:w="540" w:type="dxa"/>
            <w:tcBorders>
              <w:top w:val="nil"/>
              <w:bottom w:val="nil"/>
            </w:tcBorders>
          </w:tcPr>
          <w:p w14:paraId="28622072"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-4.1</w:t>
            </w:r>
          </w:p>
        </w:tc>
        <w:tc>
          <w:tcPr>
            <w:tcW w:w="540" w:type="dxa"/>
            <w:tcBorders>
              <w:top w:val="nil"/>
              <w:bottom w:val="nil"/>
            </w:tcBorders>
          </w:tcPr>
          <w:p w14:paraId="57837D92"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6A7520CE"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2A7865B7"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r>
      <w:tr w:rsidR="009B1CF2" w:rsidRPr="00A808BF" w14:paraId="35E14ACC" w14:textId="77777777" w:rsidTr="00A808BF">
        <w:trPr>
          <w:jc w:val="center"/>
        </w:trPr>
        <w:tc>
          <w:tcPr>
            <w:tcW w:w="2497" w:type="dxa"/>
            <w:tcBorders>
              <w:top w:val="nil"/>
              <w:bottom w:val="nil"/>
            </w:tcBorders>
          </w:tcPr>
          <w:p w14:paraId="05B8DEAF"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Sudáfrica</w:t>
            </w:r>
          </w:p>
        </w:tc>
        <w:tc>
          <w:tcPr>
            <w:tcW w:w="540" w:type="dxa"/>
            <w:tcBorders>
              <w:top w:val="nil"/>
              <w:bottom w:val="nil"/>
            </w:tcBorders>
          </w:tcPr>
          <w:p w14:paraId="2043A24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40" w:type="dxa"/>
            <w:tcBorders>
              <w:top w:val="nil"/>
              <w:bottom w:val="nil"/>
            </w:tcBorders>
          </w:tcPr>
          <w:p w14:paraId="5DB4B12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40" w:type="dxa"/>
            <w:tcBorders>
              <w:top w:val="nil"/>
              <w:bottom w:val="nil"/>
            </w:tcBorders>
          </w:tcPr>
          <w:p w14:paraId="77FC92E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2.1</w:t>
            </w:r>
          </w:p>
        </w:tc>
        <w:tc>
          <w:tcPr>
            <w:tcW w:w="540" w:type="dxa"/>
            <w:tcBorders>
              <w:top w:val="nil"/>
              <w:bottom w:val="nil"/>
            </w:tcBorders>
          </w:tcPr>
          <w:p w14:paraId="2F9BDC0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bottom w:val="nil"/>
            </w:tcBorders>
          </w:tcPr>
          <w:p w14:paraId="09545F4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88" w:type="dxa"/>
            <w:tcBorders>
              <w:top w:val="nil"/>
              <w:bottom w:val="nil"/>
            </w:tcBorders>
          </w:tcPr>
          <w:p w14:paraId="04D891EC"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5.6</w:t>
            </w:r>
          </w:p>
        </w:tc>
        <w:tc>
          <w:tcPr>
            <w:tcW w:w="567" w:type="dxa"/>
            <w:tcBorders>
              <w:top w:val="nil"/>
              <w:bottom w:val="nil"/>
            </w:tcBorders>
          </w:tcPr>
          <w:p w14:paraId="0362BDC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-5.4</w:t>
            </w:r>
          </w:p>
        </w:tc>
        <w:tc>
          <w:tcPr>
            <w:tcW w:w="645" w:type="dxa"/>
            <w:tcBorders>
              <w:top w:val="nil"/>
              <w:bottom w:val="nil"/>
            </w:tcBorders>
          </w:tcPr>
          <w:p w14:paraId="7E16B0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-4.6</w:t>
            </w:r>
          </w:p>
        </w:tc>
        <w:tc>
          <w:tcPr>
            <w:tcW w:w="540" w:type="dxa"/>
            <w:tcBorders>
              <w:top w:val="nil"/>
              <w:bottom w:val="nil"/>
            </w:tcBorders>
          </w:tcPr>
          <w:p w14:paraId="476D47EE"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bottom w:val="nil"/>
            </w:tcBorders>
          </w:tcPr>
          <w:p w14:paraId="466D418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25.1</w:t>
            </w:r>
          </w:p>
        </w:tc>
        <w:tc>
          <w:tcPr>
            <w:tcW w:w="540" w:type="dxa"/>
            <w:tcBorders>
              <w:top w:val="nil"/>
              <w:bottom w:val="nil"/>
            </w:tcBorders>
          </w:tcPr>
          <w:p w14:paraId="6877267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25.1</w:t>
            </w:r>
          </w:p>
        </w:tc>
        <w:tc>
          <w:tcPr>
            <w:tcW w:w="540" w:type="dxa"/>
            <w:tcBorders>
              <w:top w:val="nil"/>
              <w:bottom w:val="nil"/>
            </w:tcBorders>
          </w:tcPr>
          <w:p w14:paraId="3E0A8D7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24.9</w:t>
            </w:r>
          </w:p>
        </w:tc>
      </w:tr>
      <w:tr w:rsidR="009B1CF2" w:rsidRPr="00A808BF" w14:paraId="724329CD" w14:textId="77777777" w:rsidTr="00A808BF">
        <w:trPr>
          <w:jc w:val="center"/>
        </w:trPr>
        <w:tc>
          <w:tcPr>
            <w:tcW w:w="2497" w:type="dxa"/>
            <w:tcBorders>
              <w:top w:val="nil"/>
              <w:bottom w:val="nil"/>
            </w:tcBorders>
          </w:tcPr>
          <w:p w14:paraId="1EFF3BAB"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Ghana</w:t>
            </w:r>
          </w:p>
        </w:tc>
        <w:tc>
          <w:tcPr>
            <w:tcW w:w="540" w:type="dxa"/>
            <w:tcBorders>
              <w:top w:val="nil"/>
              <w:bottom w:val="nil"/>
            </w:tcBorders>
          </w:tcPr>
          <w:p w14:paraId="40A0D48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40" w:type="dxa"/>
            <w:tcBorders>
              <w:top w:val="nil"/>
              <w:bottom w:val="nil"/>
            </w:tcBorders>
          </w:tcPr>
          <w:p w14:paraId="75053A5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3.5</w:t>
            </w:r>
          </w:p>
        </w:tc>
        <w:tc>
          <w:tcPr>
            <w:tcW w:w="540" w:type="dxa"/>
            <w:tcBorders>
              <w:top w:val="nil"/>
              <w:bottom w:val="nil"/>
            </w:tcBorders>
          </w:tcPr>
          <w:p w14:paraId="649C27D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540" w:type="dxa"/>
            <w:tcBorders>
              <w:top w:val="nil"/>
              <w:bottom w:val="nil"/>
            </w:tcBorders>
          </w:tcPr>
          <w:p w14:paraId="55B2710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15.5</w:t>
            </w:r>
          </w:p>
        </w:tc>
        <w:tc>
          <w:tcPr>
            <w:tcW w:w="540" w:type="dxa"/>
            <w:tcBorders>
              <w:top w:val="nil"/>
              <w:bottom w:val="nil"/>
            </w:tcBorders>
          </w:tcPr>
          <w:p w14:paraId="39A7CDC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12.2</w:t>
            </w:r>
          </w:p>
        </w:tc>
        <w:tc>
          <w:tcPr>
            <w:tcW w:w="588" w:type="dxa"/>
            <w:tcBorders>
              <w:top w:val="nil"/>
              <w:bottom w:val="nil"/>
            </w:tcBorders>
          </w:tcPr>
          <w:p w14:paraId="758EEF49"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10.2</w:t>
            </w:r>
          </w:p>
        </w:tc>
        <w:tc>
          <w:tcPr>
            <w:tcW w:w="567" w:type="dxa"/>
            <w:tcBorders>
              <w:top w:val="nil"/>
              <w:bottom w:val="nil"/>
            </w:tcBorders>
          </w:tcPr>
          <w:p w14:paraId="077EBE1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-9.2</w:t>
            </w:r>
          </w:p>
        </w:tc>
        <w:tc>
          <w:tcPr>
            <w:tcW w:w="645" w:type="dxa"/>
            <w:tcBorders>
              <w:top w:val="nil"/>
              <w:bottom w:val="nil"/>
            </w:tcBorders>
          </w:tcPr>
          <w:p w14:paraId="244FCB9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-7.0</w:t>
            </w:r>
          </w:p>
        </w:tc>
        <w:tc>
          <w:tcPr>
            <w:tcW w:w="540" w:type="dxa"/>
            <w:tcBorders>
              <w:top w:val="nil"/>
              <w:bottom w:val="nil"/>
            </w:tcBorders>
          </w:tcPr>
          <w:p w14:paraId="2441C85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-6.2</w:t>
            </w:r>
          </w:p>
        </w:tc>
        <w:tc>
          <w:tcPr>
            <w:tcW w:w="540" w:type="dxa"/>
            <w:tcBorders>
              <w:top w:val="nil"/>
              <w:bottom w:val="nil"/>
            </w:tcBorders>
          </w:tcPr>
          <w:p w14:paraId="0AAF170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A126F0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03B694B"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4F24C53B" w14:textId="77777777" w:rsidTr="00A808BF">
        <w:trPr>
          <w:jc w:val="center"/>
        </w:trPr>
        <w:tc>
          <w:tcPr>
            <w:tcW w:w="2497" w:type="dxa"/>
            <w:tcBorders>
              <w:top w:val="nil"/>
              <w:bottom w:val="nil"/>
            </w:tcBorders>
          </w:tcPr>
          <w:p w14:paraId="15A78939"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Côte d’Ivoire</w:t>
            </w:r>
          </w:p>
        </w:tc>
        <w:tc>
          <w:tcPr>
            <w:tcW w:w="540" w:type="dxa"/>
            <w:tcBorders>
              <w:top w:val="nil"/>
              <w:bottom w:val="nil"/>
            </w:tcBorders>
          </w:tcPr>
          <w:p w14:paraId="57480AF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7.5</w:t>
            </w:r>
          </w:p>
        </w:tc>
        <w:tc>
          <w:tcPr>
            <w:tcW w:w="540" w:type="dxa"/>
            <w:tcBorders>
              <w:top w:val="nil"/>
              <w:bottom w:val="nil"/>
            </w:tcBorders>
          </w:tcPr>
          <w:p w14:paraId="01D9E64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7.7</w:t>
            </w:r>
          </w:p>
        </w:tc>
        <w:tc>
          <w:tcPr>
            <w:tcW w:w="540" w:type="dxa"/>
            <w:tcBorders>
              <w:top w:val="nil"/>
              <w:bottom w:val="nil"/>
            </w:tcBorders>
          </w:tcPr>
          <w:p w14:paraId="1F64C468"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7.8</w:t>
            </w:r>
          </w:p>
        </w:tc>
        <w:tc>
          <w:tcPr>
            <w:tcW w:w="540" w:type="dxa"/>
            <w:tcBorders>
              <w:top w:val="nil"/>
              <w:bottom w:val="nil"/>
            </w:tcBorders>
          </w:tcPr>
          <w:p w14:paraId="77CF989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0.4</w:t>
            </w:r>
          </w:p>
        </w:tc>
        <w:tc>
          <w:tcPr>
            <w:tcW w:w="540" w:type="dxa"/>
            <w:tcBorders>
              <w:top w:val="nil"/>
              <w:bottom w:val="nil"/>
            </w:tcBorders>
          </w:tcPr>
          <w:p w14:paraId="721E667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1.2</w:t>
            </w:r>
          </w:p>
        </w:tc>
        <w:tc>
          <w:tcPr>
            <w:tcW w:w="588" w:type="dxa"/>
            <w:tcBorders>
              <w:top w:val="nil"/>
              <w:bottom w:val="nil"/>
            </w:tcBorders>
          </w:tcPr>
          <w:p w14:paraId="134D123C"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1.5</w:t>
            </w:r>
          </w:p>
        </w:tc>
        <w:tc>
          <w:tcPr>
            <w:tcW w:w="567" w:type="dxa"/>
            <w:tcBorders>
              <w:top w:val="nil"/>
              <w:bottom w:val="nil"/>
            </w:tcBorders>
          </w:tcPr>
          <w:p w14:paraId="0EC1542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-3.3</w:t>
            </w:r>
          </w:p>
        </w:tc>
        <w:tc>
          <w:tcPr>
            <w:tcW w:w="645" w:type="dxa"/>
            <w:tcBorders>
              <w:top w:val="nil"/>
              <w:bottom w:val="nil"/>
            </w:tcBorders>
          </w:tcPr>
          <w:p w14:paraId="29C6132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-2.3</w:t>
            </w:r>
          </w:p>
        </w:tc>
        <w:tc>
          <w:tcPr>
            <w:tcW w:w="540" w:type="dxa"/>
            <w:tcBorders>
              <w:top w:val="nil"/>
              <w:bottom w:val="nil"/>
            </w:tcBorders>
          </w:tcPr>
          <w:p w14:paraId="2EDA188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-1.7</w:t>
            </w:r>
          </w:p>
        </w:tc>
        <w:tc>
          <w:tcPr>
            <w:tcW w:w="540" w:type="dxa"/>
            <w:tcBorders>
              <w:top w:val="nil"/>
              <w:bottom w:val="nil"/>
            </w:tcBorders>
          </w:tcPr>
          <w:p w14:paraId="7FEC1748"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1F462B5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61FA01D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2F169D23" w14:textId="77777777" w:rsidTr="00A808BF">
        <w:trPr>
          <w:jc w:val="center"/>
        </w:trPr>
        <w:tc>
          <w:tcPr>
            <w:tcW w:w="2497" w:type="dxa"/>
            <w:tcBorders>
              <w:top w:val="nil"/>
              <w:bottom w:val="nil"/>
            </w:tcBorders>
          </w:tcPr>
          <w:p w14:paraId="50AF5082"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Camerún</w:t>
            </w:r>
          </w:p>
        </w:tc>
        <w:tc>
          <w:tcPr>
            <w:tcW w:w="540" w:type="dxa"/>
            <w:tcBorders>
              <w:top w:val="nil"/>
              <w:bottom w:val="nil"/>
            </w:tcBorders>
          </w:tcPr>
          <w:p w14:paraId="70B0708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c>
          <w:tcPr>
            <w:tcW w:w="540" w:type="dxa"/>
            <w:tcBorders>
              <w:top w:val="nil"/>
              <w:bottom w:val="nil"/>
            </w:tcBorders>
          </w:tcPr>
          <w:p w14:paraId="3BD9DB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2FB5BD9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6A364BD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1.9</w:t>
            </w:r>
          </w:p>
        </w:tc>
        <w:tc>
          <w:tcPr>
            <w:tcW w:w="540" w:type="dxa"/>
            <w:tcBorders>
              <w:top w:val="nil"/>
              <w:bottom w:val="nil"/>
            </w:tcBorders>
          </w:tcPr>
          <w:p w14:paraId="4007C9ED"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2.0</w:t>
            </w:r>
          </w:p>
        </w:tc>
        <w:tc>
          <w:tcPr>
            <w:tcW w:w="588" w:type="dxa"/>
            <w:tcBorders>
              <w:top w:val="nil"/>
              <w:bottom w:val="nil"/>
            </w:tcBorders>
          </w:tcPr>
          <w:p w14:paraId="05DA4EA3"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2.1</w:t>
            </w:r>
          </w:p>
        </w:tc>
        <w:tc>
          <w:tcPr>
            <w:tcW w:w="567" w:type="dxa"/>
            <w:tcBorders>
              <w:top w:val="nil"/>
              <w:bottom w:val="nil"/>
            </w:tcBorders>
          </w:tcPr>
          <w:p w14:paraId="230765E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-4.2</w:t>
            </w:r>
          </w:p>
        </w:tc>
        <w:tc>
          <w:tcPr>
            <w:tcW w:w="645" w:type="dxa"/>
            <w:tcBorders>
              <w:top w:val="nil"/>
              <w:bottom w:val="nil"/>
            </w:tcBorders>
          </w:tcPr>
          <w:p w14:paraId="6DDD52F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bottom w:val="nil"/>
            </w:tcBorders>
          </w:tcPr>
          <w:p w14:paraId="5EC3C356"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-4.8</w:t>
            </w:r>
          </w:p>
        </w:tc>
        <w:tc>
          <w:tcPr>
            <w:tcW w:w="540" w:type="dxa"/>
            <w:tcBorders>
              <w:top w:val="nil"/>
              <w:bottom w:val="nil"/>
            </w:tcBorders>
          </w:tcPr>
          <w:p w14:paraId="1729A7B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413D96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888B1B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2B68A4AD" w14:textId="77777777" w:rsidTr="00A808BF">
        <w:trPr>
          <w:jc w:val="center"/>
        </w:trPr>
        <w:tc>
          <w:tcPr>
            <w:tcW w:w="2497" w:type="dxa"/>
            <w:tcBorders>
              <w:top w:val="nil"/>
              <w:bottom w:val="nil"/>
            </w:tcBorders>
          </w:tcPr>
          <w:p w14:paraId="119711A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Zambia</w:t>
            </w:r>
          </w:p>
        </w:tc>
        <w:tc>
          <w:tcPr>
            <w:tcW w:w="540" w:type="dxa"/>
            <w:tcBorders>
              <w:top w:val="nil"/>
              <w:bottom w:val="nil"/>
            </w:tcBorders>
          </w:tcPr>
          <w:p w14:paraId="6B8DB1A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bottom w:val="nil"/>
            </w:tcBorders>
          </w:tcPr>
          <w:p w14:paraId="35E60A8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6.7</w:t>
            </w:r>
          </w:p>
        </w:tc>
        <w:tc>
          <w:tcPr>
            <w:tcW w:w="540" w:type="dxa"/>
            <w:tcBorders>
              <w:top w:val="nil"/>
              <w:bottom w:val="nil"/>
            </w:tcBorders>
          </w:tcPr>
          <w:p w14:paraId="552F687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c>
          <w:tcPr>
            <w:tcW w:w="540" w:type="dxa"/>
            <w:tcBorders>
              <w:top w:val="nil"/>
              <w:bottom w:val="nil"/>
            </w:tcBorders>
          </w:tcPr>
          <w:p w14:paraId="16C75B4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7.9</w:t>
            </w:r>
          </w:p>
        </w:tc>
        <w:tc>
          <w:tcPr>
            <w:tcW w:w="540" w:type="dxa"/>
            <w:tcBorders>
              <w:top w:val="nil"/>
              <w:bottom w:val="nil"/>
            </w:tcBorders>
          </w:tcPr>
          <w:p w14:paraId="79054F3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7.7</w:t>
            </w:r>
          </w:p>
        </w:tc>
        <w:tc>
          <w:tcPr>
            <w:tcW w:w="588" w:type="dxa"/>
            <w:tcBorders>
              <w:top w:val="nil"/>
              <w:bottom w:val="nil"/>
            </w:tcBorders>
          </w:tcPr>
          <w:p w14:paraId="5BBBDE92"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6.5</w:t>
            </w:r>
          </w:p>
        </w:tc>
        <w:tc>
          <w:tcPr>
            <w:tcW w:w="567" w:type="dxa"/>
            <w:tcBorders>
              <w:top w:val="nil"/>
              <w:bottom w:val="nil"/>
            </w:tcBorders>
          </w:tcPr>
          <w:p w14:paraId="515663E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-0.2</w:t>
            </w:r>
          </w:p>
        </w:tc>
        <w:tc>
          <w:tcPr>
            <w:tcW w:w="645" w:type="dxa"/>
            <w:tcBorders>
              <w:top w:val="nil"/>
              <w:bottom w:val="nil"/>
            </w:tcBorders>
          </w:tcPr>
          <w:p w14:paraId="7A42643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0.3</w:t>
            </w:r>
          </w:p>
        </w:tc>
        <w:tc>
          <w:tcPr>
            <w:tcW w:w="540" w:type="dxa"/>
            <w:tcBorders>
              <w:top w:val="nil"/>
              <w:bottom w:val="nil"/>
            </w:tcBorders>
          </w:tcPr>
          <w:p w14:paraId="600C462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0.9</w:t>
            </w:r>
          </w:p>
        </w:tc>
        <w:tc>
          <w:tcPr>
            <w:tcW w:w="540" w:type="dxa"/>
            <w:tcBorders>
              <w:top w:val="nil"/>
              <w:bottom w:val="nil"/>
            </w:tcBorders>
          </w:tcPr>
          <w:p w14:paraId="51EC702E"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698740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1A7BF74"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42EA38E9" w14:textId="77777777" w:rsidTr="00A808BF">
        <w:trPr>
          <w:jc w:val="center"/>
        </w:trPr>
        <w:tc>
          <w:tcPr>
            <w:tcW w:w="2497" w:type="dxa"/>
            <w:tcBorders>
              <w:top w:val="nil"/>
              <w:bottom w:val="nil"/>
            </w:tcBorders>
          </w:tcPr>
          <w:p w14:paraId="68824B06"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Senegal</w:t>
            </w:r>
          </w:p>
        </w:tc>
        <w:tc>
          <w:tcPr>
            <w:tcW w:w="540" w:type="dxa"/>
            <w:tcBorders>
              <w:top w:val="nil"/>
              <w:bottom w:val="nil"/>
            </w:tcBorders>
          </w:tcPr>
          <w:p w14:paraId="69851EA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bottom w:val="nil"/>
            </w:tcBorders>
          </w:tcPr>
          <w:p w14:paraId="32F53DE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4.6</w:t>
            </w:r>
          </w:p>
        </w:tc>
        <w:tc>
          <w:tcPr>
            <w:tcW w:w="540" w:type="dxa"/>
            <w:tcBorders>
              <w:top w:val="nil"/>
              <w:bottom w:val="nil"/>
            </w:tcBorders>
          </w:tcPr>
          <w:p w14:paraId="055506A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c>
          <w:tcPr>
            <w:tcW w:w="540" w:type="dxa"/>
            <w:tcBorders>
              <w:top w:val="nil"/>
              <w:bottom w:val="nil"/>
            </w:tcBorders>
          </w:tcPr>
          <w:p w14:paraId="29ED544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-0.5</w:t>
            </w:r>
          </w:p>
        </w:tc>
        <w:tc>
          <w:tcPr>
            <w:tcW w:w="540" w:type="dxa"/>
            <w:tcBorders>
              <w:top w:val="nil"/>
              <w:bottom w:val="nil"/>
            </w:tcBorders>
          </w:tcPr>
          <w:p w14:paraId="10C68A8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1.5</w:t>
            </w:r>
          </w:p>
        </w:tc>
        <w:tc>
          <w:tcPr>
            <w:tcW w:w="588" w:type="dxa"/>
            <w:tcBorders>
              <w:top w:val="nil"/>
              <w:bottom w:val="nil"/>
            </w:tcBorders>
          </w:tcPr>
          <w:p w14:paraId="2BBC0327"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1.4</w:t>
            </w:r>
          </w:p>
        </w:tc>
        <w:tc>
          <w:tcPr>
            <w:tcW w:w="567" w:type="dxa"/>
            <w:tcBorders>
              <w:top w:val="nil"/>
              <w:bottom w:val="nil"/>
            </w:tcBorders>
          </w:tcPr>
          <w:p w14:paraId="66D1C0E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-10.3</w:t>
            </w:r>
          </w:p>
        </w:tc>
        <w:tc>
          <w:tcPr>
            <w:tcW w:w="645" w:type="dxa"/>
            <w:tcBorders>
              <w:top w:val="nil"/>
              <w:bottom w:val="nil"/>
            </w:tcBorders>
          </w:tcPr>
          <w:p w14:paraId="17E2B15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c>
          <w:tcPr>
            <w:tcW w:w="540" w:type="dxa"/>
            <w:tcBorders>
              <w:top w:val="nil"/>
              <w:bottom w:val="nil"/>
            </w:tcBorders>
          </w:tcPr>
          <w:p w14:paraId="6EBB2D40"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-7.3</w:t>
            </w:r>
          </w:p>
        </w:tc>
        <w:tc>
          <w:tcPr>
            <w:tcW w:w="540" w:type="dxa"/>
            <w:tcBorders>
              <w:top w:val="nil"/>
              <w:bottom w:val="nil"/>
            </w:tcBorders>
          </w:tcPr>
          <w:p w14:paraId="1DC3E2BE"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EDE5B7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36849F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32DF3DE8" w14:textId="77777777" w:rsidTr="00A808BF">
        <w:trPr>
          <w:jc w:val="center"/>
        </w:trPr>
        <w:tc>
          <w:tcPr>
            <w:tcW w:w="2497" w:type="dxa"/>
            <w:tcBorders>
              <w:top w:val="nil"/>
              <w:bottom w:val="nil"/>
            </w:tcBorders>
          </w:tcPr>
          <w:p w14:paraId="2E96149E" w14:textId="77777777" w:rsidR="009B1CF2" w:rsidRPr="00A808BF" w:rsidRDefault="009B1CF2" w:rsidP="009B1CF2">
            <w:pPr>
              <w:ind w:left="170"/>
              <w:rPr>
                <w:rFonts w:eastAsia="Times New Roman"/>
                <w:b/>
                <w:sz w:val="12"/>
                <w:szCs w:val="12"/>
                <w:lang w:val="es-ES"/>
              </w:rPr>
            </w:pPr>
            <w:r w:rsidRPr="00A808BF">
              <w:rPr>
                <w:rFonts w:eastAsia="Times New Roman"/>
                <w:b/>
                <w:sz w:val="12"/>
                <w:szCs w:val="12"/>
                <w:lang w:val="es-ES"/>
              </w:rPr>
              <w:t>Economías de bajo ingreso</w:t>
            </w:r>
            <w:r w:rsidRPr="00A808BF">
              <w:rPr>
                <w:rFonts w:eastAsia="Times New Roman"/>
                <w:b/>
                <w:sz w:val="12"/>
                <w:szCs w:val="12"/>
                <w:u w:val="single"/>
                <w:vertAlign w:val="superscript"/>
                <w:lang w:val="es-ES"/>
              </w:rPr>
              <w:t>6</w:t>
            </w:r>
            <w:r w:rsidRPr="00A808BF">
              <w:rPr>
                <w:rFonts w:eastAsia="Times New Roman"/>
                <w:b/>
                <w:sz w:val="12"/>
                <w:szCs w:val="12"/>
                <w:vertAlign w:val="superscript"/>
                <w:lang w:val="es-ES"/>
              </w:rPr>
              <w:t>/</w:t>
            </w:r>
          </w:p>
        </w:tc>
        <w:tc>
          <w:tcPr>
            <w:tcW w:w="540" w:type="dxa"/>
            <w:tcBorders>
              <w:top w:val="nil"/>
              <w:bottom w:val="nil"/>
            </w:tcBorders>
          </w:tcPr>
          <w:p w14:paraId="4EA1C04C"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6.5</w:t>
            </w:r>
          </w:p>
        </w:tc>
        <w:tc>
          <w:tcPr>
            <w:tcW w:w="540" w:type="dxa"/>
            <w:tcBorders>
              <w:top w:val="nil"/>
              <w:bottom w:val="nil"/>
            </w:tcBorders>
          </w:tcPr>
          <w:p w14:paraId="2E5B07B7"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6.3</w:t>
            </w:r>
          </w:p>
        </w:tc>
        <w:tc>
          <w:tcPr>
            <w:tcW w:w="540" w:type="dxa"/>
            <w:tcBorders>
              <w:top w:val="nil"/>
              <w:bottom w:val="nil"/>
            </w:tcBorders>
          </w:tcPr>
          <w:p w14:paraId="7543C4B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6.9</w:t>
            </w:r>
          </w:p>
        </w:tc>
        <w:tc>
          <w:tcPr>
            <w:tcW w:w="540" w:type="dxa"/>
            <w:tcBorders>
              <w:top w:val="nil"/>
              <w:bottom w:val="nil"/>
            </w:tcBorders>
          </w:tcPr>
          <w:p w14:paraId="43DF1E30"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5.1</w:t>
            </w:r>
          </w:p>
        </w:tc>
        <w:tc>
          <w:tcPr>
            <w:tcW w:w="540" w:type="dxa"/>
            <w:tcBorders>
              <w:top w:val="nil"/>
              <w:bottom w:val="nil"/>
            </w:tcBorders>
          </w:tcPr>
          <w:p w14:paraId="6195F2C6"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4.8</w:t>
            </w:r>
          </w:p>
        </w:tc>
        <w:tc>
          <w:tcPr>
            <w:tcW w:w="588" w:type="dxa"/>
            <w:tcBorders>
              <w:top w:val="nil"/>
              <w:bottom w:val="nil"/>
            </w:tcBorders>
          </w:tcPr>
          <w:p w14:paraId="508F7FE1" w14:textId="77777777" w:rsidR="009B1CF2" w:rsidRPr="00A808BF" w:rsidRDefault="009B1CF2" w:rsidP="00A808BF">
            <w:pPr>
              <w:ind w:right="113"/>
              <w:jc w:val="right"/>
              <w:rPr>
                <w:rFonts w:eastAsia="Times New Roman"/>
                <w:b/>
                <w:sz w:val="12"/>
                <w:szCs w:val="12"/>
                <w:lang w:val="es-ES"/>
              </w:rPr>
            </w:pPr>
            <w:r w:rsidRPr="00A808BF">
              <w:rPr>
                <w:rFonts w:eastAsia="Times New Roman"/>
                <w:b/>
                <w:sz w:val="12"/>
                <w:szCs w:val="12"/>
                <w:lang w:val="es-ES"/>
              </w:rPr>
              <w:t>5.2</w:t>
            </w:r>
          </w:p>
        </w:tc>
        <w:tc>
          <w:tcPr>
            <w:tcW w:w="567" w:type="dxa"/>
            <w:tcBorders>
              <w:top w:val="nil"/>
              <w:bottom w:val="nil"/>
            </w:tcBorders>
          </w:tcPr>
          <w:p w14:paraId="2C29AE6F"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-11.0</w:t>
            </w:r>
          </w:p>
        </w:tc>
        <w:tc>
          <w:tcPr>
            <w:tcW w:w="645" w:type="dxa"/>
            <w:tcBorders>
              <w:top w:val="nil"/>
              <w:bottom w:val="nil"/>
            </w:tcBorders>
          </w:tcPr>
          <w:p w14:paraId="5615AE0B"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-11.1</w:t>
            </w:r>
          </w:p>
        </w:tc>
        <w:tc>
          <w:tcPr>
            <w:tcW w:w="540" w:type="dxa"/>
            <w:tcBorders>
              <w:top w:val="nil"/>
              <w:bottom w:val="nil"/>
            </w:tcBorders>
          </w:tcPr>
          <w:p w14:paraId="18C2AE0C" w14:textId="77777777" w:rsidR="009B1CF2" w:rsidRPr="00A808BF" w:rsidRDefault="009B1CF2" w:rsidP="00A808BF">
            <w:pPr>
              <w:ind w:left="-57" w:right="113"/>
              <w:jc w:val="right"/>
              <w:rPr>
                <w:rFonts w:eastAsia="Times New Roman"/>
                <w:b/>
                <w:sz w:val="12"/>
                <w:szCs w:val="12"/>
                <w:lang w:val="es-ES"/>
              </w:rPr>
            </w:pPr>
            <w:r w:rsidRPr="00A808BF">
              <w:rPr>
                <w:rFonts w:eastAsia="Times New Roman"/>
                <w:b/>
                <w:sz w:val="12"/>
                <w:szCs w:val="12"/>
                <w:lang w:val="es-ES"/>
              </w:rPr>
              <w:t>-11.0</w:t>
            </w:r>
          </w:p>
        </w:tc>
        <w:tc>
          <w:tcPr>
            <w:tcW w:w="540" w:type="dxa"/>
            <w:tcBorders>
              <w:top w:val="nil"/>
              <w:bottom w:val="nil"/>
            </w:tcBorders>
          </w:tcPr>
          <w:p w14:paraId="7F9BB1DC"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13034B45" w14:textId="77777777" w:rsidR="009B1CF2" w:rsidRPr="00A808BF" w:rsidRDefault="009B1CF2" w:rsidP="009B1CF2">
            <w:pPr>
              <w:ind w:right="113"/>
              <w:jc w:val="right"/>
              <w:rPr>
                <w:rFonts w:eastAsia="Times New Roman"/>
                <w:b/>
                <w:sz w:val="12"/>
                <w:szCs w:val="12"/>
                <w:lang w:val="es-ES"/>
              </w:rPr>
            </w:pPr>
            <w:r w:rsidRPr="00A808BF">
              <w:rPr>
                <w:rFonts w:eastAsia="Times New Roman"/>
                <w:b/>
                <w:sz w:val="12"/>
                <w:szCs w:val="12"/>
                <w:lang w:val="es-ES"/>
              </w:rPr>
              <w:t>-</w:t>
            </w:r>
          </w:p>
        </w:tc>
        <w:tc>
          <w:tcPr>
            <w:tcW w:w="540" w:type="dxa"/>
            <w:tcBorders>
              <w:top w:val="nil"/>
              <w:bottom w:val="nil"/>
            </w:tcBorders>
          </w:tcPr>
          <w:p w14:paraId="006B63C5" w14:textId="77777777" w:rsidR="009B1CF2" w:rsidRPr="00A808BF" w:rsidRDefault="009B1CF2" w:rsidP="009B1CF2">
            <w:pPr>
              <w:ind w:right="57"/>
              <w:jc w:val="right"/>
              <w:rPr>
                <w:rFonts w:eastAsia="Times New Roman"/>
                <w:b/>
                <w:sz w:val="12"/>
                <w:szCs w:val="12"/>
                <w:lang w:val="es-ES"/>
              </w:rPr>
            </w:pPr>
            <w:r w:rsidRPr="00A808BF">
              <w:rPr>
                <w:rFonts w:eastAsia="Times New Roman"/>
                <w:b/>
                <w:sz w:val="12"/>
                <w:szCs w:val="12"/>
                <w:lang w:val="es-ES"/>
              </w:rPr>
              <w:t>-</w:t>
            </w:r>
          </w:p>
        </w:tc>
      </w:tr>
      <w:tr w:rsidR="009B1CF2" w:rsidRPr="00A808BF" w14:paraId="1152D207" w14:textId="77777777" w:rsidTr="00A808BF">
        <w:trPr>
          <w:jc w:val="center"/>
        </w:trPr>
        <w:tc>
          <w:tcPr>
            <w:tcW w:w="2497" w:type="dxa"/>
            <w:tcBorders>
              <w:top w:val="nil"/>
              <w:bottom w:val="nil"/>
            </w:tcBorders>
          </w:tcPr>
          <w:p w14:paraId="3956AFBF"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Etiopía</w:t>
            </w:r>
          </w:p>
        </w:tc>
        <w:tc>
          <w:tcPr>
            <w:tcW w:w="540" w:type="dxa"/>
            <w:tcBorders>
              <w:top w:val="nil"/>
              <w:bottom w:val="nil"/>
            </w:tcBorders>
          </w:tcPr>
          <w:p w14:paraId="4DA0F5C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10.3</w:t>
            </w:r>
          </w:p>
        </w:tc>
        <w:tc>
          <w:tcPr>
            <w:tcW w:w="540" w:type="dxa"/>
            <w:tcBorders>
              <w:top w:val="nil"/>
              <w:bottom w:val="nil"/>
            </w:tcBorders>
          </w:tcPr>
          <w:p w14:paraId="3301F57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8.6</w:t>
            </w:r>
          </w:p>
        </w:tc>
        <w:tc>
          <w:tcPr>
            <w:tcW w:w="540" w:type="dxa"/>
            <w:tcBorders>
              <w:top w:val="nil"/>
              <w:bottom w:val="nil"/>
            </w:tcBorders>
          </w:tcPr>
          <w:p w14:paraId="6D31A63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8.5</w:t>
            </w:r>
          </w:p>
        </w:tc>
        <w:tc>
          <w:tcPr>
            <w:tcW w:w="540" w:type="dxa"/>
            <w:tcBorders>
              <w:top w:val="nil"/>
              <w:bottom w:val="nil"/>
            </w:tcBorders>
          </w:tcPr>
          <w:p w14:paraId="24C2BF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7.4</w:t>
            </w:r>
          </w:p>
        </w:tc>
        <w:tc>
          <w:tcPr>
            <w:tcW w:w="540" w:type="dxa"/>
            <w:tcBorders>
              <w:top w:val="nil"/>
              <w:bottom w:val="nil"/>
            </w:tcBorders>
          </w:tcPr>
          <w:p w14:paraId="5E28811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6.8</w:t>
            </w:r>
          </w:p>
        </w:tc>
        <w:tc>
          <w:tcPr>
            <w:tcW w:w="588" w:type="dxa"/>
            <w:tcBorders>
              <w:top w:val="nil"/>
              <w:bottom w:val="nil"/>
            </w:tcBorders>
          </w:tcPr>
          <w:p w14:paraId="52ECEC47"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8.2</w:t>
            </w:r>
          </w:p>
        </w:tc>
        <w:tc>
          <w:tcPr>
            <w:tcW w:w="567" w:type="dxa"/>
            <w:tcBorders>
              <w:top w:val="nil"/>
              <w:bottom w:val="nil"/>
            </w:tcBorders>
          </w:tcPr>
          <w:p w14:paraId="66313DFA"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-9.0</w:t>
            </w:r>
          </w:p>
        </w:tc>
        <w:tc>
          <w:tcPr>
            <w:tcW w:w="645" w:type="dxa"/>
            <w:tcBorders>
              <w:top w:val="nil"/>
              <w:bottom w:val="nil"/>
            </w:tcBorders>
          </w:tcPr>
          <w:p w14:paraId="0A23860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-6.6</w:t>
            </w:r>
          </w:p>
        </w:tc>
        <w:tc>
          <w:tcPr>
            <w:tcW w:w="540" w:type="dxa"/>
            <w:tcBorders>
              <w:top w:val="nil"/>
              <w:bottom w:val="nil"/>
            </w:tcBorders>
          </w:tcPr>
          <w:p w14:paraId="0FD964B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-6.3</w:t>
            </w:r>
          </w:p>
        </w:tc>
        <w:tc>
          <w:tcPr>
            <w:tcW w:w="540" w:type="dxa"/>
            <w:tcBorders>
              <w:top w:val="nil"/>
              <w:bottom w:val="nil"/>
            </w:tcBorders>
          </w:tcPr>
          <w:p w14:paraId="21FA178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1265555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488708E"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6742339B" w14:textId="77777777" w:rsidTr="00A808BF">
        <w:trPr>
          <w:jc w:val="center"/>
        </w:trPr>
        <w:tc>
          <w:tcPr>
            <w:tcW w:w="2497" w:type="dxa"/>
            <w:tcBorders>
              <w:top w:val="nil"/>
              <w:bottom w:val="nil"/>
            </w:tcBorders>
          </w:tcPr>
          <w:p w14:paraId="3150133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Kenya</w:t>
            </w:r>
          </w:p>
        </w:tc>
        <w:tc>
          <w:tcPr>
            <w:tcW w:w="540" w:type="dxa"/>
            <w:tcBorders>
              <w:top w:val="nil"/>
              <w:bottom w:val="nil"/>
            </w:tcBorders>
          </w:tcPr>
          <w:p w14:paraId="67FEC39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5.3</w:t>
            </w:r>
          </w:p>
        </w:tc>
        <w:tc>
          <w:tcPr>
            <w:tcW w:w="540" w:type="dxa"/>
            <w:tcBorders>
              <w:top w:val="nil"/>
              <w:bottom w:val="nil"/>
            </w:tcBorders>
          </w:tcPr>
          <w:p w14:paraId="33A1FC5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c>
          <w:tcPr>
            <w:tcW w:w="540" w:type="dxa"/>
            <w:tcBorders>
              <w:top w:val="nil"/>
              <w:bottom w:val="nil"/>
            </w:tcBorders>
          </w:tcPr>
          <w:p w14:paraId="685ADEA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7.2</w:t>
            </w:r>
          </w:p>
        </w:tc>
        <w:tc>
          <w:tcPr>
            <w:tcW w:w="540" w:type="dxa"/>
            <w:tcBorders>
              <w:top w:val="nil"/>
              <w:bottom w:val="nil"/>
            </w:tcBorders>
          </w:tcPr>
          <w:p w14:paraId="011BFA2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6.9</w:t>
            </w:r>
          </w:p>
        </w:tc>
        <w:tc>
          <w:tcPr>
            <w:tcW w:w="540" w:type="dxa"/>
            <w:tcBorders>
              <w:top w:val="nil"/>
              <w:bottom w:val="nil"/>
            </w:tcBorders>
          </w:tcPr>
          <w:p w14:paraId="29590D2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5.1</w:t>
            </w:r>
          </w:p>
        </w:tc>
        <w:tc>
          <w:tcPr>
            <w:tcW w:w="588" w:type="dxa"/>
            <w:tcBorders>
              <w:top w:val="nil"/>
              <w:bottom w:val="nil"/>
            </w:tcBorders>
          </w:tcPr>
          <w:p w14:paraId="585965BB"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5.0</w:t>
            </w:r>
          </w:p>
        </w:tc>
        <w:tc>
          <w:tcPr>
            <w:tcW w:w="567" w:type="dxa"/>
            <w:tcBorders>
              <w:top w:val="nil"/>
              <w:bottom w:val="nil"/>
            </w:tcBorders>
          </w:tcPr>
          <w:p w14:paraId="78A0ABD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-9.2</w:t>
            </w:r>
          </w:p>
        </w:tc>
        <w:tc>
          <w:tcPr>
            <w:tcW w:w="645" w:type="dxa"/>
            <w:tcBorders>
              <w:top w:val="nil"/>
              <w:bottom w:val="nil"/>
            </w:tcBorders>
          </w:tcPr>
          <w:p w14:paraId="46EDEEE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-7.7</w:t>
            </w:r>
          </w:p>
        </w:tc>
        <w:tc>
          <w:tcPr>
            <w:tcW w:w="540" w:type="dxa"/>
            <w:tcBorders>
              <w:top w:val="nil"/>
              <w:bottom w:val="nil"/>
            </w:tcBorders>
          </w:tcPr>
          <w:p w14:paraId="30F25DE5"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-7.4</w:t>
            </w:r>
          </w:p>
        </w:tc>
        <w:tc>
          <w:tcPr>
            <w:tcW w:w="540" w:type="dxa"/>
            <w:tcBorders>
              <w:top w:val="nil"/>
              <w:bottom w:val="nil"/>
            </w:tcBorders>
          </w:tcPr>
          <w:p w14:paraId="5D08F574"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3BBD461F"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6737EB13"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4CF8F3D0" w14:textId="77777777" w:rsidTr="00A808BF">
        <w:trPr>
          <w:jc w:val="center"/>
        </w:trPr>
        <w:tc>
          <w:tcPr>
            <w:tcW w:w="2497" w:type="dxa"/>
            <w:tcBorders>
              <w:top w:val="nil"/>
              <w:bottom w:val="nil"/>
            </w:tcBorders>
          </w:tcPr>
          <w:p w14:paraId="71C2BD3D"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Tanzania</w:t>
            </w:r>
          </w:p>
        </w:tc>
        <w:tc>
          <w:tcPr>
            <w:tcW w:w="540" w:type="dxa"/>
            <w:tcBorders>
              <w:top w:val="nil"/>
              <w:bottom w:val="nil"/>
            </w:tcBorders>
          </w:tcPr>
          <w:p w14:paraId="56E2B7A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7.2</w:t>
            </w:r>
          </w:p>
        </w:tc>
        <w:tc>
          <w:tcPr>
            <w:tcW w:w="540" w:type="dxa"/>
            <w:tcBorders>
              <w:top w:val="nil"/>
              <w:bottom w:val="nil"/>
            </w:tcBorders>
          </w:tcPr>
          <w:p w14:paraId="52ABA0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7.2</w:t>
            </w:r>
          </w:p>
        </w:tc>
        <w:tc>
          <w:tcPr>
            <w:tcW w:w="540" w:type="dxa"/>
            <w:tcBorders>
              <w:top w:val="nil"/>
              <w:bottom w:val="nil"/>
            </w:tcBorders>
          </w:tcPr>
          <w:p w14:paraId="1D275F7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7.1</w:t>
            </w:r>
          </w:p>
        </w:tc>
        <w:tc>
          <w:tcPr>
            <w:tcW w:w="540" w:type="dxa"/>
            <w:tcBorders>
              <w:top w:val="nil"/>
              <w:bottom w:val="nil"/>
            </w:tcBorders>
          </w:tcPr>
          <w:p w14:paraId="0A86758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bottom w:val="nil"/>
            </w:tcBorders>
          </w:tcPr>
          <w:p w14:paraId="6356B9D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4.2</w:t>
            </w:r>
          </w:p>
        </w:tc>
        <w:tc>
          <w:tcPr>
            <w:tcW w:w="588" w:type="dxa"/>
            <w:tcBorders>
              <w:top w:val="nil"/>
              <w:bottom w:val="nil"/>
            </w:tcBorders>
          </w:tcPr>
          <w:p w14:paraId="11236C9B"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4.5</w:t>
            </w:r>
          </w:p>
        </w:tc>
        <w:tc>
          <w:tcPr>
            <w:tcW w:w="567" w:type="dxa"/>
            <w:tcBorders>
              <w:top w:val="nil"/>
              <w:bottom w:val="nil"/>
            </w:tcBorders>
          </w:tcPr>
          <w:p w14:paraId="170A3C72"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-10.2</w:t>
            </w:r>
          </w:p>
        </w:tc>
        <w:tc>
          <w:tcPr>
            <w:tcW w:w="645" w:type="dxa"/>
            <w:tcBorders>
              <w:top w:val="nil"/>
              <w:bottom w:val="nil"/>
            </w:tcBorders>
          </w:tcPr>
          <w:p w14:paraId="7EBD957C"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-10.0</w:t>
            </w:r>
          </w:p>
        </w:tc>
        <w:tc>
          <w:tcPr>
            <w:tcW w:w="540" w:type="dxa"/>
            <w:tcBorders>
              <w:top w:val="nil"/>
              <w:bottom w:val="nil"/>
            </w:tcBorders>
          </w:tcPr>
          <w:p w14:paraId="4A1CBF77"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-9.5</w:t>
            </w:r>
          </w:p>
        </w:tc>
        <w:tc>
          <w:tcPr>
            <w:tcW w:w="540" w:type="dxa"/>
            <w:tcBorders>
              <w:top w:val="nil"/>
              <w:bottom w:val="nil"/>
            </w:tcBorders>
          </w:tcPr>
          <w:p w14:paraId="4BEA172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6E87856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6016279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397EEEEE" w14:textId="77777777" w:rsidTr="00A808BF">
        <w:trPr>
          <w:jc w:val="center"/>
        </w:trPr>
        <w:tc>
          <w:tcPr>
            <w:tcW w:w="2497" w:type="dxa"/>
            <w:tcBorders>
              <w:top w:val="nil"/>
              <w:bottom w:val="nil"/>
            </w:tcBorders>
          </w:tcPr>
          <w:p w14:paraId="05AE625C"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Uganda</w:t>
            </w:r>
          </w:p>
        </w:tc>
        <w:tc>
          <w:tcPr>
            <w:tcW w:w="540" w:type="dxa"/>
            <w:tcBorders>
              <w:top w:val="nil"/>
              <w:bottom w:val="nil"/>
            </w:tcBorders>
          </w:tcPr>
          <w:p w14:paraId="0E00173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40" w:type="dxa"/>
            <w:tcBorders>
              <w:top w:val="nil"/>
              <w:bottom w:val="nil"/>
            </w:tcBorders>
          </w:tcPr>
          <w:p w14:paraId="3486C6B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5.4</w:t>
            </w:r>
          </w:p>
        </w:tc>
        <w:tc>
          <w:tcPr>
            <w:tcW w:w="540" w:type="dxa"/>
            <w:tcBorders>
              <w:top w:val="nil"/>
              <w:bottom w:val="nil"/>
            </w:tcBorders>
          </w:tcPr>
          <w:p w14:paraId="3181FD0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5.6</w:t>
            </w:r>
          </w:p>
        </w:tc>
        <w:tc>
          <w:tcPr>
            <w:tcW w:w="540" w:type="dxa"/>
            <w:tcBorders>
              <w:top w:val="nil"/>
              <w:bottom w:val="nil"/>
            </w:tcBorders>
          </w:tcPr>
          <w:p w14:paraId="62D49EE7"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4.7</w:t>
            </w:r>
          </w:p>
        </w:tc>
        <w:tc>
          <w:tcPr>
            <w:tcW w:w="540" w:type="dxa"/>
            <w:tcBorders>
              <w:top w:val="nil"/>
              <w:bottom w:val="nil"/>
            </w:tcBorders>
          </w:tcPr>
          <w:p w14:paraId="11E0E7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4.9</w:t>
            </w:r>
          </w:p>
        </w:tc>
        <w:tc>
          <w:tcPr>
            <w:tcW w:w="588" w:type="dxa"/>
            <w:tcBorders>
              <w:top w:val="nil"/>
              <w:bottom w:val="nil"/>
            </w:tcBorders>
          </w:tcPr>
          <w:p w14:paraId="7C2F1B8F"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4.8</w:t>
            </w:r>
          </w:p>
        </w:tc>
        <w:tc>
          <w:tcPr>
            <w:tcW w:w="567" w:type="dxa"/>
            <w:tcBorders>
              <w:top w:val="nil"/>
              <w:bottom w:val="nil"/>
            </w:tcBorders>
          </w:tcPr>
          <w:p w14:paraId="36412553"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-7.5</w:t>
            </w:r>
          </w:p>
        </w:tc>
        <w:tc>
          <w:tcPr>
            <w:tcW w:w="645" w:type="dxa"/>
            <w:tcBorders>
              <w:top w:val="nil"/>
              <w:bottom w:val="nil"/>
            </w:tcBorders>
          </w:tcPr>
          <w:p w14:paraId="7C41BC0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-8.8</w:t>
            </w:r>
          </w:p>
        </w:tc>
        <w:tc>
          <w:tcPr>
            <w:tcW w:w="540" w:type="dxa"/>
            <w:tcBorders>
              <w:top w:val="nil"/>
              <w:bottom w:val="nil"/>
            </w:tcBorders>
          </w:tcPr>
          <w:p w14:paraId="00D7B224"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-9.0</w:t>
            </w:r>
          </w:p>
        </w:tc>
        <w:tc>
          <w:tcPr>
            <w:tcW w:w="540" w:type="dxa"/>
            <w:tcBorders>
              <w:top w:val="nil"/>
              <w:bottom w:val="nil"/>
            </w:tcBorders>
          </w:tcPr>
          <w:p w14:paraId="6DD9AEC5"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312B56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0FC5FCC6"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7BC41370" w14:textId="77777777" w:rsidTr="00A808BF">
        <w:trPr>
          <w:jc w:val="center"/>
        </w:trPr>
        <w:tc>
          <w:tcPr>
            <w:tcW w:w="2497" w:type="dxa"/>
            <w:tcBorders>
              <w:top w:val="nil"/>
              <w:bottom w:val="nil"/>
            </w:tcBorders>
          </w:tcPr>
          <w:p w14:paraId="55A0E060"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 xml:space="preserve">Madagascar </w:t>
            </w:r>
          </w:p>
        </w:tc>
        <w:tc>
          <w:tcPr>
            <w:tcW w:w="540" w:type="dxa"/>
            <w:tcBorders>
              <w:top w:val="nil"/>
              <w:bottom w:val="nil"/>
            </w:tcBorders>
          </w:tcPr>
          <w:p w14:paraId="17CC9A6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3.0</w:t>
            </w:r>
          </w:p>
        </w:tc>
        <w:tc>
          <w:tcPr>
            <w:tcW w:w="540" w:type="dxa"/>
            <w:tcBorders>
              <w:top w:val="nil"/>
              <w:bottom w:val="nil"/>
            </w:tcBorders>
          </w:tcPr>
          <w:p w14:paraId="1F4BCE2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3A30E0F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bottom w:val="nil"/>
            </w:tcBorders>
          </w:tcPr>
          <w:p w14:paraId="00328CE5"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6.1</w:t>
            </w:r>
          </w:p>
        </w:tc>
        <w:tc>
          <w:tcPr>
            <w:tcW w:w="540" w:type="dxa"/>
            <w:tcBorders>
              <w:top w:val="nil"/>
              <w:bottom w:val="nil"/>
            </w:tcBorders>
          </w:tcPr>
          <w:p w14:paraId="2E53CCA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7.6</w:t>
            </w:r>
          </w:p>
        </w:tc>
        <w:tc>
          <w:tcPr>
            <w:tcW w:w="588" w:type="dxa"/>
            <w:tcBorders>
              <w:top w:val="nil"/>
              <w:bottom w:val="nil"/>
            </w:tcBorders>
          </w:tcPr>
          <w:p w14:paraId="5FDF5453"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6.9</w:t>
            </w:r>
          </w:p>
        </w:tc>
        <w:tc>
          <w:tcPr>
            <w:tcW w:w="567" w:type="dxa"/>
            <w:tcBorders>
              <w:top w:val="nil"/>
              <w:bottom w:val="nil"/>
            </w:tcBorders>
          </w:tcPr>
          <w:p w14:paraId="15B2CFB8"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-2.3</w:t>
            </w:r>
          </w:p>
        </w:tc>
        <w:tc>
          <w:tcPr>
            <w:tcW w:w="645" w:type="dxa"/>
            <w:tcBorders>
              <w:top w:val="nil"/>
              <w:bottom w:val="nil"/>
            </w:tcBorders>
          </w:tcPr>
          <w:p w14:paraId="07D777F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-3.2</w:t>
            </w:r>
          </w:p>
        </w:tc>
        <w:tc>
          <w:tcPr>
            <w:tcW w:w="540" w:type="dxa"/>
            <w:tcBorders>
              <w:top w:val="nil"/>
              <w:bottom w:val="nil"/>
            </w:tcBorders>
          </w:tcPr>
          <w:p w14:paraId="702252C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-3.4</w:t>
            </w:r>
          </w:p>
        </w:tc>
        <w:tc>
          <w:tcPr>
            <w:tcW w:w="540" w:type="dxa"/>
            <w:tcBorders>
              <w:top w:val="nil"/>
              <w:bottom w:val="nil"/>
            </w:tcBorders>
          </w:tcPr>
          <w:p w14:paraId="6FCEE63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6F6306A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450213F2"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25D46E08" w14:textId="77777777" w:rsidTr="00A808BF">
        <w:trPr>
          <w:jc w:val="center"/>
        </w:trPr>
        <w:tc>
          <w:tcPr>
            <w:tcW w:w="2497" w:type="dxa"/>
            <w:tcBorders>
              <w:top w:val="nil"/>
              <w:bottom w:val="nil"/>
            </w:tcBorders>
          </w:tcPr>
          <w:p w14:paraId="2C2A9870"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República Democrática del Congo</w:t>
            </w:r>
          </w:p>
        </w:tc>
        <w:tc>
          <w:tcPr>
            <w:tcW w:w="540" w:type="dxa"/>
            <w:tcBorders>
              <w:top w:val="nil"/>
              <w:bottom w:val="nil"/>
            </w:tcBorders>
          </w:tcPr>
          <w:p w14:paraId="7926D82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9.1</w:t>
            </w:r>
          </w:p>
        </w:tc>
        <w:tc>
          <w:tcPr>
            <w:tcW w:w="540" w:type="dxa"/>
            <w:tcBorders>
              <w:top w:val="nil"/>
              <w:bottom w:val="nil"/>
            </w:tcBorders>
          </w:tcPr>
          <w:p w14:paraId="623E42D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9.2</w:t>
            </w:r>
          </w:p>
        </w:tc>
        <w:tc>
          <w:tcPr>
            <w:tcW w:w="540" w:type="dxa"/>
            <w:tcBorders>
              <w:top w:val="nil"/>
              <w:bottom w:val="nil"/>
            </w:tcBorders>
          </w:tcPr>
          <w:p w14:paraId="09978F86"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8.4</w:t>
            </w:r>
          </w:p>
        </w:tc>
        <w:tc>
          <w:tcPr>
            <w:tcW w:w="540" w:type="dxa"/>
            <w:tcBorders>
              <w:top w:val="nil"/>
              <w:bottom w:val="nil"/>
            </w:tcBorders>
          </w:tcPr>
          <w:p w14:paraId="1669B17E"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w:t>
            </w:r>
          </w:p>
        </w:tc>
        <w:tc>
          <w:tcPr>
            <w:tcW w:w="540" w:type="dxa"/>
            <w:tcBorders>
              <w:top w:val="nil"/>
              <w:bottom w:val="nil"/>
            </w:tcBorders>
          </w:tcPr>
          <w:p w14:paraId="6FCAEFE2"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2.4</w:t>
            </w:r>
          </w:p>
        </w:tc>
        <w:tc>
          <w:tcPr>
            <w:tcW w:w="588" w:type="dxa"/>
            <w:tcBorders>
              <w:top w:val="nil"/>
              <w:bottom w:val="nil"/>
            </w:tcBorders>
          </w:tcPr>
          <w:p w14:paraId="5761AB62"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3.5</w:t>
            </w:r>
          </w:p>
        </w:tc>
        <w:tc>
          <w:tcPr>
            <w:tcW w:w="567" w:type="dxa"/>
            <w:tcBorders>
              <w:top w:val="nil"/>
              <w:bottom w:val="nil"/>
            </w:tcBorders>
          </w:tcPr>
          <w:p w14:paraId="58F8B939"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-9.6</w:t>
            </w:r>
          </w:p>
        </w:tc>
        <w:tc>
          <w:tcPr>
            <w:tcW w:w="645" w:type="dxa"/>
            <w:tcBorders>
              <w:top w:val="nil"/>
              <w:bottom w:val="nil"/>
            </w:tcBorders>
          </w:tcPr>
          <w:p w14:paraId="58E6ABC1"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-10.7</w:t>
            </w:r>
          </w:p>
        </w:tc>
        <w:tc>
          <w:tcPr>
            <w:tcW w:w="540" w:type="dxa"/>
            <w:tcBorders>
              <w:top w:val="nil"/>
              <w:bottom w:val="nil"/>
            </w:tcBorders>
          </w:tcPr>
          <w:p w14:paraId="2457E21B"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-9.5</w:t>
            </w:r>
          </w:p>
        </w:tc>
        <w:tc>
          <w:tcPr>
            <w:tcW w:w="540" w:type="dxa"/>
            <w:tcBorders>
              <w:top w:val="nil"/>
              <w:bottom w:val="nil"/>
            </w:tcBorders>
          </w:tcPr>
          <w:p w14:paraId="5A89FB3A"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7A77BC9A"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bottom w:val="nil"/>
            </w:tcBorders>
          </w:tcPr>
          <w:p w14:paraId="5E8B6CA9"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5FA508EA" w14:textId="77777777" w:rsidTr="001D5328">
        <w:trPr>
          <w:jc w:val="center"/>
        </w:trPr>
        <w:tc>
          <w:tcPr>
            <w:tcW w:w="2497" w:type="dxa"/>
            <w:tcBorders>
              <w:top w:val="nil"/>
              <w:bottom w:val="nil"/>
            </w:tcBorders>
          </w:tcPr>
          <w:p w14:paraId="618DEC31" w14:textId="77777777"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Partida informativa</w:t>
            </w:r>
          </w:p>
        </w:tc>
        <w:tc>
          <w:tcPr>
            <w:tcW w:w="540" w:type="dxa"/>
            <w:tcBorders>
              <w:top w:val="nil"/>
              <w:bottom w:val="nil"/>
            </w:tcBorders>
          </w:tcPr>
          <w:p w14:paraId="1CAAF1FD"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651236BF"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06CB344D"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3CA22B90"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346E18FE" w14:textId="77777777" w:rsidR="009B1CF2" w:rsidRPr="00A808BF" w:rsidRDefault="009B1CF2" w:rsidP="009B1CF2">
            <w:pPr>
              <w:ind w:right="113"/>
              <w:jc w:val="right"/>
              <w:rPr>
                <w:rFonts w:eastAsia="Times New Roman"/>
                <w:sz w:val="12"/>
                <w:szCs w:val="12"/>
                <w:lang w:val="es-ES"/>
              </w:rPr>
            </w:pPr>
          </w:p>
        </w:tc>
        <w:tc>
          <w:tcPr>
            <w:tcW w:w="588" w:type="dxa"/>
            <w:tcBorders>
              <w:top w:val="nil"/>
              <w:bottom w:val="nil"/>
            </w:tcBorders>
          </w:tcPr>
          <w:p w14:paraId="7EC18E67" w14:textId="77777777" w:rsidR="009B1CF2" w:rsidRPr="00A808BF" w:rsidRDefault="009B1CF2" w:rsidP="00A808BF">
            <w:pPr>
              <w:ind w:right="113"/>
              <w:jc w:val="right"/>
              <w:rPr>
                <w:rFonts w:eastAsia="Times New Roman"/>
                <w:sz w:val="12"/>
                <w:szCs w:val="12"/>
                <w:lang w:val="es-ES"/>
              </w:rPr>
            </w:pPr>
          </w:p>
        </w:tc>
        <w:tc>
          <w:tcPr>
            <w:tcW w:w="567" w:type="dxa"/>
            <w:tcBorders>
              <w:top w:val="nil"/>
              <w:bottom w:val="nil"/>
            </w:tcBorders>
          </w:tcPr>
          <w:p w14:paraId="62810638" w14:textId="77777777" w:rsidR="009B1CF2" w:rsidRPr="00A808BF" w:rsidRDefault="009B1CF2" w:rsidP="00A808BF">
            <w:pPr>
              <w:ind w:left="-57" w:right="113"/>
              <w:jc w:val="right"/>
              <w:rPr>
                <w:rFonts w:eastAsia="Times New Roman"/>
                <w:sz w:val="12"/>
                <w:szCs w:val="12"/>
                <w:lang w:val="es-ES"/>
              </w:rPr>
            </w:pPr>
          </w:p>
        </w:tc>
        <w:tc>
          <w:tcPr>
            <w:tcW w:w="645" w:type="dxa"/>
            <w:tcBorders>
              <w:top w:val="nil"/>
              <w:bottom w:val="nil"/>
            </w:tcBorders>
          </w:tcPr>
          <w:p w14:paraId="0AD8757A"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2D1F88B6" w14:textId="77777777" w:rsidR="009B1CF2" w:rsidRPr="00A808BF" w:rsidRDefault="009B1CF2" w:rsidP="00A808BF">
            <w:pPr>
              <w:ind w:left="-57" w:right="113"/>
              <w:jc w:val="right"/>
              <w:rPr>
                <w:rFonts w:eastAsia="Times New Roman"/>
                <w:sz w:val="12"/>
                <w:szCs w:val="12"/>
                <w:lang w:val="es-ES"/>
              </w:rPr>
            </w:pPr>
          </w:p>
        </w:tc>
        <w:tc>
          <w:tcPr>
            <w:tcW w:w="540" w:type="dxa"/>
            <w:tcBorders>
              <w:top w:val="nil"/>
              <w:bottom w:val="nil"/>
            </w:tcBorders>
          </w:tcPr>
          <w:p w14:paraId="2DCC7B38" w14:textId="77777777" w:rsidR="009B1CF2" w:rsidRPr="00A808BF" w:rsidRDefault="009B1CF2" w:rsidP="009B1CF2">
            <w:pPr>
              <w:ind w:right="57"/>
              <w:jc w:val="right"/>
              <w:rPr>
                <w:rFonts w:eastAsia="Times New Roman"/>
                <w:sz w:val="12"/>
                <w:szCs w:val="12"/>
                <w:lang w:val="es-ES"/>
              </w:rPr>
            </w:pPr>
          </w:p>
        </w:tc>
        <w:tc>
          <w:tcPr>
            <w:tcW w:w="540" w:type="dxa"/>
            <w:tcBorders>
              <w:top w:val="nil"/>
              <w:bottom w:val="nil"/>
            </w:tcBorders>
          </w:tcPr>
          <w:p w14:paraId="189FE9AA" w14:textId="77777777" w:rsidR="009B1CF2" w:rsidRPr="00A808BF" w:rsidRDefault="009B1CF2" w:rsidP="009B1CF2">
            <w:pPr>
              <w:ind w:right="113"/>
              <w:jc w:val="right"/>
              <w:rPr>
                <w:rFonts w:eastAsia="Times New Roman"/>
                <w:sz w:val="12"/>
                <w:szCs w:val="12"/>
                <w:lang w:val="es-ES"/>
              </w:rPr>
            </w:pPr>
          </w:p>
        </w:tc>
        <w:tc>
          <w:tcPr>
            <w:tcW w:w="540" w:type="dxa"/>
            <w:tcBorders>
              <w:top w:val="nil"/>
              <w:bottom w:val="nil"/>
            </w:tcBorders>
          </w:tcPr>
          <w:p w14:paraId="49D3DBD3" w14:textId="77777777" w:rsidR="009B1CF2" w:rsidRPr="00A808BF" w:rsidRDefault="009B1CF2" w:rsidP="009B1CF2">
            <w:pPr>
              <w:ind w:right="57"/>
              <w:jc w:val="right"/>
              <w:rPr>
                <w:rFonts w:eastAsia="Times New Roman"/>
                <w:sz w:val="12"/>
                <w:szCs w:val="12"/>
                <w:lang w:val="es-ES"/>
              </w:rPr>
            </w:pPr>
          </w:p>
        </w:tc>
      </w:tr>
      <w:tr w:rsidR="009B1CF2" w:rsidRPr="00A808BF" w14:paraId="47A6F082" w14:textId="77777777" w:rsidTr="001D5328">
        <w:trPr>
          <w:jc w:val="center"/>
        </w:trPr>
        <w:tc>
          <w:tcPr>
            <w:tcW w:w="2497" w:type="dxa"/>
            <w:tcBorders>
              <w:top w:val="nil"/>
            </w:tcBorders>
          </w:tcPr>
          <w:p w14:paraId="5953DBFD" w14:textId="54967040" w:rsidR="009B1CF2" w:rsidRPr="00A808BF" w:rsidRDefault="009B1CF2" w:rsidP="009B1CF2">
            <w:pPr>
              <w:ind w:left="170"/>
              <w:rPr>
                <w:rFonts w:eastAsia="Times New Roman"/>
                <w:sz w:val="12"/>
                <w:szCs w:val="12"/>
                <w:lang w:val="es-ES"/>
              </w:rPr>
            </w:pPr>
            <w:r w:rsidRPr="00A808BF">
              <w:rPr>
                <w:rFonts w:eastAsia="Times New Roman"/>
                <w:sz w:val="12"/>
                <w:szCs w:val="12"/>
                <w:lang w:val="es-ES"/>
              </w:rPr>
              <w:t xml:space="preserve">África </w:t>
            </w:r>
            <w:r w:rsidR="001611C8">
              <w:rPr>
                <w:rFonts w:eastAsia="Times New Roman"/>
                <w:sz w:val="12"/>
                <w:szCs w:val="12"/>
                <w:lang w:val="es-ES"/>
              </w:rPr>
              <w:t>Subsahariana</w:t>
            </w:r>
            <w:r w:rsidRPr="00A808BF">
              <w:rPr>
                <w:rFonts w:eastAsia="Times New Roman"/>
                <w:sz w:val="12"/>
                <w:szCs w:val="12"/>
                <w:lang w:val="es-ES"/>
              </w:rPr>
              <w:t xml:space="preserve"> excluido Sudán del Sur</w:t>
            </w:r>
          </w:p>
        </w:tc>
        <w:tc>
          <w:tcPr>
            <w:tcW w:w="540" w:type="dxa"/>
            <w:tcBorders>
              <w:top w:val="nil"/>
            </w:tcBorders>
          </w:tcPr>
          <w:p w14:paraId="012B50B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tcBorders>
          </w:tcPr>
          <w:p w14:paraId="75C4C4E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tcBorders>
          </w:tcPr>
          <w:p w14:paraId="18C31A94"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5.0</w:t>
            </w:r>
          </w:p>
        </w:tc>
        <w:tc>
          <w:tcPr>
            <w:tcW w:w="540" w:type="dxa"/>
            <w:tcBorders>
              <w:top w:val="nil"/>
            </w:tcBorders>
          </w:tcPr>
          <w:p w14:paraId="0FDF6F6B"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540" w:type="dxa"/>
            <w:tcBorders>
              <w:top w:val="nil"/>
            </w:tcBorders>
          </w:tcPr>
          <w:p w14:paraId="09C21293"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6.4</w:t>
            </w:r>
          </w:p>
        </w:tc>
        <w:tc>
          <w:tcPr>
            <w:tcW w:w="588" w:type="dxa"/>
            <w:tcBorders>
              <w:top w:val="nil"/>
            </w:tcBorders>
          </w:tcPr>
          <w:p w14:paraId="754F3571" w14:textId="77777777" w:rsidR="009B1CF2" w:rsidRPr="00A808BF" w:rsidRDefault="009B1CF2" w:rsidP="00A808BF">
            <w:pPr>
              <w:ind w:right="113"/>
              <w:jc w:val="right"/>
              <w:rPr>
                <w:rFonts w:eastAsia="Times New Roman"/>
                <w:sz w:val="12"/>
                <w:szCs w:val="12"/>
                <w:lang w:val="es-ES"/>
              </w:rPr>
            </w:pPr>
            <w:r w:rsidRPr="00A808BF">
              <w:rPr>
                <w:rFonts w:eastAsia="Times New Roman"/>
                <w:sz w:val="12"/>
                <w:szCs w:val="12"/>
                <w:lang w:val="es-ES"/>
              </w:rPr>
              <w:t>7.0</w:t>
            </w:r>
          </w:p>
        </w:tc>
        <w:tc>
          <w:tcPr>
            <w:tcW w:w="567" w:type="dxa"/>
            <w:tcBorders>
              <w:top w:val="nil"/>
            </w:tcBorders>
          </w:tcPr>
          <w:p w14:paraId="7AC2180C"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-3.3</w:t>
            </w:r>
          </w:p>
        </w:tc>
        <w:tc>
          <w:tcPr>
            <w:tcW w:w="645" w:type="dxa"/>
            <w:tcBorders>
              <w:top w:val="nil"/>
            </w:tcBorders>
          </w:tcPr>
          <w:p w14:paraId="03218910"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-4.5</w:t>
            </w:r>
          </w:p>
        </w:tc>
        <w:tc>
          <w:tcPr>
            <w:tcW w:w="540" w:type="dxa"/>
            <w:tcBorders>
              <w:top w:val="nil"/>
            </w:tcBorders>
          </w:tcPr>
          <w:p w14:paraId="3893D24D" w14:textId="77777777" w:rsidR="009B1CF2" w:rsidRPr="00A808BF" w:rsidRDefault="009B1CF2" w:rsidP="00A808BF">
            <w:pPr>
              <w:ind w:left="-57" w:right="113"/>
              <w:jc w:val="right"/>
              <w:rPr>
                <w:rFonts w:eastAsia="Times New Roman"/>
                <w:sz w:val="12"/>
                <w:szCs w:val="12"/>
                <w:lang w:val="es-ES"/>
              </w:rPr>
            </w:pPr>
            <w:r w:rsidRPr="00A808BF">
              <w:rPr>
                <w:rFonts w:eastAsia="Times New Roman"/>
                <w:sz w:val="12"/>
                <w:szCs w:val="12"/>
                <w:lang w:val="es-ES"/>
              </w:rPr>
              <w:t>-4.1</w:t>
            </w:r>
          </w:p>
        </w:tc>
        <w:tc>
          <w:tcPr>
            <w:tcW w:w="540" w:type="dxa"/>
            <w:tcBorders>
              <w:top w:val="nil"/>
            </w:tcBorders>
          </w:tcPr>
          <w:p w14:paraId="19F7A340"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c>
          <w:tcPr>
            <w:tcW w:w="540" w:type="dxa"/>
            <w:tcBorders>
              <w:top w:val="nil"/>
            </w:tcBorders>
          </w:tcPr>
          <w:p w14:paraId="4C3E9F79" w14:textId="77777777" w:rsidR="009B1CF2" w:rsidRPr="00A808BF" w:rsidRDefault="009B1CF2" w:rsidP="009B1CF2">
            <w:pPr>
              <w:ind w:right="113"/>
              <w:jc w:val="right"/>
              <w:rPr>
                <w:rFonts w:eastAsia="Times New Roman"/>
                <w:sz w:val="12"/>
                <w:szCs w:val="12"/>
                <w:lang w:val="es-ES"/>
              </w:rPr>
            </w:pPr>
            <w:r w:rsidRPr="00A808BF">
              <w:rPr>
                <w:rFonts w:eastAsia="Times New Roman"/>
                <w:sz w:val="12"/>
                <w:szCs w:val="12"/>
                <w:lang w:val="es-ES"/>
              </w:rPr>
              <w:t>-</w:t>
            </w:r>
          </w:p>
        </w:tc>
        <w:tc>
          <w:tcPr>
            <w:tcW w:w="540" w:type="dxa"/>
            <w:tcBorders>
              <w:top w:val="nil"/>
            </w:tcBorders>
          </w:tcPr>
          <w:p w14:paraId="1978BAE7" w14:textId="77777777" w:rsidR="009B1CF2" w:rsidRPr="00A808BF" w:rsidRDefault="009B1CF2" w:rsidP="009B1CF2">
            <w:pPr>
              <w:ind w:right="57"/>
              <w:jc w:val="right"/>
              <w:rPr>
                <w:rFonts w:eastAsia="Times New Roman"/>
                <w:sz w:val="12"/>
                <w:szCs w:val="12"/>
                <w:lang w:val="es-ES"/>
              </w:rPr>
            </w:pPr>
            <w:r w:rsidRPr="00A808BF">
              <w:rPr>
                <w:rFonts w:eastAsia="Times New Roman"/>
                <w:sz w:val="12"/>
                <w:szCs w:val="12"/>
                <w:lang w:val="es-ES"/>
              </w:rPr>
              <w:t>-</w:t>
            </w:r>
          </w:p>
        </w:tc>
      </w:tr>
      <w:tr w:rsidR="009B1CF2" w:rsidRPr="00A808BF" w14:paraId="12F71C31" w14:textId="77777777" w:rsidTr="00A808BF">
        <w:trPr>
          <w:jc w:val="center"/>
        </w:trPr>
        <w:tc>
          <w:tcPr>
            <w:tcW w:w="9157" w:type="dxa"/>
            <w:gridSpan w:val="13"/>
            <w:tcBorders>
              <w:left w:val="nil"/>
              <w:bottom w:val="nil"/>
              <w:right w:val="nil"/>
            </w:tcBorders>
          </w:tcPr>
          <w:p w14:paraId="6A6574BB" w14:textId="77777777" w:rsidR="009B1CF2" w:rsidRPr="00A808BF" w:rsidRDefault="009B1CF2" w:rsidP="009B1CF2">
            <w:pPr>
              <w:ind w:right="57"/>
              <w:jc w:val="both"/>
              <w:rPr>
                <w:rFonts w:eastAsia="Times New Roman"/>
                <w:sz w:val="12"/>
                <w:szCs w:val="12"/>
                <w:u w:val="single"/>
                <w:lang w:val="es-ES"/>
              </w:rPr>
            </w:pPr>
            <w:r w:rsidRPr="00A808BF">
              <w:rPr>
                <w:rFonts w:eastAsia="Times New Roman"/>
                <w:sz w:val="12"/>
                <w:szCs w:val="12"/>
                <w:lang w:val="es-ES"/>
              </w:rPr>
              <w:t>Los datos correspondientes a algunos países se basan en el ejercicio fiscal. Véase en el cuadro F del apéndice estadístico la lista de economías con períodos de declaración excepcionales.</w:t>
            </w:r>
          </w:p>
          <w:p w14:paraId="513C0B0A"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1</w:t>
            </w:r>
            <w:r w:rsidRPr="00A808BF">
              <w:rPr>
                <w:rFonts w:eastAsia="Times New Roman"/>
                <w:sz w:val="12"/>
                <w:szCs w:val="12"/>
                <w:lang w:val="es-ES"/>
              </w:rPr>
              <w:t>/ La variación de los precios al consumidor se indica como promedio anual. Las variaciones de diciembre a diciembre pueden encontrarse en los cuadros A7 del apéndice estadístico.</w:t>
            </w:r>
          </w:p>
          <w:p w14:paraId="07806810"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2</w:t>
            </w:r>
            <w:r w:rsidRPr="00A808BF">
              <w:rPr>
                <w:rFonts w:eastAsia="Times New Roman"/>
                <w:sz w:val="12"/>
                <w:szCs w:val="12"/>
                <w:lang w:val="es-ES"/>
              </w:rPr>
              <w:t>/ Porcentaje del PIB.</w:t>
            </w:r>
          </w:p>
          <w:p w14:paraId="6424D0BA"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3</w:t>
            </w:r>
            <w:r w:rsidRPr="00A808BF">
              <w:rPr>
                <w:rFonts w:eastAsia="Times New Roman"/>
                <w:sz w:val="12"/>
                <w:szCs w:val="12"/>
                <w:lang w:val="es-ES"/>
              </w:rPr>
              <w:t>/ Porcentaje. Las definiciones nacionales de desempleo pueden variar.</w:t>
            </w:r>
          </w:p>
          <w:p w14:paraId="73686222"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4</w:t>
            </w:r>
            <w:r w:rsidRPr="00A808BF">
              <w:rPr>
                <w:rFonts w:eastAsia="Times New Roman"/>
                <w:sz w:val="12"/>
                <w:szCs w:val="12"/>
                <w:lang w:val="es-ES"/>
              </w:rPr>
              <w:t>/ Incluye Guinea Ecuatorial y Sudán del Sur.</w:t>
            </w:r>
          </w:p>
          <w:p w14:paraId="0689A825" w14:textId="77777777" w:rsidR="009B1CF2" w:rsidRPr="00A808BF" w:rsidRDefault="009B1CF2" w:rsidP="009B1CF2">
            <w:pPr>
              <w:ind w:right="57"/>
              <w:jc w:val="both"/>
              <w:rPr>
                <w:rFonts w:eastAsia="Times New Roman"/>
                <w:sz w:val="12"/>
                <w:szCs w:val="12"/>
                <w:lang w:val="es-ES"/>
              </w:rPr>
            </w:pPr>
            <w:r w:rsidRPr="00A808BF">
              <w:rPr>
                <w:rFonts w:eastAsia="Times New Roman"/>
                <w:sz w:val="12"/>
                <w:szCs w:val="12"/>
                <w:u w:val="single"/>
                <w:lang w:val="es-ES"/>
              </w:rPr>
              <w:t>5</w:t>
            </w:r>
            <w:r w:rsidRPr="00A808BF">
              <w:rPr>
                <w:rFonts w:eastAsia="Times New Roman"/>
                <w:sz w:val="12"/>
                <w:szCs w:val="12"/>
                <w:lang w:val="es-ES"/>
              </w:rPr>
              <w:t>/ Incluye Botswana, Cabo Verde, Lesotho, Mauricio, Namibia, Seychelles y Swazilandia.</w:t>
            </w:r>
          </w:p>
          <w:p w14:paraId="6A04353B"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6</w:t>
            </w:r>
            <w:r w:rsidRPr="00A808BF">
              <w:rPr>
                <w:rFonts w:eastAsia="Times New Roman"/>
                <w:sz w:val="12"/>
                <w:szCs w:val="12"/>
                <w:lang w:val="es-ES"/>
              </w:rPr>
              <w:t>/ Incluye Benin, Burkina, Faso, Burundi, Comoras, Eritrea, Gambia, Guinea, Guinea-Bissau, Liberia, Madagascar, Malawi, Malí, Niger, la República Centroafricana, Rwanda, Santo Tomé y Príncipe, Sierra Leona, Togo y Zimbabwe.</w:t>
            </w:r>
          </w:p>
          <w:p w14:paraId="3E7B1590" w14:textId="77777777" w:rsidR="009B1CF2" w:rsidRPr="00A808BF" w:rsidRDefault="009B1CF2" w:rsidP="009B1CF2">
            <w:pPr>
              <w:ind w:left="113" w:hanging="113"/>
              <w:jc w:val="both"/>
              <w:rPr>
                <w:rFonts w:eastAsia="Times New Roman"/>
                <w:sz w:val="12"/>
                <w:szCs w:val="12"/>
                <w:lang w:val="es-ES"/>
              </w:rPr>
            </w:pPr>
            <w:r w:rsidRPr="00A808BF">
              <w:rPr>
                <w:rFonts w:eastAsia="Times New Roman"/>
                <w:sz w:val="12"/>
                <w:szCs w:val="12"/>
                <w:u w:val="single"/>
                <w:lang w:val="es-ES"/>
              </w:rPr>
              <w:t>FUENTE: FMI.</w:t>
            </w:r>
          </w:p>
        </w:tc>
      </w:tr>
    </w:tbl>
    <w:p w14:paraId="2D014657" w14:textId="77777777" w:rsidR="009B1CF2" w:rsidRPr="009B1CF2" w:rsidRDefault="009B1CF2" w:rsidP="009B1CF2">
      <w:pPr>
        <w:rPr>
          <w:rFonts w:eastAsia="Times New Roman"/>
          <w:lang w:val="es-ES"/>
        </w:rPr>
      </w:pPr>
    </w:p>
    <w:p w14:paraId="24F43679" w14:textId="77777777" w:rsidR="009B1CF2" w:rsidRPr="009B1CF2" w:rsidRDefault="009B1CF2" w:rsidP="009B1CF2">
      <w:pPr>
        <w:ind w:right="-159"/>
        <w:jc w:val="both"/>
        <w:rPr>
          <w:rFonts w:eastAsia="Calibri"/>
          <w:b/>
          <w:sz w:val="20"/>
          <w:szCs w:val="20"/>
          <w:lang w:eastAsia="en-US"/>
        </w:rPr>
      </w:pPr>
      <w:r w:rsidRPr="009B1CF2">
        <w:rPr>
          <w:rFonts w:eastAsia="Calibri"/>
          <w:b/>
          <w:sz w:val="20"/>
          <w:szCs w:val="20"/>
          <w:lang w:eastAsia="en-US"/>
        </w:rPr>
        <w:t>Fuente de información:</w:t>
      </w:r>
    </w:p>
    <w:p w14:paraId="47DA82A5" w14:textId="77777777" w:rsidR="009B1CF2" w:rsidRPr="00BA5240" w:rsidRDefault="003C2C71" w:rsidP="00BA5240">
      <w:pPr>
        <w:spacing w:after="720"/>
        <w:ind w:right="-159"/>
        <w:jc w:val="both"/>
        <w:rPr>
          <w:rFonts w:eastAsia="Calibri"/>
          <w:color w:val="0000FF"/>
          <w:sz w:val="20"/>
          <w:szCs w:val="20"/>
          <w:lang w:eastAsia="en-US"/>
        </w:rPr>
      </w:pPr>
      <w:hyperlink r:id="rId93" w:history="1">
        <w:r w:rsidR="009B1CF2" w:rsidRPr="00BA5240">
          <w:rPr>
            <w:rFonts w:eastAsia="Calibri"/>
            <w:color w:val="0000FF"/>
            <w:sz w:val="20"/>
            <w:szCs w:val="20"/>
            <w:u w:val="single"/>
            <w:lang w:eastAsia="en-US"/>
          </w:rPr>
          <w:t>http://www.imf.org/external/spanish/pubs/ft/weo/2015/01/pdf/texts.pdf</w:t>
        </w:r>
      </w:hyperlink>
    </w:p>
    <w:p w14:paraId="068AD45F" w14:textId="77777777" w:rsidR="003536A9" w:rsidRPr="003536A9" w:rsidRDefault="003536A9" w:rsidP="003536A9">
      <w:pPr>
        <w:spacing w:after="360" w:line="360" w:lineRule="auto"/>
        <w:ind w:right="-159"/>
        <w:jc w:val="both"/>
        <w:rPr>
          <w:rFonts w:eastAsia="Calibri"/>
          <w:b/>
          <w:sz w:val="26"/>
          <w:szCs w:val="26"/>
          <w:lang w:eastAsia="en-US"/>
        </w:rPr>
      </w:pPr>
      <w:r w:rsidRPr="003536A9">
        <w:rPr>
          <w:rFonts w:eastAsia="Calibri"/>
          <w:b/>
          <w:sz w:val="26"/>
          <w:szCs w:val="26"/>
          <w:lang w:eastAsia="en-US"/>
        </w:rPr>
        <w:t>Perspectivas de la Economía Mundial (FMI)</w:t>
      </w:r>
    </w:p>
    <w:p w14:paraId="17020646" w14:textId="29726CA6" w:rsid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El 7 de abril de 2015, el Fondo Monetario Internacional (FMI) presentó de</w:t>
      </w:r>
      <w:r w:rsidR="00DE3D51">
        <w:rPr>
          <w:rFonts w:eastAsia="Calibri"/>
          <w:sz w:val="26"/>
          <w:szCs w:val="26"/>
          <w:lang w:eastAsia="en-US"/>
        </w:rPr>
        <w:t xml:space="preserve">l documento de </w:t>
      </w:r>
      <w:r w:rsidRPr="003536A9">
        <w:rPr>
          <w:rFonts w:eastAsia="Calibri"/>
          <w:sz w:val="26"/>
          <w:szCs w:val="26"/>
          <w:lang w:eastAsia="en-US"/>
        </w:rPr>
        <w:t>“Perspectivas de la Economía Mundial”</w:t>
      </w:r>
      <w:r w:rsidR="00DE3D51">
        <w:rPr>
          <w:rFonts w:eastAsia="Calibri"/>
          <w:sz w:val="26"/>
          <w:szCs w:val="26"/>
          <w:lang w:eastAsia="en-US"/>
        </w:rPr>
        <w:t>,</w:t>
      </w:r>
      <w:r w:rsidRPr="003536A9">
        <w:rPr>
          <w:rFonts w:eastAsia="Calibri"/>
          <w:sz w:val="26"/>
          <w:szCs w:val="26"/>
          <w:lang w:eastAsia="en-US"/>
        </w:rPr>
        <w:t xml:space="preserve"> las notas de prensa del Capítulo 3 ¿Hacia dónde nos encaminamos? Perspectivas en torno al producto potencial y el Cap</w:t>
      </w:r>
      <w:r w:rsidR="00DE3D51">
        <w:rPr>
          <w:rFonts w:eastAsia="Calibri"/>
          <w:sz w:val="26"/>
          <w:szCs w:val="26"/>
          <w:lang w:eastAsia="en-US"/>
        </w:rPr>
        <w:t>í</w:t>
      </w:r>
      <w:r w:rsidRPr="003536A9">
        <w:rPr>
          <w:rFonts w:eastAsia="Calibri"/>
          <w:sz w:val="26"/>
          <w:szCs w:val="26"/>
          <w:lang w:eastAsia="en-US"/>
        </w:rPr>
        <w:t>tulo 4 ¿Por qué está estancada la inversión privada? A continuación se presenta la información.</w:t>
      </w:r>
    </w:p>
    <w:p w14:paraId="219378EA" w14:textId="77777777" w:rsidR="0098560F" w:rsidRDefault="0098560F" w:rsidP="003536A9">
      <w:pPr>
        <w:spacing w:after="360" w:line="360" w:lineRule="auto"/>
        <w:ind w:right="-159"/>
        <w:jc w:val="both"/>
        <w:rPr>
          <w:rFonts w:eastAsia="Calibri"/>
          <w:sz w:val="26"/>
          <w:szCs w:val="26"/>
          <w:lang w:eastAsia="en-US"/>
        </w:rPr>
      </w:pPr>
    </w:p>
    <w:p w14:paraId="319273B6" w14:textId="77777777" w:rsidR="0098560F" w:rsidRDefault="0098560F" w:rsidP="003536A9">
      <w:pPr>
        <w:spacing w:after="360" w:line="360" w:lineRule="auto"/>
        <w:ind w:right="-159"/>
        <w:jc w:val="both"/>
        <w:rPr>
          <w:rFonts w:eastAsia="Calibri"/>
          <w:sz w:val="26"/>
          <w:szCs w:val="26"/>
          <w:lang w:eastAsia="en-US"/>
        </w:rPr>
      </w:pPr>
    </w:p>
    <w:p w14:paraId="5A6DEAA0" w14:textId="77777777" w:rsidR="0098560F" w:rsidRDefault="0098560F" w:rsidP="003536A9">
      <w:pPr>
        <w:spacing w:after="360" w:line="360" w:lineRule="auto"/>
        <w:ind w:right="-159"/>
        <w:jc w:val="both"/>
        <w:rPr>
          <w:rFonts w:eastAsia="Calibri"/>
          <w:sz w:val="26"/>
          <w:szCs w:val="26"/>
          <w:lang w:eastAsia="en-US"/>
        </w:rPr>
      </w:pPr>
    </w:p>
    <w:p w14:paraId="43B76307" w14:textId="77777777" w:rsidR="003536A9" w:rsidRPr="003536A9" w:rsidRDefault="003536A9" w:rsidP="00F7672E">
      <w:pPr>
        <w:ind w:left="1304" w:right="-159" w:hanging="1304"/>
        <w:jc w:val="both"/>
        <w:rPr>
          <w:rFonts w:eastAsia="Calibri"/>
          <w:b/>
          <w:sz w:val="26"/>
          <w:szCs w:val="26"/>
          <w:lang w:eastAsia="en-US"/>
        </w:rPr>
      </w:pPr>
      <w:r w:rsidRPr="003536A9">
        <w:rPr>
          <w:rFonts w:eastAsia="Calibri"/>
          <w:b/>
          <w:sz w:val="26"/>
          <w:szCs w:val="26"/>
          <w:lang w:eastAsia="en-US"/>
        </w:rPr>
        <w:lastRenderedPageBreak/>
        <w:t>Capítulo 3 ¿Hacia dónde nos encaminamos? Perspectivas en torno al producto potencial</w:t>
      </w:r>
    </w:p>
    <w:p w14:paraId="6D5ED4D6" w14:textId="77777777" w:rsidR="003536A9" w:rsidRPr="003536A9" w:rsidRDefault="003536A9" w:rsidP="003536A9">
      <w:pPr>
        <w:ind w:left="1191" w:right="-159" w:hanging="1191"/>
        <w:jc w:val="both"/>
        <w:rPr>
          <w:rFonts w:eastAsia="Calibri"/>
          <w:b/>
          <w:sz w:val="26"/>
          <w:szCs w:val="26"/>
          <w:lang w:eastAsia="en-US"/>
        </w:rPr>
      </w:pPr>
    </w:p>
    <w:p w14:paraId="6A181904" w14:textId="77777777" w:rsidR="003536A9" w:rsidRPr="003536A9" w:rsidRDefault="003536A9" w:rsidP="003536A9">
      <w:pPr>
        <w:spacing w:after="360" w:line="360" w:lineRule="auto"/>
        <w:ind w:right="-159"/>
        <w:jc w:val="both"/>
        <w:rPr>
          <w:rFonts w:eastAsia="Calibri"/>
          <w:b/>
          <w:sz w:val="26"/>
          <w:szCs w:val="26"/>
          <w:lang w:eastAsia="en-US"/>
        </w:rPr>
      </w:pPr>
      <w:r w:rsidRPr="003536A9">
        <w:rPr>
          <w:rFonts w:eastAsia="Calibri"/>
          <w:b/>
          <w:sz w:val="26"/>
          <w:szCs w:val="26"/>
          <w:lang w:eastAsia="en-US"/>
        </w:rPr>
        <w:t>Observaciones fundamentales</w:t>
      </w:r>
    </w:p>
    <w:p w14:paraId="39849149" w14:textId="77777777" w:rsidR="003536A9" w:rsidRPr="003536A9" w:rsidRDefault="003536A9" w:rsidP="00762467">
      <w:pPr>
        <w:numPr>
          <w:ilvl w:val="0"/>
          <w:numId w:val="56"/>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t xml:space="preserve">El crecimiento del producto potencial de las grandes avanzadas y emergentes ha disminuido en los últimos años. En las avanzadas, esta disminución se puso en marcha ya a principios de la década de 2000. </w:t>
      </w:r>
    </w:p>
    <w:p w14:paraId="2DC66766" w14:textId="77777777" w:rsidR="003536A9" w:rsidRPr="003536A9" w:rsidRDefault="003536A9" w:rsidP="00762467">
      <w:pPr>
        <w:numPr>
          <w:ilvl w:val="0"/>
          <w:numId w:val="56"/>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t xml:space="preserve">A diferencia de las crisis previas, la crisis financiera internacional ha estado relacionada no solo con una reducción del nivel del producto potencial de las avanzadas y emergentes, sino también con una continua disminución de su tasa de crecimiento.  </w:t>
      </w:r>
    </w:p>
    <w:p w14:paraId="2F7991A4" w14:textId="77777777" w:rsidR="003536A9" w:rsidRPr="003536A9" w:rsidRDefault="003536A9" w:rsidP="00762467">
      <w:pPr>
        <w:numPr>
          <w:ilvl w:val="0"/>
          <w:numId w:val="56"/>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t xml:space="preserve">El crecimiento potencial de las avanzadas probablemente aumente ligeramente respecto de los niveles actuales, pero a mediano plazo se mantendrá por debajo de las tasas previas a la crisis. Las principales razones son el envejecimiento de la población y el lento aumento del crecimiento del capital respecto de las tasas actuales a medida que el producto y la inversión se recuperan paulatinamente de la crisis.  </w:t>
      </w:r>
    </w:p>
    <w:p w14:paraId="65D51565" w14:textId="2807515C" w:rsidR="003536A9" w:rsidRPr="003536A9" w:rsidRDefault="003536A9" w:rsidP="00762467">
      <w:pPr>
        <w:numPr>
          <w:ilvl w:val="0"/>
          <w:numId w:val="56"/>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t xml:space="preserve">En el caso de las de mercados emergentes, se prevé que el crecimiento del producto potencial disminuya más a mediano plazo como consecuencia del envejecimiento de la población, la contracción de la inversión y un menor aumento de la productividad a medida que se vayan reduciendo las brechas tecnológicas entre </w:t>
      </w:r>
      <w:r w:rsidR="00DE3D51">
        <w:rPr>
          <w:rFonts w:eastAsia="Calibri"/>
          <w:sz w:val="26"/>
          <w:szCs w:val="26"/>
          <w:lang w:eastAsia="en-US"/>
        </w:rPr>
        <w:t>é</w:t>
      </w:r>
      <w:r w:rsidRPr="003536A9">
        <w:rPr>
          <w:rFonts w:eastAsia="Calibri"/>
          <w:sz w:val="26"/>
          <w:szCs w:val="26"/>
          <w:lang w:eastAsia="en-US"/>
        </w:rPr>
        <w:t xml:space="preserve">stas y las avanzadas.  </w:t>
      </w:r>
    </w:p>
    <w:p w14:paraId="3AA2B535" w14:textId="77777777" w:rsidR="003536A9" w:rsidRPr="003536A9" w:rsidRDefault="003536A9" w:rsidP="00762467">
      <w:pPr>
        <w:numPr>
          <w:ilvl w:val="0"/>
          <w:numId w:val="56"/>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t xml:space="preserve">La desmejora de las perspectivas de crecimiento potencial planteará nuevos retos para las políticas, como el logro de la sostenibilidad fiscal. El aumento del producto potencial tendrá que ser una prioridad en las grandes avanzadas y emergentes. </w:t>
      </w:r>
    </w:p>
    <w:p w14:paraId="0F0E9337"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lastRenderedPageBreak/>
        <w:t xml:space="preserve">El producto potencial es el nivel de producción congruente con una inflación estable (sin presiones inflacionarias ni deflacionarias). Es difícil estimarlo y aún más difícil pronosticar su trayectoria, dado que el producto potencial de una economía no puede medirse directamente. A largo plazo, la tasa de crecimiento del producto potencial (crecimiento potencial) depende del aumento de la oferta y la productividad del capital y la mano de obra. El aumento de la oferta de mano de obra depende, a su vez, del crecimiento de la población en edad activa y de las variaciones de las tasas de participación en la fuerza laboral; el ritmo de crecimiento del stock de capital depende de la inversión y el stock inicial de capital. La productividad de estos dos factores está determinada por mejoras de los procesos comerciales y la innovación tecnológica. Al analizar las tendencias que siguen estos factores, los economistas pueden hacer inferencias en torno al crecimiento potencial, aun si no pueden medirlo directamente. </w:t>
      </w:r>
    </w:p>
    <w:p w14:paraId="3D325A1B"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Antes de la crisis, el crecimiento potencial comenzó a disminuir en las avanzadas, al mismo tiempo que aumentaba en las de mercados emergentes. En ambos casos, esto se debió principalmente a variaciones del aumento de la productividad. En las avanzadas, la disminución fue más que nada reflejo de una desaceleración tras un período de crecimiento excepcional atribuible a innovaciones en el ámbito de la tecnología de la información; entre tanto, en las de mercados emergentes, el aumento fue atribuible sobre todo a la transformación estructural y la expansión de las cadenas de valor mundiales y regionales, que estimularon las transferencias de tecnología y conocimiento. </w:t>
      </w:r>
    </w:p>
    <w:p w14:paraId="4FB78F54"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Tras la crisis, el crecimiento potencial disminuyó tanto en las avanzadas como en las de mercados emergentes. A diferencia de las crisis financieras anteriores, la crisis financiera internacional ha estado relacionada no solo con una reducción del nivel del producto potencial, sino también con una reducción de su tasa de crecimiento. En las avanzadas, el crecimiento potencial disminuyó de algo menos de 2% durante el período previo a la crisis (2006–07) a aproximadamente 1.5% en 2013–14, debido a un menor </w:t>
      </w:r>
      <w:r w:rsidRPr="003536A9">
        <w:rPr>
          <w:rFonts w:eastAsia="Calibri"/>
          <w:sz w:val="26"/>
          <w:szCs w:val="26"/>
          <w:lang w:eastAsia="en-US"/>
        </w:rPr>
        <w:lastRenderedPageBreak/>
        <w:t xml:space="preserve">crecimiento del capital y a factores demográficos adversos ajenos a la crisis. En las de mercados emergentes, el crecimiento potencial disminuyó alrededor de dos puntos porcentuales durante este período; esta variación es atribuible en su totalidad a un menor aumento de la productividad total de los factores. </w:t>
      </w:r>
    </w:p>
    <w:p w14:paraId="50027B55"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Se prevé que el crecimiento potencial de las avanzadas aumente ligeramente, de un promedio de alrededor de 1.3% en 2008–14 a 1.6% en 2015–20. Ese aumento es muy inferior a las tasas previas a la crisis (2.25% en 2001–07) y se debe al efecto negativo de factores demográficos y al aumento paulatino del crecimiento del capital respecto de las tasas actuales a medida que el producto y la inversión se recuperan de la crisis (gráfica </w:t>
      </w:r>
      <w:r w:rsidRPr="003536A9">
        <w:rPr>
          <w:rFonts w:eastAsia="Calibri"/>
          <w:i/>
          <w:sz w:val="26"/>
          <w:szCs w:val="26"/>
          <w:lang w:eastAsia="en-US"/>
        </w:rPr>
        <w:t>Evolución del aumento del producto potencial y sus componentes</w:t>
      </w:r>
      <w:r w:rsidRPr="003536A9">
        <w:rPr>
          <w:rFonts w:eastAsia="Calibri"/>
          <w:sz w:val="26"/>
          <w:szCs w:val="26"/>
          <w:lang w:eastAsia="en-US"/>
        </w:rPr>
        <w:t xml:space="preserve">, panel 1).  </w:t>
      </w:r>
    </w:p>
    <w:p w14:paraId="0A42425A" w14:textId="286E0F73"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En las de mercados emergentes, se prevé que el crecimiento potencial disminuya más, de un promedio de alrededor de 6.5% en 2008–14 a 5.2% en 2015–20. Esta caída es resultado del envejecimiento de la población, las restricciones estructurales que pesan sobre el crecimiento del capital, y un menor aumento de la productividad total de los factores a medida que </w:t>
      </w:r>
      <w:r w:rsidR="00DE3D51">
        <w:rPr>
          <w:rFonts w:eastAsia="Calibri"/>
          <w:sz w:val="26"/>
          <w:szCs w:val="26"/>
          <w:lang w:eastAsia="en-US"/>
        </w:rPr>
        <w:t>é</w:t>
      </w:r>
      <w:r w:rsidRPr="003536A9">
        <w:rPr>
          <w:rFonts w:eastAsia="Calibri"/>
          <w:sz w:val="26"/>
          <w:szCs w:val="26"/>
          <w:lang w:eastAsia="en-US"/>
        </w:rPr>
        <w:t xml:space="preserve">stas se acercan a la frontera tecnológica (gráfica siguiente, panel 2).  </w:t>
      </w:r>
    </w:p>
    <w:p w14:paraId="2AF81B56" w14:textId="77777777" w:rsidR="003536A9" w:rsidRDefault="003536A9" w:rsidP="003536A9">
      <w:pPr>
        <w:spacing w:after="360" w:line="360" w:lineRule="auto"/>
        <w:ind w:right="-159"/>
        <w:jc w:val="both"/>
        <w:rPr>
          <w:rFonts w:eastAsia="Calibri"/>
          <w:sz w:val="26"/>
          <w:szCs w:val="26"/>
          <w:lang w:eastAsia="en-US"/>
        </w:rPr>
      </w:pPr>
    </w:p>
    <w:p w14:paraId="64A99985" w14:textId="77777777" w:rsidR="00052757" w:rsidRDefault="00052757" w:rsidP="003536A9">
      <w:pPr>
        <w:spacing w:after="360" w:line="360" w:lineRule="auto"/>
        <w:ind w:right="-159"/>
        <w:jc w:val="both"/>
        <w:rPr>
          <w:rFonts w:eastAsia="Calibri"/>
          <w:sz w:val="26"/>
          <w:szCs w:val="26"/>
          <w:lang w:eastAsia="en-US"/>
        </w:rPr>
      </w:pPr>
    </w:p>
    <w:p w14:paraId="59736D44" w14:textId="77777777" w:rsidR="00052757" w:rsidRDefault="00052757" w:rsidP="003536A9">
      <w:pPr>
        <w:spacing w:after="360" w:line="360" w:lineRule="auto"/>
        <w:ind w:right="-159"/>
        <w:jc w:val="both"/>
        <w:rPr>
          <w:rFonts w:eastAsia="Calibri"/>
          <w:sz w:val="26"/>
          <w:szCs w:val="26"/>
          <w:lang w:eastAsia="en-US"/>
        </w:rPr>
      </w:pPr>
    </w:p>
    <w:p w14:paraId="3C339D66" w14:textId="77777777" w:rsidR="00052757" w:rsidRDefault="00052757" w:rsidP="003536A9">
      <w:pPr>
        <w:spacing w:after="360" w:line="360" w:lineRule="auto"/>
        <w:ind w:right="-159"/>
        <w:jc w:val="both"/>
        <w:rPr>
          <w:rFonts w:eastAsia="Calibri"/>
          <w:sz w:val="26"/>
          <w:szCs w:val="26"/>
          <w:lang w:eastAsia="en-US"/>
        </w:rPr>
      </w:pPr>
    </w:p>
    <w:p w14:paraId="232A27C6" w14:textId="77777777" w:rsidR="00052757" w:rsidRDefault="00052757" w:rsidP="003536A9">
      <w:pPr>
        <w:spacing w:after="360" w:line="360" w:lineRule="auto"/>
        <w:ind w:right="-159"/>
        <w:jc w:val="both"/>
        <w:rPr>
          <w:rFonts w:eastAsia="Calibri"/>
          <w:sz w:val="26"/>
          <w:szCs w:val="26"/>
          <w:lang w:eastAsia="en-US"/>
        </w:rPr>
      </w:pPr>
    </w:p>
    <w:p w14:paraId="2344A8FA" w14:textId="77777777" w:rsidR="00052757" w:rsidRDefault="00052757" w:rsidP="003536A9">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776"/>
      </w:tblGrid>
      <w:tr w:rsidR="003536A9" w:rsidRPr="003536A9" w14:paraId="53366650" w14:textId="77777777" w:rsidTr="001611C8">
        <w:trPr>
          <w:jc w:val="center"/>
        </w:trPr>
        <w:tc>
          <w:tcPr>
            <w:tcW w:w="7776" w:type="dxa"/>
          </w:tcPr>
          <w:p w14:paraId="0B3D8544" w14:textId="77777777" w:rsidR="003536A9" w:rsidRPr="003536A9" w:rsidRDefault="003536A9" w:rsidP="003536A9">
            <w:pPr>
              <w:jc w:val="center"/>
              <w:rPr>
                <w:rFonts w:eastAsia="Calibri"/>
                <w:b/>
                <w:sz w:val="22"/>
                <w:szCs w:val="20"/>
                <w:lang w:eastAsia="en-US"/>
              </w:rPr>
            </w:pPr>
            <w:r w:rsidRPr="003536A9">
              <w:rPr>
                <w:rFonts w:eastAsia="Calibri"/>
                <w:b/>
                <w:sz w:val="22"/>
                <w:szCs w:val="20"/>
                <w:lang w:eastAsia="en-US"/>
              </w:rPr>
              <w:lastRenderedPageBreak/>
              <w:t>EVOLUCIÓN DEL AUMENTO DEL PRODUCTO POTENCIAL Y SUS COMPONENTES</w:t>
            </w:r>
          </w:p>
          <w:p w14:paraId="522E3F12" w14:textId="77777777" w:rsidR="003536A9" w:rsidRPr="003536A9" w:rsidRDefault="003536A9" w:rsidP="003536A9">
            <w:pPr>
              <w:jc w:val="center"/>
              <w:rPr>
                <w:rFonts w:eastAsia="Calibri"/>
                <w:b/>
                <w:sz w:val="22"/>
                <w:szCs w:val="20"/>
                <w:lang w:eastAsia="en-US"/>
              </w:rPr>
            </w:pPr>
            <w:r w:rsidRPr="003536A9">
              <w:rPr>
                <w:rFonts w:eastAsia="Calibri"/>
                <w:b/>
                <w:sz w:val="22"/>
                <w:szCs w:val="20"/>
                <w:lang w:eastAsia="en-US"/>
              </w:rPr>
              <w:t>-Porcentaje-</w:t>
            </w:r>
          </w:p>
        </w:tc>
      </w:tr>
      <w:tr w:rsidR="003536A9" w:rsidRPr="003536A9" w14:paraId="3AE39044" w14:textId="77777777" w:rsidTr="001611C8">
        <w:trPr>
          <w:jc w:val="center"/>
        </w:trPr>
        <w:tc>
          <w:tcPr>
            <w:tcW w:w="7776" w:type="dxa"/>
          </w:tcPr>
          <w:p w14:paraId="68FFDD8E" w14:textId="041903F6" w:rsidR="003536A9" w:rsidRPr="003536A9" w:rsidRDefault="001E3F19" w:rsidP="003536A9">
            <w:pPr>
              <w:ind w:right="-159"/>
              <w:jc w:val="center"/>
              <w:rPr>
                <w:rFonts w:eastAsia="Calibri"/>
                <w:sz w:val="20"/>
                <w:szCs w:val="20"/>
                <w:lang w:eastAsia="en-US"/>
              </w:rPr>
            </w:pPr>
            <w:r w:rsidRPr="004B30B0">
              <w:rPr>
                <w:rFonts w:eastAsia="Calibri"/>
                <w:noProof/>
                <w:sz w:val="20"/>
                <w:szCs w:val="20"/>
                <w:lang w:eastAsia="es-MX"/>
              </w:rPr>
              <w:drawing>
                <wp:inline distT="0" distB="0" distL="0" distR="0" wp14:anchorId="4EB9B33B" wp14:editId="451DC77C">
                  <wp:extent cx="4800600" cy="5517515"/>
                  <wp:effectExtent l="0" t="0" r="0" b="0"/>
                  <wp:docPr id="1901" name="Imagen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800600" cy="5517515"/>
                          </a:xfrm>
                          <a:prstGeom prst="rect">
                            <a:avLst/>
                          </a:prstGeom>
                          <a:noFill/>
                          <a:ln>
                            <a:noFill/>
                          </a:ln>
                        </pic:spPr>
                      </pic:pic>
                    </a:graphicData>
                  </a:graphic>
                </wp:inline>
              </w:drawing>
            </w:r>
          </w:p>
        </w:tc>
      </w:tr>
      <w:tr w:rsidR="003536A9" w:rsidRPr="003536A9" w14:paraId="7D24AE1F" w14:textId="77777777" w:rsidTr="001611C8">
        <w:trPr>
          <w:jc w:val="center"/>
        </w:trPr>
        <w:tc>
          <w:tcPr>
            <w:tcW w:w="7776" w:type="dxa"/>
          </w:tcPr>
          <w:p w14:paraId="472247F6" w14:textId="3C265375" w:rsidR="003536A9" w:rsidRPr="003536A9" w:rsidRDefault="003536A9" w:rsidP="003536A9">
            <w:pPr>
              <w:ind w:right="-159"/>
              <w:jc w:val="both"/>
              <w:rPr>
                <w:rFonts w:eastAsia="Calibri"/>
                <w:sz w:val="20"/>
                <w:szCs w:val="20"/>
                <w:lang w:eastAsia="en-US"/>
              </w:rPr>
            </w:pPr>
            <w:r w:rsidRPr="003536A9">
              <w:rPr>
                <w:rFonts w:eastAsia="Calibri"/>
                <w:sz w:val="20"/>
                <w:szCs w:val="20"/>
                <w:lang w:eastAsia="en-US"/>
              </w:rPr>
              <w:t>Nota: Los grupos de economías se definen en el anexo 3.1</w:t>
            </w:r>
            <w:r w:rsidR="007D7979">
              <w:rPr>
                <w:rFonts w:eastAsia="Calibri"/>
                <w:sz w:val="20"/>
                <w:szCs w:val="20"/>
                <w:lang w:eastAsia="en-US"/>
              </w:rPr>
              <w:t xml:space="preserve"> del documento original del FMI</w:t>
            </w:r>
            <w:r w:rsidRPr="003536A9">
              <w:rPr>
                <w:rFonts w:eastAsia="Calibri"/>
                <w:sz w:val="20"/>
                <w:szCs w:val="20"/>
                <w:lang w:eastAsia="en-US"/>
              </w:rPr>
              <w:t>.</w:t>
            </w:r>
          </w:p>
          <w:p w14:paraId="092F783F" w14:textId="77777777" w:rsidR="003536A9" w:rsidRPr="003536A9" w:rsidRDefault="003536A9" w:rsidP="003536A9">
            <w:pPr>
              <w:ind w:right="-159"/>
              <w:jc w:val="both"/>
              <w:rPr>
                <w:rFonts w:eastAsia="Calibri"/>
                <w:sz w:val="20"/>
                <w:szCs w:val="20"/>
                <w:lang w:eastAsia="en-US"/>
              </w:rPr>
            </w:pPr>
            <w:r w:rsidRPr="003536A9">
              <w:rPr>
                <w:rFonts w:eastAsia="Calibri"/>
                <w:sz w:val="20"/>
                <w:szCs w:val="20"/>
                <w:lang w:eastAsia="en-US"/>
              </w:rPr>
              <w:t>FUENTE: Estimaciones del personal técnico del FMI.</w:t>
            </w:r>
          </w:p>
        </w:tc>
      </w:tr>
    </w:tbl>
    <w:p w14:paraId="0338E608" w14:textId="77777777" w:rsidR="003536A9" w:rsidRPr="003536A9" w:rsidRDefault="003536A9" w:rsidP="003536A9">
      <w:pPr>
        <w:spacing w:after="360" w:line="360" w:lineRule="auto"/>
        <w:ind w:right="-159"/>
        <w:jc w:val="both"/>
        <w:rPr>
          <w:rFonts w:eastAsia="Calibri"/>
          <w:sz w:val="26"/>
          <w:szCs w:val="26"/>
          <w:lang w:eastAsia="en-US"/>
        </w:rPr>
      </w:pPr>
    </w:p>
    <w:p w14:paraId="38DD83AB"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Comparada con la situación que existía antes de la crisis, esta desmejora de las perspectivas de crecimiento potencial a mediano plazo plantea nuevos retos para las políticas. Tanto en las avanzadas como en las emergentes, la disminución del crecimiento potencial dificultará la tarea de mantener la sostenibilidad fiscal. Probablemente guarde relación también con el bajo nivel de las tasas de interés reales </w:t>
      </w:r>
      <w:r w:rsidRPr="003536A9">
        <w:rPr>
          <w:rFonts w:eastAsia="Calibri"/>
          <w:sz w:val="26"/>
          <w:szCs w:val="26"/>
          <w:lang w:eastAsia="en-US"/>
        </w:rPr>
        <w:lastRenderedPageBreak/>
        <w:t xml:space="preserve">de equilibrio, y por ende la política monetaria de las avanzadas podría verse enfrentada una vez más al problema del límite inferior cero si se materializan shocks adversos para el crecimiento. </w:t>
      </w:r>
    </w:p>
    <w:p w14:paraId="25110AE5"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Aumentar el producto potencial es una prioridad para las políticas de las avanzadas y emergentes. Las reformas necesarias para lograr este objetivo varían según el país. En las avanzadas, es necesario seguir respaldando la demanda para neutralizar los efectos de su dilatada debilidad en el crecimiento de la inversión y el capital, así como el desempleo. Las reformas estructurales y un mayor respaldo a la investigación y el desarrollo son críticos para estimular la oferta y la innovación. En las de mercados emergentes, es necesario incrementar el gasto en infraestructura para eliminar cuellos de botella críticos, y las reformas estructurales deben estar dirigidas a mejorar el clima empresarial y los mercados de productos y a promover la acumulación de capital humano.  </w:t>
      </w:r>
    </w:p>
    <w:p w14:paraId="19DBC085" w14:textId="77777777" w:rsidR="003536A9" w:rsidRPr="003536A9" w:rsidRDefault="003536A9" w:rsidP="003536A9">
      <w:pPr>
        <w:spacing w:after="360" w:line="360" w:lineRule="auto"/>
        <w:ind w:right="-159"/>
        <w:jc w:val="both"/>
        <w:rPr>
          <w:rFonts w:eastAsia="Calibri"/>
          <w:b/>
          <w:sz w:val="26"/>
          <w:szCs w:val="26"/>
          <w:lang w:eastAsia="en-US"/>
        </w:rPr>
      </w:pPr>
      <w:r w:rsidRPr="003536A9">
        <w:rPr>
          <w:rFonts w:eastAsia="Calibri"/>
          <w:b/>
          <w:sz w:val="26"/>
          <w:szCs w:val="26"/>
          <w:lang w:eastAsia="en-US"/>
        </w:rPr>
        <w:t xml:space="preserve">Capítulo 4 ¿Por qué está estancada la inversión privada? </w:t>
      </w:r>
    </w:p>
    <w:p w14:paraId="1E75732E"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b/>
          <w:sz w:val="26"/>
          <w:szCs w:val="26"/>
          <w:lang w:eastAsia="en-US"/>
        </w:rPr>
        <w:t>Observaciones fundamentales</w:t>
      </w:r>
      <w:r w:rsidRPr="003536A9">
        <w:rPr>
          <w:rFonts w:eastAsia="Calibri"/>
          <w:sz w:val="26"/>
          <w:szCs w:val="26"/>
          <w:lang w:eastAsia="en-US"/>
        </w:rPr>
        <w:t xml:space="preserve"> </w:t>
      </w:r>
    </w:p>
    <w:p w14:paraId="1AD05C6B" w14:textId="77777777" w:rsidR="003536A9" w:rsidRPr="003536A9" w:rsidRDefault="003536A9" w:rsidP="00762467">
      <w:pPr>
        <w:numPr>
          <w:ilvl w:val="0"/>
          <w:numId w:val="57"/>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t xml:space="preserve">La inversión fija privada de las economías avanzadas se contrajo drásticamente durante la crisis financiera internacional, y apenas se ha recuperado desde entonces. En el resto del mundo, en general se ha desacelerado de manera más gradual.  </w:t>
      </w:r>
    </w:p>
    <w:p w14:paraId="46762AE5" w14:textId="77777777" w:rsidR="003536A9" w:rsidRPr="003536A9" w:rsidRDefault="003536A9" w:rsidP="00762467">
      <w:pPr>
        <w:numPr>
          <w:ilvl w:val="0"/>
          <w:numId w:val="58"/>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t xml:space="preserve">La falta de vigor de la inversión empresarial (el componente más grande de la inversión privada) es más que nada un síntoma de la debilidad del entorno económico. Con contadas excepciones, la inversión empresarial ha sido tan anémica como cabría esperar dada la debilidad de la actividad económica. </w:t>
      </w:r>
    </w:p>
    <w:p w14:paraId="3E586B9B" w14:textId="77777777" w:rsidR="003536A9" w:rsidRPr="003536A9" w:rsidRDefault="003536A9" w:rsidP="00762467">
      <w:pPr>
        <w:numPr>
          <w:ilvl w:val="0"/>
          <w:numId w:val="58"/>
        </w:numPr>
        <w:spacing w:after="360" w:line="360" w:lineRule="auto"/>
        <w:ind w:left="714" w:right="-159" w:hanging="357"/>
        <w:jc w:val="both"/>
        <w:rPr>
          <w:rFonts w:eastAsia="Calibri"/>
          <w:sz w:val="26"/>
          <w:szCs w:val="26"/>
          <w:lang w:eastAsia="en-US"/>
        </w:rPr>
      </w:pPr>
      <w:r w:rsidRPr="003536A9">
        <w:rPr>
          <w:rFonts w:eastAsia="Calibri"/>
          <w:sz w:val="26"/>
          <w:szCs w:val="26"/>
          <w:lang w:eastAsia="en-US"/>
        </w:rPr>
        <w:lastRenderedPageBreak/>
        <w:t xml:space="preserve">Por ende, un programa de políticas exhaustivo y encaminado a expandir el producto contribuiría a un aumento sostenido de la inversión privada. </w:t>
      </w:r>
    </w:p>
    <w:p w14:paraId="61250009"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El desempeño decepcionante de la inversión fija privada ha sido un tema candente en el debate sobre la política pública en los últimos años. En las economías avanzadas, la inversión fija privada ha disminuido en promedio 25% desde la crisis financiera internacional, en comparación con los pronósticos previos a la crisis. Este colapso ha sido generalizado y ha afectado a la inversión tanto residencial (viviendas) como no residencial (empresas). En las economías de mercados emergentes y en desarrollo, la inversión privada también se ha enfriado en los últimos años, tras el auge que experimentó entre comienzos y mediados de la década de 2000, pero esto ha sucedido de manera más gradual que en las economías avanzadas. </w:t>
      </w:r>
    </w:p>
    <w:p w14:paraId="637F343B"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La falta de vigor de la inversión empresarial es, ante todo, un síntoma de la debilidad del entorno económico. Aunque la inversión empresarial se contrajo con más fuerza tras la crisis financiera internacional que en recesiones históricas, la contracción del producto también fue mucho más grave, lo cual implica un comovimiento más o menos normal de la inversión empresarial y el producto. La inversión empresarial se ha desviado poco o nada de lo que cabría esperar, dada la debilidad de la actividad económica en los últimos años (gráfica siguiente). Las empresas han reaccionado al bajo volumen de ventas —actual y proyectado— reduciendo el gasto de capital. Las respuestas a las encuestas empresariales arrojan datos que complementan el análisis del capítulo; las empresas a menudo señalan la falta de demanda por parte de los clientes como el factor que más ha limitado la producción.</w:t>
      </w:r>
    </w:p>
    <w:p w14:paraId="2203A8E8" w14:textId="77777777" w:rsidR="003536A9" w:rsidRPr="003536A9" w:rsidRDefault="003536A9" w:rsidP="003536A9">
      <w:pPr>
        <w:spacing w:after="360" w:line="360" w:lineRule="auto"/>
        <w:ind w:right="-159"/>
        <w:jc w:val="both"/>
        <w:rPr>
          <w:rFonts w:eastAsia="Calibri"/>
          <w:sz w:val="26"/>
          <w:szCs w:val="26"/>
          <w:lang w:eastAsia="en-US"/>
        </w:rPr>
      </w:pPr>
    </w:p>
    <w:p w14:paraId="01738E39" w14:textId="77777777" w:rsidR="003536A9" w:rsidRPr="003536A9" w:rsidRDefault="003536A9" w:rsidP="003536A9">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717"/>
      </w:tblGrid>
      <w:tr w:rsidR="003536A9" w:rsidRPr="003536A9" w14:paraId="7AACCCFC" w14:textId="77777777" w:rsidTr="001C7810">
        <w:trPr>
          <w:jc w:val="center"/>
        </w:trPr>
        <w:tc>
          <w:tcPr>
            <w:tcW w:w="7557" w:type="dxa"/>
          </w:tcPr>
          <w:p w14:paraId="4923CE30" w14:textId="2B4DBB5A" w:rsidR="003536A9" w:rsidRPr="003536A9" w:rsidRDefault="003536A9" w:rsidP="003536A9">
            <w:pPr>
              <w:jc w:val="center"/>
              <w:rPr>
                <w:rFonts w:eastAsia="Calibri"/>
                <w:b/>
                <w:sz w:val="22"/>
                <w:szCs w:val="20"/>
                <w:lang w:eastAsia="en-US"/>
              </w:rPr>
            </w:pPr>
            <w:r w:rsidRPr="003536A9">
              <w:rPr>
                <w:rFonts w:eastAsia="Calibri"/>
                <w:b/>
                <w:sz w:val="22"/>
                <w:szCs w:val="20"/>
                <w:lang w:eastAsia="en-US"/>
              </w:rPr>
              <w:lastRenderedPageBreak/>
              <w:t xml:space="preserve">INVERSIÓN EMPRESARIAL REAL EN LAS ECONOMÍAS AVANZADAS: CIFRAS EFECTIVAS Y PREVISTAS </w:t>
            </w:r>
            <w:r w:rsidR="00E20A51">
              <w:rPr>
                <w:rFonts w:eastAsia="Calibri"/>
                <w:b/>
                <w:sz w:val="22"/>
                <w:szCs w:val="20"/>
                <w:lang w:eastAsia="en-US"/>
              </w:rPr>
              <w:t>CON</w:t>
            </w:r>
            <w:r w:rsidRPr="003536A9">
              <w:rPr>
                <w:rFonts w:eastAsia="Calibri"/>
                <w:b/>
                <w:sz w:val="22"/>
                <w:szCs w:val="20"/>
                <w:lang w:eastAsia="en-US"/>
              </w:rPr>
              <w:t xml:space="preserve"> BASE</w:t>
            </w:r>
            <w:r w:rsidR="00E20A51">
              <w:rPr>
                <w:rFonts w:eastAsia="Calibri"/>
                <w:b/>
                <w:sz w:val="22"/>
                <w:szCs w:val="20"/>
                <w:lang w:eastAsia="en-US"/>
              </w:rPr>
              <w:t xml:space="preserve"> EN </w:t>
            </w:r>
            <w:r w:rsidRPr="003536A9">
              <w:rPr>
                <w:rFonts w:eastAsia="Calibri"/>
                <w:b/>
                <w:sz w:val="22"/>
                <w:szCs w:val="20"/>
                <w:lang w:eastAsia="en-US"/>
              </w:rPr>
              <w:t>LA ACTIVIDAD ECONÓMICA</w:t>
            </w:r>
          </w:p>
          <w:p w14:paraId="7DA9EB17" w14:textId="77777777" w:rsidR="003536A9" w:rsidRPr="003536A9" w:rsidRDefault="003536A9" w:rsidP="003536A9">
            <w:pPr>
              <w:jc w:val="center"/>
              <w:rPr>
                <w:rFonts w:eastAsia="Calibri"/>
                <w:b/>
                <w:sz w:val="22"/>
                <w:szCs w:val="20"/>
                <w:lang w:eastAsia="en-US"/>
              </w:rPr>
            </w:pPr>
            <w:r w:rsidRPr="003536A9">
              <w:rPr>
                <w:rFonts w:eastAsia="Calibri"/>
                <w:b/>
                <w:sz w:val="22"/>
                <w:szCs w:val="20"/>
                <w:lang w:eastAsia="en-US"/>
              </w:rPr>
              <w:t>-Desviación porcentual de la inversión respecto de los pronósticos de la primavera de 2007-</w:t>
            </w:r>
          </w:p>
        </w:tc>
      </w:tr>
      <w:tr w:rsidR="003536A9" w:rsidRPr="003536A9" w14:paraId="1C2B2DA4" w14:textId="77777777" w:rsidTr="001C7810">
        <w:trPr>
          <w:jc w:val="center"/>
        </w:trPr>
        <w:tc>
          <w:tcPr>
            <w:tcW w:w="7557" w:type="dxa"/>
          </w:tcPr>
          <w:p w14:paraId="5240D4A9" w14:textId="77777777" w:rsidR="003536A9" w:rsidRPr="003536A9" w:rsidRDefault="003536A9" w:rsidP="003536A9">
            <w:pPr>
              <w:ind w:right="-159"/>
              <w:jc w:val="center"/>
              <w:rPr>
                <w:rFonts w:eastAsia="Calibri"/>
                <w:sz w:val="20"/>
                <w:szCs w:val="20"/>
                <w:lang w:eastAsia="en-US"/>
              </w:rPr>
            </w:pPr>
            <w:r w:rsidRPr="003536A9">
              <w:rPr>
                <w:rFonts w:eastAsia="Calibri"/>
                <w:noProof/>
                <w:sz w:val="20"/>
                <w:szCs w:val="20"/>
                <w:lang w:eastAsia="es-MX"/>
              </w:rPr>
              <w:drawing>
                <wp:inline distT="0" distB="0" distL="0" distR="0" wp14:anchorId="4D7965CB" wp14:editId="4542FD7B">
                  <wp:extent cx="4763764" cy="3763010"/>
                  <wp:effectExtent l="0" t="0" r="0" b="0"/>
                  <wp:docPr id="1491" name="Imagen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t="7493"/>
                          <a:stretch/>
                        </pic:blipFill>
                        <pic:spPr bwMode="auto">
                          <a:xfrm>
                            <a:off x="0" y="0"/>
                            <a:ext cx="4763987" cy="37631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36A9" w:rsidRPr="003536A9" w14:paraId="67A1080A" w14:textId="77777777" w:rsidTr="001C7810">
        <w:trPr>
          <w:jc w:val="center"/>
        </w:trPr>
        <w:tc>
          <w:tcPr>
            <w:tcW w:w="7557" w:type="dxa"/>
          </w:tcPr>
          <w:p w14:paraId="3F82A2AD" w14:textId="77777777" w:rsidR="003536A9" w:rsidRPr="003536A9" w:rsidRDefault="003536A9" w:rsidP="007D7979">
            <w:pPr>
              <w:ind w:left="567" w:hanging="567"/>
              <w:jc w:val="both"/>
              <w:rPr>
                <w:rFonts w:eastAsia="Calibri"/>
                <w:sz w:val="20"/>
                <w:szCs w:val="20"/>
                <w:lang w:eastAsia="en-US"/>
              </w:rPr>
            </w:pPr>
            <w:r w:rsidRPr="003536A9">
              <w:rPr>
                <w:rFonts w:eastAsia="Calibri"/>
                <w:sz w:val="20"/>
                <w:szCs w:val="20"/>
                <w:lang w:eastAsia="en-US"/>
              </w:rPr>
              <w:t>Nota: Previsión basada en la relación inversión/producto histórica y la contracción del producto después de la crisis en relación con las previsiones previas a la crisis. Las zonas sombreadas denotan intervalos de confianza de 90 por ciento</w:t>
            </w:r>
          </w:p>
          <w:p w14:paraId="11A7A63C" w14:textId="77777777" w:rsidR="003536A9" w:rsidRPr="003536A9" w:rsidRDefault="003536A9" w:rsidP="007D7979">
            <w:pPr>
              <w:ind w:left="879" w:hanging="879"/>
              <w:jc w:val="both"/>
              <w:rPr>
                <w:rFonts w:eastAsia="Calibri"/>
                <w:sz w:val="20"/>
                <w:szCs w:val="20"/>
                <w:lang w:eastAsia="en-US"/>
              </w:rPr>
            </w:pPr>
            <w:r w:rsidRPr="003536A9">
              <w:rPr>
                <w:rFonts w:eastAsia="Calibri"/>
                <w:sz w:val="20"/>
                <w:szCs w:val="20"/>
                <w:lang w:eastAsia="en-US"/>
              </w:rPr>
              <w:t xml:space="preserve">FUENTE: </w:t>
            </w:r>
            <w:r w:rsidRPr="003536A9">
              <w:rPr>
                <w:rFonts w:eastAsia="Calibri"/>
                <w:i/>
                <w:sz w:val="20"/>
                <w:szCs w:val="20"/>
                <w:lang w:eastAsia="en-US"/>
              </w:rPr>
              <w:t>Consensus Economics, Haver Analytics</w:t>
            </w:r>
            <w:r w:rsidRPr="003536A9">
              <w:rPr>
                <w:rFonts w:eastAsia="Calibri"/>
                <w:sz w:val="20"/>
                <w:szCs w:val="20"/>
                <w:lang w:eastAsia="en-US"/>
              </w:rPr>
              <w:t>, autoridades nacionales y estimaciones del personal técnico del FMI.</w:t>
            </w:r>
          </w:p>
        </w:tc>
      </w:tr>
    </w:tbl>
    <w:p w14:paraId="27BE42F9" w14:textId="77777777" w:rsidR="003536A9" w:rsidRPr="003536A9" w:rsidRDefault="003536A9" w:rsidP="003536A9">
      <w:pPr>
        <w:spacing w:after="360" w:line="360" w:lineRule="auto"/>
        <w:ind w:right="-159"/>
        <w:jc w:val="both"/>
        <w:rPr>
          <w:rFonts w:eastAsia="Calibri"/>
          <w:sz w:val="26"/>
          <w:szCs w:val="26"/>
          <w:lang w:eastAsia="en-US"/>
        </w:rPr>
      </w:pPr>
    </w:p>
    <w:p w14:paraId="491C0E0B"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 xml:space="preserve">Más allá de la debilidad de la actividad económica, las restricciones financieras y la incertidumbre en torno a las políticas también han frenado la inversión empresarial en algunas economías, sobre todo en el sur de Europa. La influencia de estos factores se ve confirmada también por el análisis del capítulo sobre las decisiones de inversión que toman los distintos tipos de empresas. La inversión de las empresas que operan en sectores más dependientes de fondos externos, como el farmacéutico, ha retrocedido más desde la crisis que la de otras empresas. Y las empresas cuyas acciones tienen una cotización más sensible a los indicadores de incertidumbre agregada han recortado más </w:t>
      </w:r>
      <w:r w:rsidRPr="003536A9">
        <w:rPr>
          <w:rFonts w:eastAsia="Calibri"/>
          <w:sz w:val="26"/>
          <w:szCs w:val="26"/>
          <w:lang w:eastAsia="en-US"/>
        </w:rPr>
        <w:lastRenderedPageBreak/>
        <w:t xml:space="preserve">la inversión, aun si se tiene en cuenta el papel que juega la debilidad de las ventas. Esto hace pensar que, dada la naturaleza irreversible y concentrada de los proyectos de inversión, la incertidumbre es un factor que ha desalentado la inversión empresarial.  </w:t>
      </w:r>
    </w:p>
    <w:p w14:paraId="54538FB1" w14:textId="77777777" w:rsidR="003536A9" w:rsidRPr="003536A9" w:rsidRDefault="003536A9" w:rsidP="003536A9">
      <w:pPr>
        <w:spacing w:after="360" w:line="360" w:lineRule="auto"/>
        <w:ind w:right="-159"/>
        <w:jc w:val="both"/>
        <w:rPr>
          <w:rFonts w:eastAsia="Calibri"/>
          <w:sz w:val="26"/>
          <w:szCs w:val="26"/>
          <w:lang w:eastAsia="en-US"/>
        </w:rPr>
      </w:pPr>
      <w:r w:rsidRPr="003536A9">
        <w:rPr>
          <w:rFonts w:eastAsia="Calibri"/>
          <w:sz w:val="26"/>
          <w:szCs w:val="26"/>
          <w:lang w:eastAsia="en-US"/>
        </w:rPr>
        <w:t>Por ende, un programa de políticas exhaustivo y encaminado a expandir el producto contribuiría al aumento sostenido de la inversión privada. Las políticas fiscales y monetarias pueden estimular la inversión de las empresas, aunque es poco probable que la hagan retornar totalmente a las tendencias previas a la crisis. Quizá también se justifique incrementar la inversión en infraestructura pública (en aquellas economías con necesidades de infraestructura claramente definidas, procesos de inversión pública eficientes y capacidad económica ociosa) para estimular la demanda a corto plazo, expandir la oferta a mediano plazo y atraer así inversión privada. Las reformas estructurales —por ejemplo, las encaminadas a reforzar la participación en la fuerza laboral— también podrían mejorar las perspectivas del producto potencial y, así, estimular la inversión privada. Por último, en la medida en que las restricciones financieras frenen la inversión privada, también cumplirán una función importante las políticas destinadas a aliviar las restricciones financieras relacionadas con la crisis, entre otras, las políticas encaminadas a corregir el sobreendeudamiento y sanear los balances bancarios.</w:t>
      </w:r>
    </w:p>
    <w:p w14:paraId="24BC4F05" w14:textId="77777777" w:rsidR="003536A9" w:rsidRPr="003536A9" w:rsidRDefault="003536A9" w:rsidP="003536A9">
      <w:pPr>
        <w:ind w:right="-159"/>
        <w:jc w:val="both"/>
        <w:rPr>
          <w:rFonts w:eastAsia="Calibri"/>
          <w:b/>
          <w:sz w:val="20"/>
          <w:szCs w:val="20"/>
          <w:lang w:eastAsia="en-US"/>
        </w:rPr>
      </w:pPr>
      <w:r w:rsidRPr="003536A9">
        <w:rPr>
          <w:rFonts w:eastAsia="Calibri"/>
          <w:b/>
          <w:sz w:val="20"/>
          <w:szCs w:val="20"/>
          <w:lang w:eastAsia="en-US"/>
        </w:rPr>
        <w:t>Fuente de información:</w:t>
      </w:r>
    </w:p>
    <w:p w14:paraId="673044DC" w14:textId="77777777" w:rsidR="003536A9" w:rsidRPr="00BA5240" w:rsidRDefault="003C2C71" w:rsidP="00BA5240">
      <w:pPr>
        <w:spacing w:after="720"/>
        <w:ind w:right="-159"/>
        <w:jc w:val="both"/>
        <w:rPr>
          <w:rFonts w:eastAsia="Calibri"/>
          <w:color w:val="0000FF"/>
          <w:sz w:val="20"/>
          <w:szCs w:val="20"/>
          <w:lang w:eastAsia="en-US"/>
        </w:rPr>
      </w:pPr>
      <w:hyperlink r:id="rId96" w:history="1">
        <w:r w:rsidR="003536A9" w:rsidRPr="00BA5240">
          <w:rPr>
            <w:rFonts w:eastAsia="Calibri"/>
            <w:color w:val="0000FF"/>
            <w:sz w:val="20"/>
            <w:szCs w:val="20"/>
            <w:u w:val="single"/>
            <w:lang w:eastAsia="en-US"/>
          </w:rPr>
          <w:t>http://www.imf.org/external/spanish/pubs/ft/weo/2015/01/pdf/sums.pdf</w:t>
        </w:r>
      </w:hyperlink>
      <w:r w:rsidR="003536A9" w:rsidRPr="00BA5240">
        <w:rPr>
          <w:rFonts w:eastAsia="Calibri"/>
          <w:color w:val="0000FF"/>
          <w:sz w:val="20"/>
          <w:szCs w:val="20"/>
          <w:lang w:eastAsia="en-US"/>
        </w:rPr>
        <w:t xml:space="preserve"> </w:t>
      </w:r>
    </w:p>
    <w:p w14:paraId="2F940765" w14:textId="77777777" w:rsidR="00CD5F12" w:rsidRPr="00CD5F12" w:rsidRDefault="00CD5F12" w:rsidP="00CD5F12">
      <w:pPr>
        <w:ind w:right="-159"/>
        <w:jc w:val="both"/>
        <w:rPr>
          <w:rFonts w:eastAsia="Calibri"/>
          <w:b/>
          <w:sz w:val="26"/>
          <w:szCs w:val="26"/>
          <w:lang w:eastAsia="en-US"/>
        </w:rPr>
      </w:pPr>
      <w:r w:rsidRPr="00CD5F12">
        <w:rPr>
          <w:rFonts w:eastAsia="Calibri"/>
          <w:b/>
          <w:sz w:val="26"/>
          <w:szCs w:val="26"/>
          <w:lang w:eastAsia="en-US"/>
        </w:rPr>
        <w:t>Balance Preliminar de las Economías de</w:t>
      </w:r>
    </w:p>
    <w:p w14:paraId="5CEC680F"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América  Latina  y  el  Caribe  (CEPAL)</w:t>
      </w:r>
    </w:p>
    <w:p w14:paraId="7460F46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7 de abril de 2015, la Comisión Económica para América Latina y el Caribe (CEPAL) publicó el Informe Anual: Balance Preliminar de las Economías de América Latina y el Caribe 2014. A continuación se presenta el documento.</w:t>
      </w:r>
    </w:p>
    <w:p w14:paraId="468CA494"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lastRenderedPageBreak/>
        <w:t>Resumen Ejecutivo</w:t>
      </w:r>
    </w:p>
    <w:p w14:paraId="1C928C2C"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A. El contexto internacional</w:t>
      </w:r>
    </w:p>
    <w:p w14:paraId="3D18359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2014, el crecimiento de la economía mundial ha presentado una leve recuperación, en un contexto de desempeño heterogéneo de los países desarrollados y de desaceleración de las economías emergentes.</w:t>
      </w:r>
    </w:p>
    <w:p w14:paraId="64CDF318"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 tasa de crecimiento mundial aumentó al 2.6% en 2014, en comparación con un 2.4% registrado en 2013. Los países desarrollados han mostrado una dinámica de crecimiento diferenciada, en la que se destaca el Reino Unido, cuya economía se expandió un 3.1% en 2014, frente a un 1.7% en el año anterior. La economía de los Estados Unidos de Norteamérica, por su parte, exhibe un crecimiento del 2.1%, levemente inferior al 2.2% de 2013, pero ha seguido una trayectoria muy dinámica en el segundo semestre, que permite prever una expansión aún mayor en 2015. En la zona del euro, el crecimiento volvió a ser limitado en 2014 y se observaron marcados contrastes: Alemania y España crecieron un 1.5 y un 1.3%, respectivamente, en tanto que Francia solo creció un 0.3% e Italia experimentó una recesión, al contraerse su actividad un 0.4%. Japón, aun cuando presentó signos de recuperación durante los primeros meses de 2014, cayó en recesión en los últimos meses del año.</w:t>
      </w:r>
    </w:p>
    <w:p w14:paraId="4BF3D3DB"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crecimiento de los países en desarrollo continuó desacelerándose en 2014, si bien se sitúa en niveles que siguen siendo muy superiores a los del mundo desarrollado. En promedio, el crecimiento de estas economías se estima de un 4.4% en 2014. Se destaca la disminución de la tasa de crecimiento de China, que pasó de un 7.7% en 2013 a un 7.3% en 2014, en tanto que la expansión de la India aumentó de un 4.7% en 2013 a un 5.4% en 2014.</w:t>
      </w:r>
    </w:p>
    <w:p w14:paraId="6413673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De manera consistente con lo anterior, la demanda agregada externa que enfrentan los países de América Latina y el Caribe se ha debilitado, debido al bajo crecimiento de las </w:t>
      </w:r>
      <w:r w:rsidRPr="00CD5F12">
        <w:rPr>
          <w:rFonts w:eastAsia="Calibri"/>
          <w:sz w:val="26"/>
          <w:szCs w:val="26"/>
          <w:lang w:eastAsia="en-US"/>
        </w:rPr>
        <w:lastRenderedPageBreak/>
        <w:t>economías desarrolladas y a la desaceleración de las economías emergentes, sobre todo de China, que se ha transformado en el principal socio comercial de varios países de la región, en particular los exportadores de materias primas.</w:t>
      </w:r>
    </w:p>
    <w:p w14:paraId="576C00C6"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Los precios de las materias primas, en especial a partir del segundo semestre, han retomado una tendencia descendente, si bien heterogénea entre los diferentes bienes. Como promedio del conjunto de las materias primas, el precio mostró en 2014 una caída estimada de alrededor del 10.5%, en comparación con una disminución del 5.2% en 2013. El precio de los metales cayó alrededor de un 2.3% en 2014, frente a una baja del 16.7% en 2013. El precio de los alimentos disminuyó en torno a un 6.9%, frente a una caída del 15.5% en 2013. Por último, el precio de la energía cayó cerca de un 17%, frente a un alza del 4.6% en 2013. </w:t>
      </w:r>
    </w:p>
    <w:p w14:paraId="65668A9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Los mercados financieros internacionales mantuvieron niveles de liquidez relativamente elevados, lo que refleja una política monetaria acomodaticia de las principales economías desarrolladas, así como una percepción de riesgo acotada. Las tasas de interés en los mercados financieros internacionales continuaron en niveles bajos y el término de la política de estímulo monetario en los Estados Unidos de Norteamérica no ha redundado en un aumento de las tasas de interés, si bien generó cierta volatilidad de los flujos financieros durante 2014. Por su parte, el Banco Central Europeo inició un programa de expansión monetaria (</w:t>
      </w:r>
      <w:r w:rsidRPr="00CD5F12">
        <w:rPr>
          <w:rFonts w:eastAsia="Calibri"/>
          <w:i/>
          <w:sz w:val="26"/>
          <w:szCs w:val="26"/>
          <w:lang w:eastAsia="en-US"/>
        </w:rPr>
        <w:t>quantitative easing</w:t>
      </w:r>
      <w:r w:rsidRPr="00CD5F12">
        <w:rPr>
          <w:rFonts w:eastAsia="Calibri"/>
          <w:sz w:val="26"/>
          <w:szCs w:val="26"/>
          <w:lang w:eastAsia="en-US"/>
        </w:rPr>
        <w:t>), por ahora limitado a la compra de activos financieros privados, en una escala menor que programas similares adoptados por la Reserva Federal de los Estados Unidos de Norteamérica y el Banco Central de Japón.</w:t>
      </w:r>
    </w:p>
    <w:p w14:paraId="29DE9FF7"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B. La actividad económica</w:t>
      </w:r>
    </w:p>
    <w:p w14:paraId="5CAB7E8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2014, el Producto Interno Bruto (PIB) de América Latina y el Caribe creció un 1.1%, la tasa de expansión más baja registrada desde 2009. A pesar del resultado regional, se verifican diferencias importantes en los ritmos de crecimiento de los países. El bajo </w:t>
      </w:r>
      <w:r w:rsidRPr="00CD5F12">
        <w:rPr>
          <w:rFonts w:eastAsia="Calibri"/>
          <w:sz w:val="26"/>
          <w:szCs w:val="26"/>
          <w:lang w:eastAsia="en-US"/>
        </w:rPr>
        <w:lastRenderedPageBreak/>
        <w:t>crecimiento regional de 2014 obedece principalmente al escaso dinamismo, o a la contracción, de algunas de las mayores economías de la región: Argentina (-0.2%), Brasil (0.2%), México (2.1%) y Venezuela (República Bolivariana de) (-3.0%). La mediana de las tasas de crecimiento del PIB de los países de la región fue de un 2.8%, similar a la observada en 2013.</w:t>
      </w:r>
    </w:p>
    <w:p w14:paraId="3A22CD6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Las economías que presentaron mayor crecimiento dentro de la región fueron Panamá y República Dominicana (ambas con un 6.0%), seguidas por el Estado Plurinacional de Bolivia (5.2%), Colombia (4.8%) y Guyana y Nicaragua (ambas con un 4.5%). A su vez, registraron contracciones las economías de Argentina (0.2%), Santa Lucía (1.4%) y Venezuela (República Bolivariana de) (3.0%). Las demás economías crecieron a tasas entre el 0.5 y el 4 por ciento.</w:t>
      </w:r>
    </w:p>
    <w:p w14:paraId="642F9F2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Al analizar la evolución de las economías por subregiones, se observa que América del Sur exhibió un crecimiento del 0.7% (frente a un 2.8% registrado en 2013), en tanto que Centroamérica, incluido el Caribe de habla hispana y Haití, se expandió un 3.7% (frente a un 4.0% en 2013). México anotó un crecimiento del 2.1% en 2014, lo que representa un aumento de su dinamismo respecto de 2013 (1.1%). Por su parte, el crecimiento de las economías del Caribe (1.9%) significó una aceleración con relación a los años anteriores.</w:t>
      </w:r>
    </w:p>
    <w:p w14:paraId="11F93266"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términos dinámicos, la evolución de la actividad económica regional fue diferenciada. La desaceleración del dinamismo de la economía regional se hizo más patente en el segundo trimestre del año, en forma simultánea con la contracción de la inversión, en varias de las economías de América del Sur y una desaceleración generalizada del dinamismo del consumo, sobre todo privado. En el tercer y cuarto trimestre del año se ha observado una leve mejora de la tasa de crecimiento.</w:t>
      </w:r>
    </w:p>
    <w:p w14:paraId="200F325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la región, la formación bruta de capital fijo se contrajo a una tasa cercana al 3.0%. Pese al cuadro regional, existen diferencias entre los países. En Bolivia (Estado </w:t>
      </w:r>
      <w:r w:rsidRPr="00CD5F12">
        <w:rPr>
          <w:rFonts w:eastAsia="Calibri"/>
          <w:sz w:val="26"/>
          <w:szCs w:val="26"/>
          <w:lang w:eastAsia="en-US"/>
        </w:rPr>
        <w:lastRenderedPageBreak/>
        <w:t xml:space="preserve">Plurinacional de), Colombia, Ecuador, Panamá y varias otras economías de Centroamérica, la inversión creció a tasas superiores al 5%, al mismo tiempo que se contrajo en Argentina, Brasil, Chile y Venezuela (República Bolivariana de). En Perú, la expansión de la inversión bruta fija se desaceleró en forma considerable en comparación con el dinamismo que exhibió en los años anteriores. </w:t>
      </w:r>
    </w:p>
    <w:p w14:paraId="020C2CA6"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comportamiento de la formación bruta de capital fijo en la región se tradujo en una disminución de la tasa de inversión. Medida como porcentaje del PIB en dólares constantes de 2010, la tasa de inversión regional se redujo a un 19.2% del PIB, después de haberse mantenido estancada en torno al 20.5% entre 2011 y 2013, y llegó incluso a un nivel inferior al de 2010 (19.8%).</w:t>
      </w:r>
    </w:p>
    <w:p w14:paraId="28199062"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C. El empleo</w:t>
      </w:r>
    </w:p>
    <w:p w14:paraId="77C4BC4B"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bajo crecimiento económico redundó significativamente en una débil generación de empleo, que se expresó en una caída de la tasa de ocupación urbana de 0.4 puntos porcentuales más allá de lo esperado.</w:t>
      </w:r>
    </w:p>
    <w:p w14:paraId="51787F08"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Sin embargo, a pesar de la debilidad de la generación de empleo, la tasa de desempleo abierto urbano no aumentó, sino que incluso registró una nueva caída, del 6.2 al 6.0%. La causa de que el bajo crecimiento económico no se tradujera en un aumento de la tasa de desempleo se encuentra en el comportamiento de la tasa de participación, que cayó más que la tasa de ocupación (0.6 puntos porcentuales). En tanto que hasta 2012 la reducción de la tasa de desempleo se debió a que el nivel de ocupación aumentó más que el nivel de participación, a partir de 2013 la participación disminuyó más que la ocupación.</w:t>
      </w:r>
    </w:p>
    <w:p w14:paraId="16AE446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El desempeño de los países de la región en materia laboral ha sido muy heterogéneo. El resultado regional estuvo determinado por la evolución observada en Argentina, </w:t>
      </w:r>
      <w:r w:rsidRPr="00CD5F12">
        <w:rPr>
          <w:rFonts w:eastAsia="Calibri"/>
          <w:sz w:val="26"/>
          <w:szCs w:val="26"/>
          <w:lang w:eastAsia="en-US"/>
        </w:rPr>
        <w:lastRenderedPageBreak/>
        <w:t>Brasil y México, que mostraron pautas similares, mientras que los resultados de los otros países fueron diversos.</w:t>
      </w:r>
    </w:p>
    <w:p w14:paraId="3683E05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Si bien la creación de empleo —y, en particular, de empleo asalariado— ha sido débil, la situación de los mercados laborales en general se mantiene relativamente favorable. Además del nivel de la tasa de desempleo abierto, históricamente bajo, se puede destacar: i) una caída generalizada de la tasa de subempleo horario, y ii) aumentos de los salarios reales (del 1.3% como promedio ponderado de diez países y del 1.8% como promedio simple del mismo grupo de países).</w:t>
      </w:r>
    </w:p>
    <w:p w14:paraId="7C4336A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Por otra parte, el hecho de que la generación de empleo sea menos dinámica está afectando más a las mujeres que a los hombres, con lo que se interrumpen las tendencias previas de reducción de algunas brechas laborales entre los géneros.</w:t>
      </w:r>
    </w:p>
    <w:p w14:paraId="3994DA4B"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D. El sector externo</w:t>
      </w:r>
    </w:p>
    <w:p w14:paraId="1E87547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2014, el déficit en la cuenta corriente de la balanza de pagos de la región llegó a un 2.3% del PIB (frente a un 2.6% del PIB en 2013), con lo que se detuvo la tendencia al incremento del déficit que se había verificado durante los cuatro años anteriores.</w:t>
      </w:r>
    </w:p>
    <w:p w14:paraId="48C08F0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Subyacen a esta evolución factores diferentes según las subregiones y los mercados de destino de sus exportaciones. Así, México, Centroamérica y los países del Caribe exportadores de servicios se beneficiaron de la sostenida recuperación exhibida por la economía de los Estados Unidos de Norteamérica, país que en varios casos es el destino principal de sus ventas al exterior. A su vez, la mejora del mercado laboral estadounidense se expresó en un aumento significativo de las remesas hacia México y Centroamérica, incluida la República Dominicana (con la excepción de Costa Rica, donde se produjo una disminución interanual del 1% durante el primer semestre). </w:t>
      </w:r>
    </w:p>
    <w:p w14:paraId="1E3B0C88"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 xml:space="preserve">América del Sur, en cambio, enfrentó el bajo dinamismo de la demanda de bienes por parte de Europa y China, que se tradujo en el estancamiento de los volúmenes exportados por Brasil (0.1%) y Chile (1.8%), y en la caída de las exportaciones en el caso de Perú (5.0%). </w:t>
      </w:r>
    </w:p>
    <w:p w14:paraId="5A5C77D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También las exportaciones de Argentina registraron caídas, mientras que los volúmenes exportados por la República Bolivariana de Venezuela se estancaron. Además, en varios países de América del Sur las remesas disminuyeron marcadamente, como consecuencia de la debilidad del mercado laboral en el país de origen de dichos montos. </w:t>
      </w:r>
    </w:p>
    <w:p w14:paraId="286EB3B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De este modo, el valor de las exportaciones de bienes y servicios de la región en su conjunto se estancó en 2014, (registrando una variación negativa del 0.1%), resultado similar al de 2013 (+0.3%). </w:t>
      </w:r>
    </w:p>
    <w:p w14:paraId="39F2802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Por el lado de las importaciones, también se aprecia un patrón de diferenciación según las subregiones. La fuerte reducción de la demanda interna, el consumo y la inversión que se produjo en la mayoría de los países de América del Sur se tradujo en disminuciones pronunciadas de los volúmenes importados. En el caso de Chile, el volumen importado disminuyó un 7.8%, lo que abarcó tanto los rubros de bienes duraderos como de maquinaria y equipos. Cabe también mencionar la disminución de las importaciones (en términos de volumen) de Brasil (2.6%) y Perú (2.0%), como resultado de la desaceleración del gasto. El volumen de las importaciones se redujo también en Argentina (9.9%) y Venezuela (República Bolivariana de) (17.7%). En contraste, en Colombia, México y la mayoría de los países de Centroamérica, el volumen de las importaciones siguió incrementándose, si bien a menores tasas que en el pasado, de manera consistente con la continuidad de sus niveles de actividad. De este modo, el valor de las importaciones de América Latina en su conjunto se contrajo un 1.1%, lo que representa la primera caída desde la crisis financiera internacional de 2008 y 2009.</w:t>
      </w:r>
    </w:p>
    <w:p w14:paraId="272B22E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La dinámica de los precios de las materias primas que exporta la región ha seguido hacia la baja. Debido a ello, se ha mantenido la tendencia al deterioro de los términos de intercambio. Con diferencias entre países, los términos de intercambio de la región en su conjunto se deterioraron un 2.6% durante 2014</w:t>
      </w:r>
      <w:r w:rsidRPr="00CD5F12">
        <w:rPr>
          <w:rFonts w:eastAsia="Calibri"/>
          <w:sz w:val="26"/>
          <w:szCs w:val="26"/>
          <w:vertAlign w:val="superscript"/>
          <w:lang w:eastAsia="en-US"/>
        </w:rPr>
        <w:footnoteReference w:id="11"/>
      </w:r>
      <w:r w:rsidRPr="00CD5F12">
        <w:rPr>
          <w:rFonts w:eastAsia="Calibri"/>
          <w:sz w:val="26"/>
          <w:szCs w:val="26"/>
          <w:lang w:eastAsia="en-US"/>
        </w:rPr>
        <w:t>.</w:t>
      </w:r>
    </w:p>
    <w:p w14:paraId="3CE5A286" w14:textId="18DD1F6D"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financiamiento externo ha continuado siendo expedito, de modo que las reservas internacionales de la región exhiben nuevamente un aumento. Si bien</w:t>
      </w:r>
      <w:r w:rsidR="00877DDF">
        <w:rPr>
          <w:rFonts w:eastAsia="Calibri"/>
          <w:sz w:val="26"/>
          <w:szCs w:val="26"/>
          <w:lang w:eastAsia="en-US"/>
        </w:rPr>
        <w:t>,</w:t>
      </w:r>
      <w:r w:rsidRPr="00CD5F12">
        <w:rPr>
          <w:rFonts w:eastAsia="Calibri"/>
          <w:sz w:val="26"/>
          <w:szCs w:val="26"/>
          <w:lang w:eastAsia="en-US"/>
        </w:rPr>
        <w:t xml:space="preserve"> durante 2014, la inversión extranjera directa presenta una reducción de entre el 25 y el 30%, que se vincula al fin del ciclo de inversiones en la minería y un menor ritmo de adquisiciones extranjeras de empresas, la inversión de cartera, en particular en la forma de bonos externos emitidos por la región, ha conservado su dinamismo. Con todo, estas variaciones se mantienen dentro de los rangos observados recientemente, por lo que aún no reflejan el esperado cambio en las condiciones financieras externas que supondría el fin del ciclo monetario expansivo en los Estados Unidos de Norteamérica. El cambio en la composición de los flujos, con una mayor preponderancia de los flujos de cartera, pone una luz de alerta ante posibles vulnerabilidades en el futuro, en la medida en que estos flujos son más volátiles.</w:t>
      </w:r>
    </w:p>
    <w:p w14:paraId="5098BC88"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E. Las políticas</w:t>
      </w:r>
    </w:p>
    <w:p w14:paraId="0E857CA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De acuerdo con las proyecciones de las cuentas fiscales de América Latina, existe, en promedio, un pequeño deterioro del resultado fiscal en 2014. Así, el déficit primario de la región (anterior al pago de intereses de la deuda pública) ascendería a -0.8% del PIB y el balance global pasaría de un déficit del 2.4% del PIB en 2013 a un déficit del 2.7% del PIB en 2014, a nivel del gobierno central, al mismo tiempo que se produciría una caída de los ingresos totales y un leve incremento del gasto público. Si bien la región en su conjunto presenta déficit fiscales desde 2009, ello no se ha visto reflejado en </w:t>
      </w:r>
      <w:r w:rsidRPr="00CD5F12">
        <w:rPr>
          <w:rFonts w:eastAsia="Calibri"/>
          <w:sz w:val="26"/>
          <w:szCs w:val="26"/>
          <w:lang w:eastAsia="en-US"/>
        </w:rPr>
        <w:lastRenderedPageBreak/>
        <w:t>aumentos de la deuda pública, que se mantiene en niveles cercanos a 32% del PIB, con un componente externo que no llega a 15% del PIB.</w:t>
      </w:r>
    </w:p>
    <w:p w14:paraId="320CFFCB" w14:textId="2BA126B3"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el Caribe, se espera una mejora de la posición fiscal, pues el déficit global de la subregión pasaría de 4.1% del PIB en 2013 a 3.9% del PIB en 2014, como promedio, a nivel del gobierno central. A este resultado contribuyó, sobre todo, Jamaica, país cuya deuda disminuyó cerca de 4 puntos porcentuales del PIB, en el marco de los programas de consolidación fiscal. Sin embargo, los niveles de deuda pública siguen elevados, cercanos al 80% del PIB como promedio, con un componente externo muy significativo. </w:t>
      </w:r>
    </w:p>
    <w:p w14:paraId="37BDEDC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Más allá de los promedios, la situación fiscal es heterogénea. A pesar del aumento del déficit y de la desaceleración de las economías, no se observa una tendencia ascendente generalizada de la deuda pública. Esta aparente contradicción se explica por las condiciones de endeudamiento muy favorables de muchos países de la región, que han permitido que tanto el costo como el perfil de vencimiento de la deuda pública hayan mejorado en los últimos años. </w:t>
      </w:r>
    </w:p>
    <w:p w14:paraId="0C56EB3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Los ingresos fiscales totales disminuyeron en los países exportadores de hidrocarburos y los ingresos tributarios registraron un leve aumento en varios países de la región. La fuerte caída de los precios internacionales de los productos básicos arrastró a la baja los ingresos fiscales de los países exportadores de estos productos. En México, la reducción de los ingresos no tributarios es de 1.8 puntos porcentuales del PIB y en los demás países exportadores de hidrocarburos se produjo una baja promedio de 0.7 puntos porcentuales del PIB. En los países exportadores de metales y minerales también se registró un descenso de los ingresos no tributarios (0.3% del PIB). </w:t>
      </w:r>
    </w:p>
    <w:p w14:paraId="7D8B731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los países del Caribe se advierte una divergencia del desempeño de los ingresos fiscales, entre los países que exportan recursos naturales no renovables, donde se observó una disminución, y los exportadores de servicios, donde se registró un alza </w:t>
      </w:r>
      <w:r w:rsidRPr="00CD5F12">
        <w:rPr>
          <w:rFonts w:eastAsia="Calibri"/>
          <w:sz w:val="26"/>
          <w:szCs w:val="26"/>
          <w:lang w:eastAsia="en-US"/>
        </w:rPr>
        <w:lastRenderedPageBreak/>
        <w:t>importante de los ingresos tributarios debido a la recuperación económica. Los ingresos tributarios también mostraron un desempeño favorable en México y Centroamérica. Con todo, como promedio de América Latina, los ingresos no tributarios muestran una disminución y los ingresos tributarios presentan un incremento.</w:t>
      </w:r>
    </w:p>
    <w:p w14:paraId="69CB948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Pese al contexto de desaceleración, se logró mantener el gasto y la inversión pública de los países, expresados como porcentaje del PIB. Durante 2014, los gastos de capital como proporción del PIB permanecieron estables o aumentaron en muchos países. En Centroamérica y la República Dominicana, los gastos de capital disminuyeron, así como en los países exportadores de hidrocarburos, aunque el nivel de inversión pública sigue siendo muy elevado en estos últimos países, especialmente en Bolivia (Estado Plurinacional de) y Ecuador. Cabe destacar que el pago de intereses es una carga muy alta en el Caribe y también en Brasil, lo que impide un mayor activismo fiscal. </w:t>
      </w:r>
    </w:p>
    <w:p w14:paraId="420D97B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el ámbito monetario y cambiario, los países de la región mostraron durante 2014, una clara orientación contracíclica, independientemente de su esquema de política. Se otorgó un mayor peso al estímulo de la demanda agregada y se definieron horizontes de mediano plazo para el seguimiento de las metas de inflación. Al mismo tiempo, las autoridades procuraron aminorar los efectos de la volatilidad externa sobre los mercados financieros de la región, empleando las reservas internacionales e introduciendo modificaciones a las normas macroprudenciales.</w:t>
      </w:r>
    </w:p>
    <w:p w14:paraId="1E81584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Los esfuerzos por actuar de manera contracíclica se tradujeron en una reducción de las tasas de interés activas de las economías de la región. No obstante, el ritmo de crecimiento del crédito interno otorgado al sector privado mostró una disminución. En los casos de las economías sudamericanas que usan los agregados como principal instrumento de política y de la economía brasileña, el crédito interno otorgado al sector privado se incrementó pese a los niveles exhibidos por las tasas activas de esas economías.</w:t>
      </w:r>
    </w:p>
    <w:p w14:paraId="6324D37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Las condiciones prevalecientes en los mercados financieros internacionales ocasionaron una mayor volatilidad de los tipos de cambio de la región y la depreciación de las monedas con tipo de cambio flexible. Esta evolución de los tipos de cambio, conjuntamente con el ritmo de crecimiento de los precios en las economías de la región, significó una apreciación del tipo de cambio real efectivo extrarregional, en especial en las economías de América del Sur.</w:t>
      </w:r>
    </w:p>
    <w:p w14:paraId="16D0779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respuesta a los niveles de incertidumbre externa, las autoridades de la región emplearon las reservas internacionales e introdujeron modificaciones a las normativas macroprudenciales para atenuar la volatilidad de las monedas y reducir el grado de exposición de los sistemas financieros. Pese a la política de intervención, las reservas de América Latina y el Caribe, como un todo, registraron un incremento y llegaron al 14.2% del PIB en 2014, en comparación con el 14.0% del PIB registrado en 2013.</w:t>
      </w:r>
    </w:p>
    <w:p w14:paraId="5689622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 inflación promedio acumulada en 12 meses a octubre de 2014 fue de un 9.4%</w:t>
      </w:r>
      <w:r w:rsidRPr="00CD5F12">
        <w:rPr>
          <w:rFonts w:eastAsia="Calibri"/>
          <w:sz w:val="26"/>
          <w:szCs w:val="26"/>
          <w:vertAlign w:val="superscript"/>
          <w:lang w:eastAsia="en-US"/>
        </w:rPr>
        <w:footnoteReference w:id="12"/>
      </w:r>
      <w:r w:rsidRPr="00CD5F12">
        <w:rPr>
          <w:rFonts w:eastAsia="Calibri"/>
          <w:sz w:val="26"/>
          <w:szCs w:val="26"/>
          <w:lang w:eastAsia="en-US"/>
        </w:rPr>
        <w:t xml:space="preserve">, frente a un 7.6% registrado en diciembre de 2013. A pesar de que en la mayoría de los países de la región se verificó un aumento de la inflación en comparación con la de 2013, se observan significativas diferencias entre países. Al promedio regional contribuyen en forma importante la sostenida alza de la inflación oficial de Argentina y la elevada tasa de inflación al consumidor anotada en la República Bolivariana de Venezuela. </w:t>
      </w:r>
    </w:p>
    <w:p w14:paraId="6F8855A0" w14:textId="760B6672"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aumento de la inflación regional obedeció tanto al alza de los precios de los alimentos, como al incremento de la inflación subyacente. Los precios de los alimentos mostraron un repunte notorio a partir de mayo de 2014. Por su parte, la inflación subyacente</w:t>
      </w:r>
      <w:r w:rsidRPr="00CD5F12">
        <w:rPr>
          <w:rFonts w:eastAsia="Calibri"/>
          <w:sz w:val="26"/>
          <w:szCs w:val="26"/>
          <w:vertAlign w:val="superscript"/>
          <w:lang w:eastAsia="en-US"/>
        </w:rPr>
        <w:footnoteReference w:id="13"/>
      </w:r>
      <w:r w:rsidRPr="00CD5F12">
        <w:rPr>
          <w:rFonts w:eastAsia="Calibri"/>
          <w:sz w:val="26"/>
          <w:szCs w:val="26"/>
          <w:lang w:eastAsia="en-US"/>
        </w:rPr>
        <w:t xml:space="preserve"> presentó durante la primera mitad del año una aceleración en la mayoría </w:t>
      </w:r>
      <w:r w:rsidRPr="00CD5F12">
        <w:rPr>
          <w:rFonts w:eastAsia="Calibri"/>
          <w:sz w:val="26"/>
          <w:szCs w:val="26"/>
          <w:lang w:eastAsia="en-US"/>
        </w:rPr>
        <w:lastRenderedPageBreak/>
        <w:t xml:space="preserve">de los países. En términos de promedio regional, el precio de los alimentos aumentó un 11.8% en 12 meses a octubre de 2014 (frente a un alza del 9.3% acumulado en                 12 meses a diciembre de 2013 y un 8.3% acumulado en 2012), mientras que la inflación subyacente aumentó un 9.1% en 12 meses a octubre de 2014, frente a un 7.0% en            12 meses a diciembre de 2013. </w:t>
      </w:r>
    </w:p>
    <w:p w14:paraId="5C49CFF0"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F. Perspectivas para 2015 y desafíos</w:t>
      </w:r>
    </w:p>
    <w:p w14:paraId="16BB0AE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Se espera que la economía mundial continúe expandiéndose durante 2015, aunque en forma moderada, a una tasa en torno al 3.1%. Al igual que en 2014, la dinámica de crecimiento de los países desarrollados será heterogénea. En las economías emergentes se espera que continúe la tendencia a la desaceleración del ritmo de crecimiento. En el caso particular de China, se prevé un crecimiento cercano al 7% en 2015, inferior al 7.3% de 2014.</w:t>
      </w:r>
    </w:p>
    <w:p w14:paraId="209EC65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Si bien según las proyecciones habría una tendencia a una moderada aceleración del crecimiento de la economía mundial, aún persisten serios riesgos que podrían poner en duda esta trayectoria. En particular, en la zona del euro aún se observan debilidades importantes de la capacidad de sostener el crecimiento, dados los altos niveles de apalancamiento de sus economías. La trayectoria de la inflación muestra que los riesgos de deflación y bajo crecimiento todavía persisten en esta parte del mundo. A su vez, la situación de Japón podría afectar de manera desfavorable las exportaciones de países vecinos, en particular de China, y reducir el crecimiento global en 2015. A los factores de índole económica hay que sumar elementos geopolíticos, como la situación en Ucrania y el Oriente Medio, que podrían incidir negativamente en la dinámica de crecimiento de 2015. </w:t>
      </w:r>
    </w:p>
    <w:p w14:paraId="062AEF51" w14:textId="58BE04E0"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A las incertidumbres sobre la dinámica de la economía mundial, que afectan el potencial exportador de la región, se deben sumar los riesgos asociados a los precios de las materias primas y la dinámica financiera internacional. En el primer caso, se </w:t>
      </w:r>
      <w:r w:rsidRPr="00CD5F12">
        <w:rPr>
          <w:rFonts w:eastAsia="Calibri"/>
          <w:sz w:val="26"/>
          <w:szCs w:val="26"/>
          <w:lang w:eastAsia="en-US"/>
        </w:rPr>
        <w:lastRenderedPageBreak/>
        <w:t>confirma la tendencia a la reducción de algunos de los precios. Según estimaciones del Banco Mundial</w:t>
      </w:r>
      <w:r w:rsidRPr="00CD5F12">
        <w:rPr>
          <w:rFonts w:eastAsia="Calibri"/>
          <w:sz w:val="26"/>
          <w:szCs w:val="26"/>
          <w:vertAlign w:val="superscript"/>
          <w:lang w:eastAsia="en-US"/>
        </w:rPr>
        <w:footnoteReference w:id="14"/>
      </w:r>
      <w:r w:rsidR="007D7979">
        <w:rPr>
          <w:rFonts w:eastAsia="Calibri"/>
          <w:sz w:val="26"/>
          <w:szCs w:val="26"/>
          <w:lang w:eastAsia="en-US"/>
        </w:rPr>
        <w:t>,</w:t>
      </w:r>
      <w:r w:rsidRPr="00CD5F12">
        <w:rPr>
          <w:rFonts w:eastAsia="Calibri"/>
          <w:sz w:val="26"/>
          <w:szCs w:val="26"/>
          <w:lang w:eastAsia="en-US"/>
        </w:rPr>
        <w:t xml:space="preserve"> se espera que en 2015 el precio promedio de la energía (hidrocarburos) se reduzca un 4.6%, después de una caída estimada del 2.5% en 2014 aunque la evolución de los precios a fines de 2014 puede incidir en una mayor reducción interanual. En el caso de los productos de la agricultura (alimentos), se prevé una disminución del 1.1%, menor que la baja del 3.1% estimada para 2014, mientras que los precios de los metales mostrarán una tendencia al alza del 1.2%, que contrasta con la caída del 5</w:t>
      </w:r>
      <w:r w:rsidR="00877DDF">
        <w:rPr>
          <w:rFonts w:eastAsia="Calibri"/>
          <w:sz w:val="26"/>
          <w:szCs w:val="26"/>
          <w:lang w:eastAsia="en-US"/>
        </w:rPr>
        <w:t>.</w:t>
      </w:r>
      <w:r w:rsidRPr="00CD5F12">
        <w:rPr>
          <w:rFonts w:eastAsia="Calibri"/>
          <w:sz w:val="26"/>
          <w:szCs w:val="26"/>
          <w:lang w:eastAsia="en-US"/>
        </w:rPr>
        <w:t xml:space="preserve">4% que habría tenido lugar en 2014. </w:t>
      </w:r>
    </w:p>
    <w:p w14:paraId="382B9A6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el ámbito financiero, a pesar de las incertidumbres que produce el retiro de los estímulos monetarios en los Estados Unidos de Norteamérica, no se prevén grandes cambios o turbulencias a lo largo de 2015. Aunque se espera que la Reserva Federal incremente las tasas de interés hacia el final de 2015, la política monetaria de este país mantendrá una postura acomodaticia. En la zona del euro se espera que el Banco Central Europeo mantenga o amplíe su programa de expansión monetaria.</w:t>
      </w:r>
    </w:p>
    <w:p w14:paraId="7BCECF5B" w14:textId="0CCDF612"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evolución de la economía mundial tiene efectos diferentes en los distintos países y subregiones de América Latina y el Caribe. Para 2015 se espera que la economía de la región crezca a un ritmo promedio del 2.2%. Al igual que en 2014, se prevén dinámicas de crecimiento diferenciadas entre países y subregiones. Se estima que Centroamérica, incluidos el Caribe de habla hispana y Haití crecerá a una tasa del 4.1%, América del Sur a una tasa del 1.8% y el Caribe de habla inglesa a una tasa del 2.2 por ciento. </w:t>
      </w:r>
    </w:p>
    <w:p w14:paraId="47F5DEE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Dinamizar el crecimiento económico y revertir la desaceleración en el actual contexto de la economía mundial plantea amplios desafíos para la región. El débil ritmo de crecimiento de los países desarrollados y la moderada expansión de las economías emergentes, junto con la dinámica del comercio mundial posterior a la crisis financiera, hacen prever que el aumento de la demanda externa de la región será lento y complejo, </w:t>
      </w:r>
      <w:r w:rsidRPr="00CD5F12">
        <w:rPr>
          <w:rFonts w:eastAsia="Calibri"/>
          <w:sz w:val="26"/>
          <w:szCs w:val="26"/>
          <w:lang w:eastAsia="en-US"/>
        </w:rPr>
        <w:lastRenderedPageBreak/>
        <w:t>lo que dificultará el aporte que las exportaciones puedan hacer al crecimiento. Por ello, si bien el comercio internacional sigue siendo una fuente de oportunidades, la región debe redoblar sus esfuerzos por volverse más competitiva en sus mercados externos y a la vez incrementar los esfuerzos por abrir nuevos mercados.</w:t>
      </w:r>
    </w:p>
    <w:p w14:paraId="3E742B4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este contexto, los procesos de integración regional pueden promover una mayor demanda agregada, a través de la integración comercial, e impulsar una mayor productividad y competitividad, a través de la integración productiva y las cadenas de valor, así como la integración en infraestructura. La cooperación regional también fortalece la capacidad para enfrentar choques externos a través de la integración financiera.</w:t>
      </w:r>
    </w:p>
    <w:p w14:paraId="09AD8FA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A partir de la crisis financiera de 2009, la demanda interna ha sido el principal motor de crecimiento de la región, en tanto que la contribución de las exportaciones netas al crecimiento ha sido negativa desde 2010 hasta 2013. En este contexto, junto con promover el potencial exportador, la región debe ser capaz de sostener e incrementar la demanda interna para revertir la desaceleración. Un componente clave de la demanda interna es la inversión. La pérdida de dinamismo de la inversión ha sido uno de los factores esenciales para explicar la desaceleración en muchas de las economías de América Latina y el Caribe. Es por ello que el principal desafío que hoy enfrentan los países de la región para acelerar el crecimiento económico es aumentar las tasas de inversión pública y privada. </w:t>
      </w:r>
    </w:p>
    <w:p w14:paraId="626C9E0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capacidad que tienen los países para promover la inversión pública depende de la situación fiscal en que se encuentren y de la capacidad de movilizar recursos. Como ya se mencionó, en promedio el déficit fiscal de la región se mantuvo relativamente estable y los niveles de deuda pública externa e interna, con excepción del Caribe, son relativamente bajos. Por ello, a pesar de las diferencias que se pueden observar entre países, es posible pensar que la región tiene espacios para avanzar en la inversión </w:t>
      </w:r>
      <w:r w:rsidRPr="00CD5F12">
        <w:rPr>
          <w:rFonts w:eastAsia="Calibri"/>
          <w:sz w:val="26"/>
          <w:szCs w:val="26"/>
          <w:lang w:eastAsia="en-US"/>
        </w:rPr>
        <w:lastRenderedPageBreak/>
        <w:t>pública destinada a potenciar la capacidad productiva y la competitividad a través de proyectos de infraestructura. Esta inversión no solo promueve ganancias de productividad, sino que debiera servir también como incentivo a la inversión privada.</w:t>
      </w:r>
    </w:p>
    <w:p w14:paraId="7BF6903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los países en que el nivel de la deuda pública es más elevado o donde existen dificultades de financiamiento, el debilitamiento de las cuentas públicas previsto para 2015 se ha traducido en el anuncio de recortes presupuestarios para ese año. Al contemplarse medidas de contención del gasto, será preciso proteger la inversión y evitar círculos viciosos, en que ajustes fiscales excesivos redundarían en un mínimo crecimiento y en menores recursos tributarios y, finalmente, conducirían a una agudización del déficit y a una mayor carga de la deuda pública.</w:t>
      </w:r>
    </w:p>
    <w:p w14:paraId="3D084203"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Enfatizar en el incremento de la inversión pública, y/o de empresas públicas, como un elemento central del crecimiento de la inversión total, plantea nuevos desafíos a la idea de la arquitectura contracíclica en América Latina y el Caribe. La región ha avanzado positivamente en políticas contracíclicas destinadas a suavizar los flujos de ingresos públicos ante cambios cíclicos en las fuentes de estos ingresos. Este avance ha sido crucial para sostener el crecimiento económico y debe potenciarse. A la vez, en la medida en que la inversión pasa a ser una variable central del devenir económico y del crecimiento, se deben buscar, en el marco de la arquitectura contracíclica, mecanismos que aseguren el financiamiento de las necesidades de inversión a lo largo de las distintas fases del ciclo.</w:t>
      </w:r>
    </w:p>
    <w:p w14:paraId="00D93C7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Fortalecer el componente de inversión no solo ayuda a movilizar la demanda interna en el corto plazo y promover el crecimiento, sino que es el principal puente entre los desafíos del ciclo económico y el crecimiento y desarrollo de mediano y largo plazo. En este contexto, la macroeconomía del desarrollo debe orientarse no solo a suavizar los ciclos económicos, sino también a potenciar el desarrollo productivo y el cambio estructural, mediante la protección de la dinámica de la inversión a lo largo del tiempo.</w:t>
      </w:r>
    </w:p>
    <w:p w14:paraId="28F07C3D"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lastRenderedPageBreak/>
        <w:t>Capítulo I: El contexto internacional</w:t>
      </w:r>
    </w:p>
    <w:p w14:paraId="2CDB0B0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2014, el crecimiento de la economía mundial ha presentado una leve recuperación, en un contexto de desempeño heterogéneo de los países desarrollados y de desaceleración de las economías emergentes.</w:t>
      </w:r>
    </w:p>
    <w:p w14:paraId="6A43BD5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tasa de crecimiento mundial aumentó al 2.6% en 2014, en comparación con un 2.4% registrado en 2013. Los países desarrollados han mostrado una dinámica de crecimiento diferenciada, en la que se destaca el Reino Unido, cuya economía se expandió un 3.1% en 2014, frente a un 1.7% en el año anterior. La economía de los Estados Unidos de Norteamérica, por su parte, exhibe un crecimiento del 2.1%, levemente inferior al 2.2% de 2013, pero ha seguido una trayectoria muy dinámica en el segundo semestre, que permite prever una expansión aún mayor en 2015. En la zona del euro, el crecimiento volvió a ser limitado en 2014 y se observaron marcados contrastes: Alemania y España crecieron un 1.5 y un 1.3%, respectivamente, en tanto que Francia solo creció un 0.3% e Italia experimentó una recesión, al contraerse su actividad un 0.4%. Japón, aun cuando presentó signos de recuperación durante los primeros meses de 2014, cayó en recesión en los últimos meses del año. </w:t>
      </w:r>
    </w:p>
    <w:p w14:paraId="43C46D7E"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crecimiento de los países en desarrollo continuó desacelerándose en 2014, si bien se sitúa en niveles que siguen siendo muy superiores a los del mundo desarrollado. En promedio, el crecimiento de estas economías se estima de un 4.4% en 2014. Se destaca la disminución de la tasa de crecimiento de China, que pasó de un 7.7% en 2013 a un 7.3% en 2014, en tanto que la expansión de la India aumentó de un 4.7% en 2013 a un 5.4% en 2014 (véase la gráfica siguiente).</w:t>
      </w:r>
    </w:p>
    <w:p w14:paraId="14EDE0F5" w14:textId="77777777" w:rsidR="001E7CBA" w:rsidRDefault="001E7CBA" w:rsidP="00CD5F12">
      <w:pPr>
        <w:spacing w:after="360" w:line="360" w:lineRule="auto"/>
        <w:ind w:right="-159"/>
        <w:jc w:val="both"/>
        <w:rPr>
          <w:rFonts w:eastAsia="Calibri"/>
          <w:sz w:val="26"/>
          <w:szCs w:val="26"/>
          <w:lang w:eastAsia="en-US"/>
        </w:rPr>
      </w:pPr>
    </w:p>
    <w:p w14:paraId="04DBCEAE" w14:textId="77777777" w:rsidR="001E7CBA" w:rsidRPr="00CD5F12" w:rsidRDefault="001E7CBA" w:rsidP="00CD5F12">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CD5F12" w:rsidRPr="00CD5F12" w14:paraId="31A837C8" w14:textId="77777777" w:rsidTr="00835D95">
        <w:tc>
          <w:tcPr>
            <w:tcW w:w="8978" w:type="dxa"/>
          </w:tcPr>
          <w:p w14:paraId="61A94EB1"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REGIONES Y PAÍSES SELECCIONADOS: CRECIMIENTO DEL PRODUCTO INTERNO BRUTO, 2007-2015</w:t>
            </w:r>
          </w:p>
          <w:p w14:paraId="373CC6ED"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0B1B17BA" w14:textId="77777777" w:rsidTr="00835D95">
        <w:tc>
          <w:tcPr>
            <w:tcW w:w="8978" w:type="dxa"/>
          </w:tcPr>
          <w:p w14:paraId="1D70CAA7"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38256395" wp14:editId="0D6A2EDD">
                  <wp:extent cx="5607050" cy="2838450"/>
                  <wp:effectExtent l="0" t="0" r="0" b="0"/>
                  <wp:docPr id="1673" name="Imagen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607050" cy="2838450"/>
                          </a:xfrm>
                          <a:prstGeom prst="rect">
                            <a:avLst/>
                          </a:prstGeom>
                          <a:noFill/>
                          <a:ln>
                            <a:noFill/>
                          </a:ln>
                        </pic:spPr>
                      </pic:pic>
                    </a:graphicData>
                  </a:graphic>
                </wp:inline>
              </w:drawing>
            </w:r>
          </w:p>
        </w:tc>
      </w:tr>
      <w:tr w:rsidR="00CD5F12" w:rsidRPr="00CD5F12" w14:paraId="21D78923" w14:textId="77777777" w:rsidTr="00835D95">
        <w:tc>
          <w:tcPr>
            <w:tcW w:w="8978" w:type="dxa"/>
          </w:tcPr>
          <w:p w14:paraId="2969F0BF"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Estimaciones.</w:t>
            </w:r>
          </w:p>
          <w:p w14:paraId="60458F60" w14:textId="77777777" w:rsidR="00CD5F12" w:rsidRPr="00CD5F12" w:rsidRDefault="00CD5F12" w:rsidP="00CD5F12">
            <w:pPr>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xml:space="preserve">/ Proyecciones. </w:t>
            </w:r>
          </w:p>
          <w:p w14:paraId="679A345C"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 xml:space="preserve">FUENTE: Comisión Económica para América Latina y el Caribe (CEPAL), sobre la base de Naciones Unidas, </w:t>
            </w:r>
            <w:r w:rsidRPr="00CD5F12">
              <w:rPr>
                <w:rFonts w:eastAsia="Calibri"/>
                <w:i/>
                <w:sz w:val="20"/>
                <w:szCs w:val="20"/>
                <w:lang w:eastAsia="en-US"/>
              </w:rPr>
              <w:t>Global Economic Outlook</w:t>
            </w:r>
            <w:r w:rsidRPr="00CD5F12">
              <w:rPr>
                <w:rFonts w:eastAsia="Calibri"/>
                <w:sz w:val="20"/>
                <w:szCs w:val="20"/>
                <w:lang w:eastAsia="en-US"/>
              </w:rPr>
              <w:t>, Nueva York, Departamento de Asuntos Económicos y Sociales, octubre de 2014.</w:t>
            </w:r>
          </w:p>
        </w:tc>
      </w:tr>
    </w:tbl>
    <w:p w14:paraId="64B4C3C7" w14:textId="77777777" w:rsidR="00CD5F12" w:rsidRPr="00CD5F12" w:rsidRDefault="00CD5F12" w:rsidP="00CD5F12">
      <w:pPr>
        <w:spacing w:after="360" w:line="360" w:lineRule="auto"/>
        <w:ind w:right="-159"/>
        <w:jc w:val="both"/>
        <w:rPr>
          <w:rFonts w:eastAsia="Calibri"/>
          <w:sz w:val="26"/>
          <w:szCs w:val="26"/>
          <w:lang w:eastAsia="en-US"/>
        </w:rPr>
      </w:pPr>
    </w:p>
    <w:p w14:paraId="05C78EC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De manera consistente con lo anterior, la demanda agregada externa que enfrentan los países de América Latina y el Caribe se ha debilitado, debido al bajo crecimiento de las economías desarrolladas y a la desaceleración de las economías emergentes, sobre todo de China, que se ha transformado en el principal socio comercial de varios países de la región, en particular los exportadores de materias primas. </w:t>
      </w:r>
    </w:p>
    <w:p w14:paraId="53BC0CFA" w14:textId="5465CB35"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Como reflejo de esta evolución de la economía mundial, durante 2014</w:t>
      </w:r>
      <w:r w:rsidR="00877DDF">
        <w:rPr>
          <w:rFonts w:eastAsia="Calibri"/>
          <w:sz w:val="26"/>
          <w:szCs w:val="26"/>
          <w:lang w:eastAsia="en-US"/>
        </w:rPr>
        <w:t>,</w:t>
      </w:r>
      <w:r w:rsidRPr="00CD5F12">
        <w:rPr>
          <w:rFonts w:eastAsia="Calibri"/>
          <w:sz w:val="26"/>
          <w:szCs w:val="26"/>
          <w:lang w:eastAsia="en-US"/>
        </w:rPr>
        <w:t xml:space="preserve"> el PIB de los socios comerciales extrarregionales de América Latina y el Caribe se expandió un 2.9%, levemente por encima del 2.8% del año previo. Este indicador de la demanda externa continúa señalando un ritmo menor al observado antes de la crisis financiera global. Ello es más marcado en el caso de América del Sur, que exhibe una mayor reducción en la expansión de sus socios comerciales de fuera de la región (véase la gráfica siguiente).</w:t>
      </w:r>
    </w:p>
    <w:tbl>
      <w:tblPr>
        <w:tblW w:w="0" w:type="auto"/>
        <w:tblBorders>
          <w:insideV w:val="single" w:sz="4" w:space="0" w:color="auto"/>
        </w:tblBorders>
        <w:tblLook w:val="04A0" w:firstRow="1" w:lastRow="0" w:firstColumn="1" w:lastColumn="0" w:noHBand="0" w:noVBand="1"/>
      </w:tblPr>
      <w:tblGrid>
        <w:gridCol w:w="8840"/>
      </w:tblGrid>
      <w:tr w:rsidR="00CD5F12" w:rsidRPr="00CD5F12" w14:paraId="469B71BA" w14:textId="77777777" w:rsidTr="00835D95">
        <w:tc>
          <w:tcPr>
            <w:tcW w:w="8978" w:type="dxa"/>
          </w:tcPr>
          <w:p w14:paraId="704AB99F"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CRECIMIENTO ECONÓMICO DE LOS SOCIOS COMERCIALES EXTRARREGIONALES, 2000-2015</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7DBFEAB1"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035E1846" w14:textId="77777777" w:rsidTr="00835D95">
        <w:tc>
          <w:tcPr>
            <w:tcW w:w="8978" w:type="dxa"/>
          </w:tcPr>
          <w:p w14:paraId="5466B5ED"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3D947EB2" wp14:editId="04CD452A">
                  <wp:extent cx="5553766" cy="2736000"/>
                  <wp:effectExtent l="0" t="0" r="0" b="7620"/>
                  <wp:docPr id="1674" name="Imagen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53766" cy="2736000"/>
                          </a:xfrm>
                          <a:prstGeom prst="rect">
                            <a:avLst/>
                          </a:prstGeom>
                          <a:noFill/>
                          <a:ln>
                            <a:noFill/>
                          </a:ln>
                        </pic:spPr>
                      </pic:pic>
                    </a:graphicData>
                  </a:graphic>
                </wp:inline>
              </w:drawing>
            </w:r>
          </w:p>
        </w:tc>
      </w:tr>
      <w:tr w:rsidR="00CD5F12" w:rsidRPr="00CD5F12" w14:paraId="46B340CB" w14:textId="77777777" w:rsidTr="00835D95">
        <w:tc>
          <w:tcPr>
            <w:tcW w:w="8978" w:type="dxa"/>
          </w:tcPr>
          <w:p w14:paraId="4BD5DA5E"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Corresponde al promedio ponderado (según la participación en las exportaciones extrarregionales durante 2011) de las tasas de crecimiento del PIB de los países de destino de las exportaciones de la región.</w:t>
            </w:r>
          </w:p>
          <w:p w14:paraId="6627370A" w14:textId="77777777" w:rsidR="00CD5F12" w:rsidRPr="00CD5F12" w:rsidRDefault="00CD5F12" w:rsidP="00CD5F12">
            <w:pPr>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xml:space="preserve">/ Proyecciones. </w:t>
            </w:r>
          </w:p>
          <w:p w14:paraId="0977743F"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65C99684" w14:textId="77777777" w:rsidR="00CD5F12" w:rsidRPr="00CD5F12" w:rsidRDefault="00CD5F12" w:rsidP="00CD5F12">
      <w:pPr>
        <w:spacing w:after="360" w:line="360" w:lineRule="auto"/>
        <w:ind w:right="-159"/>
        <w:jc w:val="both"/>
        <w:rPr>
          <w:rFonts w:eastAsia="Calibri"/>
          <w:sz w:val="26"/>
          <w:szCs w:val="26"/>
          <w:lang w:eastAsia="en-US"/>
        </w:rPr>
      </w:pPr>
    </w:p>
    <w:p w14:paraId="01A03FF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Como se aprecia en la gráfica </w:t>
      </w:r>
      <w:r w:rsidRPr="00CD5F12">
        <w:rPr>
          <w:rFonts w:eastAsia="Calibri"/>
          <w:i/>
          <w:sz w:val="26"/>
          <w:szCs w:val="26"/>
          <w:lang w:eastAsia="en-US"/>
        </w:rPr>
        <w:t>Índice de precios internacionales de los productos básicos, valores semanales, enero de 2013 a noviembre de 2014</w:t>
      </w:r>
      <w:r w:rsidRPr="00CD5F12">
        <w:rPr>
          <w:rFonts w:eastAsia="Calibri"/>
          <w:sz w:val="26"/>
          <w:szCs w:val="26"/>
          <w:lang w:eastAsia="en-US"/>
        </w:rPr>
        <w:t xml:space="preserve">, los precios de las materias primas, en especial a partir del segundo semestre, han retomado una tendencia descendente, si bien heterogénea entre los diferentes bienes. El precio promedio del conjunto de las materias primas mostró en 2014 una caída estimada de alrededor del 10.5%, en comparación con una disminución del 5.2% en 2013. El precio de los metales cayó alrededor de un 2.3% en 2014, frente a una baja del 16.7% en 2013. El precio de los alimentos disminuyó en torno a un 6.9%, en comparación con una caída del 15.5% en 2013. Por último, el precio de la energía, que en 2013 había registrado un alza del 4.6%, bajó cerca de un 17% en 2014. </w:t>
      </w:r>
    </w:p>
    <w:p w14:paraId="7BC1A8E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Desde la perspectiva de los principales productos básicos que la región exporta, durante los primeros nueve meses de 2014 se constató un debilitamiento de los precios del grupo de los productos alimenticios (-4.8% interanual en promedio), debido a un exceso </w:t>
      </w:r>
      <w:r w:rsidRPr="00CD5F12">
        <w:rPr>
          <w:rFonts w:eastAsia="Calibri"/>
          <w:sz w:val="26"/>
          <w:szCs w:val="26"/>
          <w:lang w:eastAsia="en-US"/>
        </w:rPr>
        <w:lastRenderedPageBreak/>
        <w:t>de oferta de maíz que ocasionó una reducción promedio del 28.5% en el precio de ese producto y caídas en el del azúcar (2.3%) como consecuencia de la sobreproducción. El grupo de los aceites y semillas oleaginosas registra una caída del 5.3%, principalmente por el retroceso de la soja (5.9%) y sus derivados debido a una menor demanda en China y a una buena cosecha en Argentina y Brasil.</w:t>
      </w:r>
    </w:p>
    <w:p w14:paraId="4F7AD55B" w14:textId="603192B5"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Durante los primeros nueve meses de 2014</w:t>
      </w:r>
      <w:r w:rsidR="00877DDF">
        <w:rPr>
          <w:rFonts w:eastAsia="Calibri"/>
          <w:sz w:val="26"/>
          <w:szCs w:val="26"/>
          <w:lang w:eastAsia="en-US"/>
        </w:rPr>
        <w:t>,</w:t>
      </w:r>
      <w:r w:rsidRPr="00CD5F12">
        <w:rPr>
          <w:rFonts w:eastAsia="Calibri"/>
          <w:sz w:val="26"/>
          <w:szCs w:val="26"/>
          <w:lang w:eastAsia="en-US"/>
        </w:rPr>
        <w:t xml:space="preserve"> el precio de las bebidas tropicales registró un incremento significativo (27.2% interanual en promedio), por la disminución de la producción de café como consecuencia del ataque del hongo de la roya en las plantaciones de café de Centroamérica y México, y de la sequía que sufrió Brasil a principios de año. </w:t>
      </w:r>
    </w:p>
    <w:p w14:paraId="3657E51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precio de los minerales y los metales sufrió un fuerte descenso (12.9%) en ese mismo período, debido sobre todo a la desaceleración del sector de la construcción y de la manufactura en China, uno de los principales demandantes mundiales de minerales y metales.</w:t>
      </w:r>
    </w:p>
    <w:tbl>
      <w:tblPr>
        <w:tblW w:w="0" w:type="auto"/>
        <w:tblBorders>
          <w:insideV w:val="single" w:sz="4" w:space="0" w:color="auto"/>
        </w:tblBorders>
        <w:tblLook w:val="04A0" w:firstRow="1" w:lastRow="0" w:firstColumn="1" w:lastColumn="0" w:noHBand="0" w:noVBand="1"/>
      </w:tblPr>
      <w:tblGrid>
        <w:gridCol w:w="8840"/>
      </w:tblGrid>
      <w:tr w:rsidR="00CD5F12" w:rsidRPr="00CD5F12" w14:paraId="16FB8268" w14:textId="77777777" w:rsidTr="001E7CBA">
        <w:tc>
          <w:tcPr>
            <w:tcW w:w="8840" w:type="dxa"/>
          </w:tcPr>
          <w:p w14:paraId="1468C4E6"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 xml:space="preserve">ÍNDICE DE PRECIOS INTERNACIONALES DE LOS PRODUCTOS BÁSICOS, VALORES SEMANALES, ENERO DE 2013 A NOVIEMBRE DE 2014 </w:t>
            </w:r>
          </w:p>
          <w:p w14:paraId="12566208"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-Base promedio de enero de 2013=100-</w:t>
            </w:r>
          </w:p>
        </w:tc>
      </w:tr>
      <w:tr w:rsidR="00CD5F12" w:rsidRPr="00CD5F12" w14:paraId="639FDEDD" w14:textId="77777777" w:rsidTr="001E7CBA">
        <w:tc>
          <w:tcPr>
            <w:tcW w:w="8840" w:type="dxa"/>
          </w:tcPr>
          <w:p w14:paraId="49C69DC8"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51E30F35" wp14:editId="0ECB51E1">
                  <wp:extent cx="5576745" cy="2736000"/>
                  <wp:effectExtent l="0" t="0" r="5080" b="7620"/>
                  <wp:docPr id="1675" name="Imagen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576745" cy="2736000"/>
                          </a:xfrm>
                          <a:prstGeom prst="rect">
                            <a:avLst/>
                          </a:prstGeom>
                        </pic:spPr>
                      </pic:pic>
                    </a:graphicData>
                  </a:graphic>
                </wp:inline>
              </w:drawing>
            </w:r>
          </w:p>
        </w:tc>
      </w:tr>
      <w:tr w:rsidR="00CD5F12" w:rsidRPr="00CD5F12" w14:paraId="348643AB" w14:textId="77777777" w:rsidTr="001E7CBA">
        <w:tc>
          <w:tcPr>
            <w:tcW w:w="8840" w:type="dxa"/>
          </w:tcPr>
          <w:p w14:paraId="0735C2FE"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 xml:space="preserve">FUENTE: Comisión Económica para América Latina y el Caribe (CEPAL), sobre la base de </w:t>
            </w:r>
            <w:r w:rsidRPr="00CD5F12">
              <w:rPr>
                <w:rFonts w:eastAsia="Calibri"/>
                <w:i/>
                <w:sz w:val="20"/>
                <w:szCs w:val="20"/>
                <w:lang w:eastAsia="en-US"/>
              </w:rPr>
              <w:t>Bloomberg</w:t>
            </w:r>
            <w:r w:rsidRPr="00CD5F12">
              <w:rPr>
                <w:rFonts w:eastAsia="Calibri"/>
                <w:sz w:val="20"/>
                <w:szCs w:val="20"/>
                <w:lang w:eastAsia="en-US"/>
              </w:rPr>
              <w:t xml:space="preserve"> y </w:t>
            </w:r>
            <w:r w:rsidRPr="00CD5F12">
              <w:rPr>
                <w:rFonts w:eastAsia="Calibri"/>
                <w:i/>
                <w:sz w:val="20"/>
                <w:szCs w:val="20"/>
                <w:lang w:eastAsia="en-US"/>
              </w:rPr>
              <w:t>JP Morgan Commodity Index</w:t>
            </w:r>
            <w:r w:rsidRPr="00CD5F12">
              <w:rPr>
                <w:rFonts w:eastAsia="Calibri"/>
                <w:sz w:val="20"/>
                <w:szCs w:val="20"/>
                <w:lang w:eastAsia="en-US"/>
              </w:rPr>
              <w:t>.</w:t>
            </w:r>
          </w:p>
        </w:tc>
      </w:tr>
    </w:tbl>
    <w:p w14:paraId="08CC75FD" w14:textId="5817B563"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Durante la primera mitad de 2014</w:t>
      </w:r>
      <w:r w:rsidR="00877DDF">
        <w:rPr>
          <w:rFonts w:eastAsia="Calibri"/>
          <w:sz w:val="26"/>
          <w:szCs w:val="26"/>
          <w:lang w:eastAsia="en-US"/>
        </w:rPr>
        <w:t>,</w:t>
      </w:r>
      <w:r w:rsidRPr="00CD5F12">
        <w:rPr>
          <w:rFonts w:eastAsia="Calibri"/>
          <w:sz w:val="26"/>
          <w:szCs w:val="26"/>
          <w:lang w:eastAsia="en-US"/>
        </w:rPr>
        <w:t xml:space="preserve"> el precio del petróleo se incrementó levemente (2.7% de diciembre de 2013 a junio de 2014), pero en el segundo semestre sufrió una caída sustancial, con un descenso del 30% entre junio y noviembre. En promedio, la reducción para 2014 se situará entre el 3 y el 4% en comparación con 2013, debido principalmente a un estancamiento de la demanda por parte de la Unión Europea y de China y a la reducción de </w:t>
      </w:r>
      <w:r w:rsidR="00877DDF">
        <w:rPr>
          <w:rFonts w:eastAsia="Calibri"/>
          <w:sz w:val="26"/>
          <w:szCs w:val="26"/>
          <w:lang w:eastAsia="en-US"/>
        </w:rPr>
        <w:t>é</w:t>
      </w:r>
      <w:r w:rsidRPr="00CD5F12">
        <w:rPr>
          <w:rFonts w:eastAsia="Calibri"/>
          <w:sz w:val="26"/>
          <w:szCs w:val="26"/>
          <w:lang w:eastAsia="en-US"/>
        </w:rPr>
        <w:t>sta en algunos países emergentes, en un contexto de una oferta estable por parte de los países productores de petróleo, a lo que se añade una mayor producción en los Estados Unidos de Norteamérica, procedente de fuentes no convencionales. A pesar de la contracción del precio del petróleo, la Organización de Países Exportadores de Petróleo (OPEP) decidió, en su reunión de noviembre de 2014, no reducir las cuotas de producción.</w:t>
      </w:r>
    </w:p>
    <w:p w14:paraId="26D7305F"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Los mercados financieros internacionales mantuvieron niveles de liquidez relativamente elevados, lo que refleja una política monetaria acomodaticia de las principales economías desarrolladas, así como una percepción de riesgo acotada. Las tasas de interés en los mercados financieros internacionales continuaron en niveles bajos y el término de la política de estímulo monetario en los Estados Unidos de Norteamérica no ha redundado en un aumento de las tasas de interés, si bien generó cierta volatilidad de los flujos financieros durante 2014. Por su parte, el Banco Central Europeo inició un programa de expansión monetaria (</w:t>
      </w:r>
      <w:r w:rsidRPr="00CD5F12">
        <w:rPr>
          <w:rFonts w:eastAsia="Calibri"/>
          <w:i/>
          <w:sz w:val="26"/>
          <w:szCs w:val="26"/>
          <w:lang w:eastAsia="en-US"/>
        </w:rPr>
        <w:t>quantitative easing</w:t>
      </w:r>
      <w:r w:rsidRPr="00CD5F12">
        <w:rPr>
          <w:rFonts w:eastAsia="Calibri"/>
          <w:sz w:val="26"/>
          <w:szCs w:val="26"/>
          <w:lang w:eastAsia="en-US"/>
        </w:rPr>
        <w:t>), por ahora limitado a la compra de activos financieros privados, en una escala menor que la de programas similares adoptados por la Reserva Federal de los Estados Unidos de Norteamérica y el Banco Central de Japón.</w:t>
      </w:r>
    </w:p>
    <w:p w14:paraId="7F949B1C" w14:textId="77777777" w:rsidR="001E7CBA" w:rsidRDefault="001E7CBA" w:rsidP="00CD5F12">
      <w:pPr>
        <w:spacing w:after="360" w:line="360" w:lineRule="auto"/>
        <w:ind w:right="-159"/>
        <w:jc w:val="both"/>
        <w:rPr>
          <w:rFonts w:eastAsia="Calibri"/>
          <w:sz w:val="26"/>
          <w:szCs w:val="26"/>
          <w:lang w:eastAsia="en-US"/>
        </w:rPr>
      </w:pPr>
    </w:p>
    <w:p w14:paraId="030F8054" w14:textId="77777777" w:rsidR="001E7CBA" w:rsidRDefault="001E7CBA" w:rsidP="00CD5F12">
      <w:pPr>
        <w:spacing w:after="360" w:line="360" w:lineRule="auto"/>
        <w:ind w:right="-159"/>
        <w:jc w:val="both"/>
        <w:rPr>
          <w:rFonts w:eastAsia="Calibri"/>
          <w:sz w:val="26"/>
          <w:szCs w:val="26"/>
          <w:lang w:eastAsia="en-US"/>
        </w:rPr>
      </w:pPr>
    </w:p>
    <w:p w14:paraId="04BAD370" w14:textId="77777777" w:rsidR="001E7CBA" w:rsidRPr="00CD5F12" w:rsidRDefault="001E7CBA" w:rsidP="00CD5F12">
      <w:pPr>
        <w:spacing w:after="360" w:line="360" w:lineRule="auto"/>
        <w:ind w:right="-159"/>
        <w:jc w:val="both"/>
        <w:rPr>
          <w:rFonts w:eastAsia="Calibri"/>
          <w:sz w:val="26"/>
          <w:szCs w:val="26"/>
          <w:lang w:eastAsia="en-US"/>
        </w:rPr>
      </w:pPr>
    </w:p>
    <w:p w14:paraId="28676E9A"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lastRenderedPageBreak/>
        <w:t>Capítulo II: La actividad económica</w:t>
      </w:r>
    </w:p>
    <w:p w14:paraId="230AC55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2014, el PIB de América Latina y el Caribe creció un 1.1%</w:t>
      </w:r>
      <w:r w:rsidRPr="00CD5F12">
        <w:rPr>
          <w:rFonts w:eastAsia="Calibri"/>
          <w:sz w:val="26"/>
          <w:szCs w:val="26"/>
          <w:vertAlign w:val="superscript"/>
          <w:lang w:eastAsia="en-US"/>
        </w:rPr>
        <w:footnoteReference w:id="15"/>
      </w:r>
      <w:r w:rsidRPr="00CD5F12">
        <w:rPr>
          <w:rFonts w:eastAsia="Calibri"/>
          <w:sz w:val="26"/>
          <w:szCs w:val="26"/>
          <w:lang w:eastAsia="en-US"/>
        </w:rPr>
        <w:t xml:space="preserve">, lo que se tradujo en un estancamiento del PIB por habitante de la región. Este resultado corresponde a la tasa de expansión más baja registrada desde 2009. El limitado desempeño de la actividad económica regional obedece fundamentalmente al escaso dinamismo, o a la contracción, de algunas de las mayores economías de la región, en particular Argentina (-0.2%), Brasil (0.2%) y Venezuela (República Bolivariana de) (-3.0%). Pese a lo anterior, se verifican diferencias importantes en los ritmos de crecimiento de los países. </w:t>
      </w:r>
    </w:p>
    <w:p w14:paraId="6F425C32"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Panamá y la República Dominicana son las economías que registraron mayor crecimiento dentro de la región (ambas con un 6.0%), seguidas por el Estado Plurinacional de Bolivia (5.2%), Colombia (4.8%), Nicaragua y Guyana (un 4.5% en cada caso), y luego Ecuador, Guatemala y Paraguay (un 4% en cada caso). Chile y Perú, dos de las economías cuyos ritmos de actividad exhibieron las más notorias desaceleraciones, presentaron tasas de crecimiento del 1.8 y el 2.8%, respectivamente. México anotó un crecimiento del 2.1%, lo que representa un aumento de su dinamismo respecto del registrado en 2013 (1.1%). Con excepción de Santa Lucía, donde se produjo una contracción del 1.4%, las demás economías crecieron a tasas entre el 0.5 y el 4.0%. Al analizar la evolución por subregiones, se observa que el crecimiento de América del Sur fue del 0.7% (frente a un 2.8% en 2013), en tanto que la economía de Centroamérica se expandió un 3.7% (frente a un 4.0% en 2013). Por su parte, el crecimiento de las economías del Caribe (sin considerar Cuba, Haití ni la República Dominicana) (1.9%) representa una aceleración respecto del desempeño de los años anteriores y alcanzó la mayor tasa desde 2008 (véase la gráfica siguiente). </w:t>
      </w:r>
    </w:p>
    <w:p w14:paraId="0E4E16A8" w14:textId="77777777" w:rsidR="001E7CBA" w:rsidRPr="00CD5F12" w:rsidRDefault="001E7CBA" w:rsidP="00CD5F12">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CD5F12" w:rsidRPr="00CD5F12" w14:paraId="506B74DA" w14:textId="77777777" w:rsidTr="00835D95">
        <w:tc>
          <w:tcPr>
            <w:tcW w:w="8978" w:type="dxa"/>
          </w:tcPr>
          <w:p w14:paraId="5FD7DB14"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TASA DE CRECIMIENTO DEL PIB, 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r w:rsidRPr="00CD5F12">
              <w:rPr>
                <w:rFonts w:eastAsia="Calibri"/>
                <w:b/>
                <w:sz w:val="22"/>
                <w:szCs w:val="22"/>
                <w:lang w:eastAsia="en-US"/>
              </w:rPr>
              <w:t xml:space="preserve"> </w:t>
            </w:r>
          </w:p>
          <w:p w14:paraId="76FC8446"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sobre la base de dólares constantes de 2010-</w:t>
            </w:r>
          </w:p>
        </w:tc>
      </w:tr>
      <w:tr w:rsidR="00CD5F12" w:rsidRPr="00CD5F12" w14:paraId="44CCE81C" w14:textId="77777777" w:rsidTr="00835D95">
        <w:tc>
          <w:tcPr>
            <w:tcW w:w="8978" w:type="dxa"/>
          </w:tcPr>
          <w:p w14:paraId="456EC01D"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2910CE40" wp14:editId="04C538DB">
                  <wp:extent cx="5491480" cy="3737610"/>
                  <wp:effectExtent l="0" t="0" r="0" b="0"/>
                  <wp:docPr id="1676" name="Imagen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2150"/>
                          <a:stretch/>
                        </pic:blipFill>
                        <pic:spPr bwMode="auto">
                          <a:xfrm>
                            <a:off x="0" y="0"/>
                            <a:ext cx="5491480" cy="3737610"/>
                          </a:xfrm>
                          <a:prstGeom prst="rect">
                            <a:avLst/>
                          </a:prstGeom>
                          <a:ln>
                            <a:noFill/>
                          </a:ln>
                          <a:extLst>
                            <a:ext uri="{53640926-AAD7-44D8-BBD7-CCE9431645EC}">
                              <a14:shadowObscured xmlns:a14="http://schemas.microsoft.com/office/drawing/2010/main"/>
                            </a:ext>
                          </a:extLst>
                        </pic:spPr>
                      </pic:pic>
                    </a:graphicData>
                  </a:graphic>
                </wp:inline>
              </w:drawing>
            </w:r>
          </w:p>
        </w:tc>
      </w:tr>
      <w:tr w:rsidR="00CD5F12" w:rsidRPr="00CD5F12" w14:paraId="5BA10F3A" w14:textId="77777777" w:rsidTr="00835D95">
        <w:tc>
          <w:tcPr>
            <w:tcW w:w="8978" w:type="dxa"/>
          </w:tcPr>
          <w:p w14:paraId="03F15045" w14:textId="77777777" w:rsidR="00CD5F12" w:rsidRPr="00CD5F12" w:rsidRDefault="00CD5F12" w:rsidP="00CD5F12">
            <w:pPr>
              <w:ind w:left="907" w:hanging="907"/>
              <w:jc w:val="center"/>
              <w:rPr>
                <w:rFonts w:eastAsia="Calibri"/>
                <w:sz w:val="20"/>
                <w:szCs w:val="20"/>
                <w:lang w:eastAsia="en-US"/>
              </w:rPr>
            </w:pPr>
            <w:r w:rsidRPr="00CD5F12">
              <w:rPr>
                <w:rFonts w:eastAsia="Calibri"/>
                <w:noProof/>
                <w:sz w:val="20"/>
                <w:szCs w:val="20"/>
                <w:lang w:eastAsia="es-MX"/>
              </w:rPr>
              <w:drawing>
                <wp:inline distT="0" distB="0" distL="0" distR="0" wp14:anchorId="1D22E79A" wp14:editId="5F1BC1B4">
                  <wp:extent cx="5607050" cy="3092450"/>
                  <wp:effectExtent l="0" t="0" r="0" b="0"/>
                  <wp:docPr id="1677" name="Imagen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b="2600"/>
                          <a:stretch/>
                        </pic:blipFill>
                        <pic:spPr bwMode="auto">
                          <a:xfrm>
                            <a:off x="0" y="0"/>
                            <a:ext cx="5607050" cy="30924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D5F12" w:rsidRPr="00CD5F12" w14:paraId="6F9D09B2" w14:textId="77777777" w:rsidTr="00835D95">
        <w:tc>
          <w:tcPr>
            <w:tcW w:w="8978" w:type="dxa"/>
          </w:tcPr>
          <w:p w14:paraId="4CD20BB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Las cifras de 2014 corresponden a proyecciones.</w:t>
            </w:r>
          </w:p>
          <w:p w14:paraId="31178D86"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689DE75" w14:textId="77777777" w:rsidR="00CD5F12" w:rsidRPr="00CD5F12" w:rsidRDefault="00CD5F12" w:rsidP="00CD5F12">
      <w:pPr>
        <w:spacing w:after="360" w:line="360" w:lineRule="auto"/>
        <w:ind w:right="-159"/>
        <w:jc w:val="both"/>
        <w:rPr>
          <w:rFonts w:eastAsia="Calibri"/>
          <w:sz w:val="26"/>
          <w:szCs w:val="26"/>
          <w:lang w:eastAsia="en-US"/>
        </w:rPr>
      </w:pPr>
    </w:p>
    <w:p w14:paraId="222824D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En 2015 se estima que se producirá un repunte de la actividad económica regional y que el crecimiento del PIB será del 2.2%, como resultado de varios elementos. Por una parte, se espera una recuperación de la demanda interna y, en particular, de la formación bruta de capital fijo en varios países de América del Sur —después de la disminución que se observó en 2014—, impulsada por programas de inversión pública o fomentada por el sector público, en infraestructura. Por otra parte, se estima que tendrá lugar una aceleración del dinamismo de la economía en México y una aceleración o, en algunos casos, mantenimiento del ritmo de actividad en la mayoría de las economías de Centroamérica, gracias al aumento de la demanda externa proveniente de los Estados Unidos de Norteamérica, por la persistente expansión de las remesas de emigrantes y por un aumento del crecimiento del turismo, como resultado de un mayor dinamismo de varias economías desarrolladas que son fuente importante de turistas que visitan esta subregión.</w:t>
      </w:r>
    </w:p>
    <w:p w14:paraId="79193892"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 evolución de la actividad económica regional fue diferenciada a lo largo del año. La desaceleración del dinamismo se hizo más patente en el segundo trimestre, junto con la contracción de la inversión en varias economías de América del Sur y con una desaceleración generalizada del crecimiento del consumo. A partir del tercer trimestre, se produjo una incipiente recuperación de la actividad económica, que se mantuvo en el cuarto trimestre, pero que no fue suficiente para contrarrestar el bajo dinamismo de los trimestres anteriores ni para retomar el ritmo de crecimiento exhibido anteriormente (véase la gráfica siguiente).</w:t>
      </w:r>
    </w:p>
    <w:p w14:paraId="64C7E085" w14:textId="77777777" w:rsidR="001E7CBA" w:rsidRDefault="001E7CBA" w:rsidP="00CD5F12">
      <w:pPr>
        <w:spacing w:after="360" w:line="360" w:lineRule="auto"/>
        <w:ind w:right="-159"/>
        <w:jc w:val="both"/>
        <w:rPr>
          <w:rFonts w:eastAsia="Calibri"/>
          <w:sz w:val="26"/>
          <w:szCs w:val="26"/>
          <w:lang w:eastAsia="en-US"/>
        </w:rPr>
      </w:pPr>
    </w:p>
    <w:p w14:paraId="62FD336E" w14:textId="77777777" w:rsidR="001E7CBA" w:rsidRDefault="001E7CBA" w:rsidP="00CD5F12">
      <w:pPr>
        <w:spacing w:after="360" w:line="360" w:lineRule="auto"/>
        <w:ind w:right="-159"/>
        <w:jc w:val="both"/>
        <w:rPr>
          <w:rFonts w:eastAsia="Calibri"/>
          <w:sz w:val="26"/>
          <w:szCs w:val="26"/>
          <w:lang w:eastAsia="en-US"/>
        </w:rPr>
      </w:pPr>
    </w:p>
    <w:p w14:paraId="26AAF4B4" w14:textId="77777777" w:rsidR="001E7CBA" w:rsidRPr="00CD5F12" w:rsidRDefault="001E7CBA" w:rsidP="00CD5F12">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CD5F12" w:rsidRPr="00CD5F12" w14:paraId="6F7046B4" w14:textId="77777777" w:rsidTr="00835D95">
        <w:tc>
          <w:tcPr>
            <w:tcW w:w="8978" w:type="dxa"/>
          </w:tcPr>
          <w:p w14:paraId="579C204A"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TASA DE VARIACIÓN DEL PIB TRIMESTRAL RESPECTO DEL MISMO TRIMESTRE DEL AÑO ANTERIOR, 2007-2014</w:t>
            </w:r>
          </w:p>
          <w:p w14:paraId="1B8F9C6A"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sobre la base de dólares constantes de 2010-</w:t>
            </w:r>
          </w:p>
        </w:tc>
      </w:tr>
      <w:tr w:rsidR="00CD5F12" w:rsidRPr="00CD5F12" w14:paraId="000776ED" w14:textId="77777777" w:rsidTr="00835D95">
        <w:tc>
          <w:tcPr>
            <w:tcW w:w="8978" w:type="dxa"/>
          </w:tcPr>
          <w:p w14:paraId="41554A12"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46E31086" wp14:editId="0FFDC15F">
                  <wp:extent cx="5559336" cy="2808000"/>
                  <wp:effectExtent l="0" t="0" r="3810" b="0"/>
                  <wp:docPr id="1678" name="Imagen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59336" cy="2808000"/>
                          </a:xfrm>
                          <a:prstGeom prst="rect">
                            <a:avLst/>
                          </a:prstGeom>
                          <a:noFill/>
                          <a:ln>
                            <a:noFill/>
                          </a:ln>
                        </pic:spPr>
                      </pic:pic>
                    </a:graphicData>
                  </a:graphic>
                </wp:inline>
              </w:drawing>
            </w:r>
          </w:p>
        </w:tc>
      </w:tr>
      <w:tr w:rsidR="00CD5F12" w:rsidRPr="00CD5F12" w14:paraId="227CF040" w14:textId="77777777" w:rsidTr="00835D95">
        <w:tc>
          <w:tcPr>
            <w:tcW w:w="8978" w:type="dxa"/>
          </w:tcPr>
          <w:p w14:paraId="396A022B"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La cifra del cuarto trimestre corresponde a una estimación.</w:t>
            </w:r>
          </w:p>
          <w:p w14:paraId="32E1FB9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2E19836B" w14:textId="77777777" w:rsidR="00CD5F12" w:rsidRPr="00CD5F12" w:rsidRDefault="00CD5F12" w:rsidP="00CD5F12">
      <w:pPr>
        <w:spacing w:after="360" w:line="360" w:lineRule="auto"/>
        <w:ind w:right="-159"/>
        <w:jc w:val="both"/>
        <w:rPr>
          <w:rFonts w:eastAsia="Calibri"/>
          <w:sz w:val="26"/>
          <w:szCs w:val="26"/>
          <w:lang w:eastAsia="en-US"/>
        </w:rPr>
      </w:pPr>
    </w:p>
    <w:p w14:paraId="23D3743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Al bajo crecimiento regional contribuyó en gran medida la desaceleración del dinamismo del consumo privado, como resultado, por una parte, de la evolución de los mercados laborales, en los que se observó un estancamiento de la generación de empleo y una disminución del crecimiento de los sueldos en términos reales, debido al aumento de la inflación en la mayoría de los países, y por otra parte, de un menor dinamismo del crédito del sistema financiero. A esto se sumó la contracción de la formación bruta de capital fijo, que refleja el menor crecimiento y en el caso de algunos países, la contracción del sector de la construcción, además de la caída generalizada de la inversión en maquinaria y equipo.</w:t>
      </w:r>
    </w:p>
    <w:p w14:paraId="021F363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términos regionales, la formación bruta de capital fijo se contrajo a una tasa cercana al 3.5%. Pese al cuadro regional, existen diferencias entre los países. En Bolivia (Estado Plurinacional de), Colombia, Ecuador, Panamá y varias otras economías de Centroamérica, la formación bruta de capital fijo creció a tasas superiores al 5%, en tanto que en Argentina, Brasil, Chile, México y Venezuela (República Bolivariana de) </w:t>
      </w:r>
      <w:r w:rsidRPr="00CD5F12">
        <w:rPr>
          <w:rFonts w:eastAsia="Calibri"/>
          <w:sz w:val="26"/>
          <w:szCs w:val="26"/>
          <w:lang w:eastAsia="en-US"/>
        </w:rPr>
        <w:lastRenderedPageBreak/>
        <w:t xml:space="preserve">se observaron contracciones o tasas muy bajas de crecimiento. En Perú, la expansión de la formación bruta de capital fijo se desaceleró en forma significativa en comparación con el dinamismo que exhibió en los años anteriores, debido tanto a la caída de la inversión privada como a un crecimiento muy bajo de la inversión pública. Algunos factores que contribuyeron a la reducción de la formación bruta de capital fijo en la región son la estimación de una disminución en el futuro de la demanda externa de materias primas, en particular, metales y minerales, y el aumento de los costos operativos, que ha afectado a proyectos de inversión minera de mayor tamaño. A esto se suma la finalización de proyectos de inversión en los sectores de la minería y de la infraestructura, así como, en algunos casos, restricciones de financiamiento. </w:t>
      </w:r>
    </w:p>
    <w:p w14:paraId="027048C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 evolución de la formación bruta de capital fijo se tradujo en una disminución de la tasa de inversión regional. Medida como porcentaje del PIB sobre la base de dólares constantes de 2010, la tasa de inversión regional se redujo a un 19.2%, después de haberse mantenido estancada en torno al 20.5% entre 2011 y 2013, llegando incluso a un nivel inferior al de 2010 (19.8% del PIB).</w:t>
      </w:r>
    </w:p>
    <w:p w14:paraId="28A3ED5B"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Por su parte, en América Latina las exportaciones netas contribuyeron en forma positiva aunque leve al crecimiento, como resultado de la expansión de las exportaciones de bienes y servicios de alrededor de un 3.0% en términos reales, mayor que la registrada en 2013 (1.6%). La recuperación de las exportaciones fue más acentuada en México y algunas economías de Centroamérica, que se beneficiaron de la recuperación de la economía de los Estados Unidos de Norteamérica, así como de un repunte del turismo, que constituye una importante fuente de divisas para estos países. Asimismo, se observó un estancamiento de las importaciones de bienes y servicios, en términos reales, como reflejo de la disminución del dinamismo del consumo privado y de la contracción de la formación bruta de capital fijo (véase la gráfica siguiente).</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608D0B95" w14:textId="77777777" w:rsidTr="00835D95">
        <w:trPr>
          <w:jc w:val="center"/>
        </w:trPr>
        <w:tc>
          <w:tcPr>
            <w:tcW w:w="8978" w:type="dxa"/>
          </w:tcPr>
          <w:p w14:paraId="33D59359"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TASA DE VARIACIÓN DEL PIB Y CONTRIBUCIÓN AL CRECIMIENTO DEL PIB DE LOS COMPONENTES  DE LA DEMANDA INTERNA Y DE LAS EXPORTACIONES NETAS, 2002-2014</w:t>
            </w:r>
          </w:p>
          <w:p w14:paraId="2382809F"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y puntos porcentuales, sobre la base de dólares constantes de 2010-</w:t>
            </w:r>
          </w:p>
        </w:tc>
      </w:tr>
      <w:tr w:rsidR="00CD5F12" w:rsidRPr="00CD5F12" w14:paraId="565E426D" w14:textId="77777777" w:rsidTr="00835D95">
        <w:trPr>
          <w:jc w:val="center"/>
        </w:trPr>
        <w:tc>
          <w:tcPr>
            <w:tcW w:w="8978" w:type="dxa"/>
          </w:tcPr>
          <w:p w14:paraId="1E023955"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14F00114" wp14:editId="56660C25">
                  <wp:extent cx="5550286" cy="2772000"/>
                  <wp:effectExtent l="0" t="0" r="0" b="9525"/>
                  <wp:docPr id="1679" name="Imagen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50286" cy="2772000"/>
                          </a:xfrm>
                          <a:prstGeom prst="rect">
                            <a:avLst/>
                          </a:prstGeom>
                          <a:noFill/>
                          <a:ln>
                            <a:noFill/>
                          </a:ln>
                        </pic:spPr>
                      </pic:pic>
                    </a:graphicData>
                  </a:graphic>
                </wp:inline>
              </w:drawing>
            </w:r>
          </w:p>
        </w:tc>
      </w:tr>
      <w:tr w:rsidR="00CD5F12" w:rsidRPr="00CD5F12" w14:paraId="20DD9D21" w14:textId="77777777" w:rsidTr="00835D95">
        <w:trPr>
          <w:jc w:val="center"/>
        </w:trPr>
        <w:tc>
          <w:tcPr>
            <w:tcW w:w="8978" w:type="dxa"/>
          </w:tcPr>
          <w:p w14:paraId="7927338D"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Proyecciones.</w:t>
            </w:r>
          </w:p>
          <w:p w14:paraId="6FF18DE6"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70E1B61B" w14:textId="77777777" w:rsidR="00CD5F12" w:rsidRPr="00CD5F12" w:rsidRDefault="00CD5F12" w:rsidP="00CD5F12">
      <w:pPr>
        <w:spacing w:after="360" w:line="360" w:lineRule="auto"/>
        <w:ind w:right="-159"/>
        <w:jc w:val="both"/>
        <w:rPr>
          <w:rFonts w:eastAsia="Calibri"/>
          <w:sz w:val="26"/>
          <w:szCs w:val="26"/>
          <w:lang w:eastAsia="en-US"/>
        </w:rPr>
      </w:pPr>
    </w:p>
    <w:p w14:paraId="1E140FB7" w14:textId="209673CE"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cuanto al desempeño de los sectores de actividad económica, en 2014</w:t>
      </w:r>
      <w:r w:rsidR="00877DDF">
        <w:rPr>
          <w:rFonts w:eastAsia="Calibri"/>
          <w:sz w:val="26"/>
          <w:szCs w:val="26"/>
          <w:lang w:eastAsia="en-US"/>
        </w:rPr>
        <w:t>,</w:t>
      </w:r>
      <w:r w:rsidRPr="00CD5F12">
        <w:rPr>
          <w:rFonts w:eastAsia="Calibri"/>
          <w:sz w:val="26"/>
          <w:szCs w:val="26"/>
          <w:lang w:eastAsia="en-US"/>
        </w:rPr>
        <w:t xml:space="preserve"> la desaceleración de la expansión del consumo privado se reflejó en una disminución del dinamismo de la actividad del sector del comercio, hoteles y restaurantes, incluso a pesar de un crecimiento de las llegadas de turistas a la región mayor que el de 2013. El desempeño del sector agrícola fue heterogéneo entre los países: las condiciones climáticas afectaron los resultados de este sector en Argentina, Brasil y Nicaragua, a la vez que en Costa Rica, Paraguay y República Dominicana se observó un dinamismo bastante superior al promedio regional. </w:t>
      </w:r>
    </w:p>
    <w:p w14:paraId="02AB942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actividad del sector de la minería tuvo igualmente un comportamiento diferenciado en los distintos países: en Brasil, Ecuador, Guatemala y República Dominicana mostró un elevado crecimiento, como resultado del aumento de la producción petrolera, en los dos primeros casos, y de la entrada en operación de nuevos proyectos mineros, en los dos últimos, mientras que en Perú registró una leve caída, debido a la disminución de </w:t>
      </w:r>
      <w:r w:rsidRPr="00CD5F12">
        <w:rPr>
          <w:rFonts w:eastAsia="Calibri"/>
          <w:sz w:val="26"/>
          <w:szCs w:val="26"/>
          <w:lang w:eastAsia="en-US"/>
        </w:rPr>
        <w:lastRenderedPageBreak/>
        <w:t xml:space="preserve">la producción minera, que no fue compensada por el aumento de la producción de hidrocarburos. Asimismo, en México se registró una caída en el sector de la minería, debido a la disminución de la producción petrolera. A su vez, en Chile la actividad de este sector mostró un leve incremento, como resultado del alza de la producción de minerales de hierro y carbón de piedra. </w:t>
      </w:r>
    </w:p>
    <w:p w14:paraId="0B5F909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El desempeño de la industria manufacturera fue también modesto. La actividad de este sector se contrajo en varios países (Argentina, Brasil, Chile y Venezuela (República Bolivariana de)), al mismo tiempo que en México se registró un mayor dinamismo. En el sector de la construcción, no obstante las elevadas tasas de expansión que se registraron en Colombia, Panamá, Paraguay y República Dominicana, a nivel regional se produjo una leve contracción, que fue más intensa en algunas economías de América del Sur. En el sector de los servicios, se observaron tasas de crecimiento diferenciadas entre los países, en línea con la expansión de la actividad económica agregada. </w:t>
      </w:r>
    </w:p>
    <w:p w14:paraId="6C3B6E7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Pese a que los precios de muchos de los productos básicos que exportan los países de la región cayeron a lo largo de 2014, lo que afectó negativamente los términos de intercambio, los países importadores netos de alimentos y los importadores de combustibles se beneficiaron de este comportamiento de los precios internacionales. La combinación de ambos elementos se tradujo en que la ganancia derivada de la variación de los términos de intercambio registrada en el año se mantuviera positiva, aunque muy inferior a los registros de los tres años anteriores.</w:t>
      </w:r>
    </w:p>
    <w:p w14:paraId="3F0A9CA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A lo largo del año se observó igualmente una leve disminución de los pagos netos al exterior, como consecuencia de la baja de las remesas de utilidades y dividendos de las empresas no residentes y del aumento de las transferencias corrientes, debido a la recuperación de las remesas de emigrantes en México y a su aumento sostenido en varios países de Centroamérica. Como resultado, el ingreso nacional bruto disponible </w:t>
      </w:r>
      <w:r w:rsidRPr="00CD5F12">
        <w:rPr>
          <w:rFonts w:eastAsia="Calibri"/>
          <w:sz w:val="26"/>
          <w:szCs w:val="26"/>
          <w:lang w:eastAsia="en-US"/>
        </w:rPr>
        <w:lastRenderedPageBreak/>
        <w:t>mantuvo una tendencia al alza (0.8%), aunque a un menor ritmo que el anotado por el PIB (véase la gráfica siguiente).</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05971B0D" w14:textId="77777777" w:rsidTr="00835D95">
        <w:trPr>
          <w:jc w:val="center"/>
        </w:trPr>
        <w:tc>
          <w:tcPr>
            <w:tcW w:w="8978" w:type="dxa"/>
          </w:tcPr>
          <w:p w14:paraId="15276DFC"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TASAS DE VARIACIÓN ANUAL DEL PIB Y DEL INGRESO NACIONAL BRUTO DISPONIBLE, 2003-2014</w:t>
            </w:r>
          </w:p>
          <w:p w14:paraId="24B31771"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sobre la base de dólares constantes de 2010-</w:t>
            </w:r>
          </w:p>
        </w:tc>
      </w:tr>
      <w:tr w:rsidR="00CD5F12" w:rsidRPr="00CD5F12" w14:paraId="35A63FCB" w14:textId="77777777" w:rsidTr="00835D95">
        <w:trPr>
          <w:jc w:val="center"/>
        </w:trPr>
        <w:tc>
          <w:tcPr>
            <w:tcW w:w="8978" w:type="dxa"/>
          </w:tcPr>
          <w:p w14:paraId="10F582C3"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3ECC3E8" wp14:editId="4D24544D">
                  <wp:extent cx="5607050" cy="1727200"/>
                  <wp:effectExtent l="0" t="0" r="0" b="6350"/>
                  <wp:docPr id="1680" name="Imagen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607050" cy="1727200"/>
                          </a:xfrm>
                          <a:prstGeom prst="rect">
                            <a:avLst/>
                          </a:prstGeom>
                          <a:noFill/>
                          <a:ln>
                            <a:noFill/>
                          </a:ln>
                        </pic:spPr>
                      </pic:pic>
                    </a:graphicData>
                  </a:graphic>
                </wp:inline>
              </w:drawing>
            </w:r>
          </w:p>
        </w:tc>
      </w:tr>
      <w:tr w:rsidR="00CD5F12" w:rsidRPr="00CD5F12" w14:paraId="4086124C" w14:textId="77777777" w:rsidTr="00835D95">
        <w:trPr>
          <w:jc w:val="center"/>
        </w:trPr>
        <w:tc>
          <w:tcPr>
            <w:tcW w:w="8978" w:type="dxa"/>
          </w:tcPr>
          <w:p w14:paraId="45EA1720" w14:textId="77777777" w:rsidR="00CD5F12" w:rsidRPr="00CD5F12" w:rsidRDefault="00CD5F12" w:rsidP="00CD5F12">
            <w:pPr>
              <w:ind w:left="907" w:hanging="907"/>
              <w:jc w:val="both"/>
              <w:rPr>
                <w:rFonts w:eastAsia="Calibri"/>
                <w:sz w:val="20"/>
                <w:szCs w:val="20"/>
                <w:lang w:eastAsia="en-US"/>
              </w:rPr>
            </w:pPr>
            <w:r w:rsidRPr="00CD5F12">
              <w:rPr>
                <w:rFonts w:eastAsia="Calibri"/>
                <w:noProof/>
                <w:sz w:val="20"/>
                <w:szCs w:val="20"/>
                <w:lang w:eastAsia="es-MX"/>
              </w:rPr>
              <w:drawing>
                <wp:inline distT="0" distB="0" distL="0" distR="0" wp14:anchorId="05C2F095" wp14:editId="2294391B">
                  <wp:extent cx="5607050" cy="1708150"/>
                  <wp:effectExtent l="0" t="0" r="0" b="6350"/>
                  <wp:docPr id="1681" name="Imagen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607050" cy="1708150"/>
                          </a:xfrm>
                          <a:prstGeom prst="rect">
                            <a:avLst/>
                          </a:prstGeom>
                          <a:noFill/>
                          <a:ln>
                            <a:noFill/>
                          </a:ln>
                        </pic:spPr>
                      </pic:pic>
                    </a:graphicData>
                  </a:graphic>
                </wp:inline>
              </w:drawing>
            </w:r>
          </w:p>
        </w:tc>
      </w:tr>
      <w:tr w:rsidR="00CD5F12" w:rsidRPr="00CD5F12" w14:paraId="1EA2374A" w14:textId="77777777" w:rsidTr="00835D95">
        <w:trPr>
          <w:jc w:val="center"/>
        </w:trPr>
        <w:tc>
          <w:tcPr>
            <w:tcW w:w="8978" w:type="dxa"/>
          </w:tcPr>
          <w:p w14:paraId="7278C81F" w14:textId="77777777" w:rsidR="00CD5F12" w:rsidRPr="00CD5F12" w:rsidRDefault="00CD5F12" w:rsidP="00CD5F12">
            <w:pPr>
              <w:ind w:left="907" w:hanging="907"/>
              <w:jc w:val="center"/>
              <w:rPr>
                <w:rFonts w:eastAsia="Calibri"/>
                <w:sz w:val="20"/>
                <w:szCs w:val="20"/>
                <w:lang w:eastAsia="en-US"/>
              </w:rPr>
            </w:pPr>
            <w:r w:rsidRPr="00CD5F12">
              <w:rPr>
                <w:rFonts w:eastAsia="Calibri"/>
                <w:noProof/>
                <w:sz w:val="20"/>
                <w:szCs w:val="20"/>
                <w:lang w:eastAsia="es-MX"/>
              </w:rPr>
              <w:drawing>
                <wp:inline distT="0" distB="0" distL="0" distR="0" wp14:anchorId="2B5F8465" wp14:editId="0A66EA64">
                  <wp:extent cx="3016371" cy="2340000"/>
                  <wp:effectExtent l="0" t="0" r="0" b="3175"/>
                  <wp:docPr id="1682" name="Imagen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6371" cy="2340000"/>
                          </a:xfrm>
                          <a:prstGeom prst="rect">
                            <a:avLst/>
                          </a:prstGeom>
                          <a:noFill/>
                          <a:ln>
                            <a:noFill/>
                          </a:ln>
                        </pic:spPr>
                      </pic:pic>
                    </a:graphicData>
                  </a:graphic>
                </wp:inline>
              </w:drawing>
            </w:r>
          </w:p>
        </w:tc>
      </w:tr>
      <w:tr w:rsidR="00CD5F12" w:rsidRPr="00CD5F12" w14:paraId="46FC64CC" w14:textId="77777777" w:rsidTr="00835D95">
        <w:trPr>
          <w:jc w:val="center"/>
        </w:trPr>
        <w:tc>
          <w:tcPr>
            <w:tcW w:w="8978" w:type="dxa"/>
          </w:tcPr>
          <w:p w14:paraId="502FC64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Proyecciones.</w:t>
            </w:r>
          </w:p>
          <w:p w14:paraId="53D5AA8A"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5BB3B8D4" w14:textId="77777777" w:rsidR="00CD5F12" w:rsidRPr="00CD5F12" w:rsidRDefault="00CD5F12" w:rsidP="00CD5F12">
      <w:pPr>
        <w:spacing w:after="360" w:line="360" w:lineRule="auto"/>
        <w:ind w:right="-159"/>
        <w:jc w:val="both"/>
        <w:rPr>
          <w:rFonts w:eastAsia="Calibri"/>
          <w:sz w:val="26"/>
          <w:szCs w:val="26"/>
          <w:lang w:eastAsia="en-US"/>
        </w:rPr>
      </w:pPr>
    </w:p>
    <w:p w14:paraId="18C68B3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La baja del crecimiento del ingreso nacional bruto disponible redundó en una disminución del dinamismo del ahorro nacional en América Latina que, medido como porcentaje del PIB, mostró una reducción en comparación con 2013. Sobre la base de dólares corrientes, el ahorro nacional bruto de la subregión alcanzó el 17.1% del PIB (frente al 18.1% del PIB en 2013), una cifra significativamente inferior al 22% logrado en 2008. Por su parte, el ahorro externo también anotó una baja (del 2.6% del PIB en 2013 al 2.4% del PIB en 2014). En consecuencia, la inversión interna bruta en América Latina disminuyó en 2014 un punto porcentual, desde el 20.7% del PIB en 2013 hasta el 19.5% del PIB en 2014 (véase la gráfica siguiente).</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0FB752A" w14:textId="77777777" w:rsidTr="001E7CBA">
        <w:trPr>
          <w:jc w:val="center"/>
        </w:trPr>
        <w:tc>
          <w:tcPr>
            <w:tcW w:w="8840" w:type="dxa"/>
          </w:tcPr>
          <w:p w14:paraId="6199BDA5"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FINANCIAMIENTO DE LA INVERSIÓN INTERNA BRUTA, 1990-2014</w:t>
            </w:r>
          </w:p>
          <w:p w14:paraId="620D3D74"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 sobre la base de dólares corrientes-</w:t>
            </w:r>
          </w:p>
        </w:tc>
      </w:tr>
      <w:tr w:rsidR="00CD5F12" w:rsidRPr="00CD5F12" w14:paraId="2E727D55" w14:textId="77777777" w:rsidTr="001E7CBA">
        <w:trPr>
          <w:jc w:val="center"/>
        </w:trPr>
        <w:tc>
          <w:tcPr>
            <w:tcW w:w="8840" w:type="dxa"/>
          </w:tcPr>
          <w:p w14:paraId="39CAA6EC"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93AADAF" wp14:editId="4B25E49F">
                  <wp:extent cx="5607050" cy="2876550"/>
                  <wp:effectExtent l="0" t="0" r="0" b="0"/>
                  <wp:docPr id="1683" name="Imagen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607050" cy="2876550"/>
                          </a:xfrm>
                          <a:prstGeom prst="rect">
                            <a:avLst/>
                          </a:prstGeom>
                          <a:noFill/>
                          <a:ln>
                            <a:noFill/>
                          </a:ln>
                        </pic:spPr>
                      </pic:pic>
                    </a:graphicData>
                  </a:graphic>
                </wp:inline>
              </w:drawing>
            </w:r>
          </w:p>
        </w:tc>
      </w:tr>
      <w:tr w:rsidR="00CD5F12" w:rsidRPr="00CD5F12" w14:paraId="4823393E" w14:textId="77777777" w:rsidTr="001E7CBA">
        <w:trPr>
          <w:jc w:val="center"/>
        </w:trPr>
        <w:tc>
          <w:tcPr>
            <w:tcW w:w="8840" w:type="dxa"/>
          </w:tcPr>
          <w:p w14:paraId="793EF84C"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Proyecciones.</w:t>
            </w:r>
          </w:p>
          <w:p w14:paraId="7FC87451"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0A57D612" w14:textId="77777777" w:rsidR="00CD5F12" w:rsidRDefault="00CD5F12" w:rsidP="00CD5F12">
      <w:pPr>
        <w:spacing w:after="360" w:line="360" w:lineRule="auto"/>
        <w:ind w:right="-159"/>
        <w:jc w:val="both"/>
        <w:rPr>
          <w:rFonts w:eastAsia="Calibri"/>
          <w:sz w:val="26"/>
          <w:szCs w:val="26"/>
          <w:lang w:eastAsia="en-US"/>
        </w:rPr>
      </w:pPr>
    </w:p>
    <w:p w14:paraId="077A6CE5" w14:textId="77777777" w:rsidR="001E7CBA" w:rsidRDefault="001E7CBA" w:rsidP="00CD5F12">
      <w:pPr>
        <w:spacing w:after="360" w:line="360" w:lineRule="auto"/>
        <w:ind w:right="-159"/>
        <w:jc w:val="both"/>
        <w:rPr>
          <w:rFonts w:eastAsia="Calibri"/>
          <w:sz w:val="26"/>
          <w:szCs w:val="26"/>
          <w:lang w:eastAsia="en-US"/>
        </w:rPr>
      </w:pPr>
    </w:p>
    <w:p w14:paraId="7EB035F3" w14:textId="77777777" w:rsidR="001E7CBA" w:rsidRDefault="001E7CBA" w:rsidP="00CD5F12">
      <w:pPr>
        <w:spacing w:after="360" w:line="360" w:lineRule="auto"/>
        <w:ind w:right="-159"/>
        <w:jc w:val="both"/>
        <w:rPr>
          <w:rFonts w:eastAsia="Calibri"/>
          <w:sz w:val="26"/>
          <w:szCs w:val="26"/>
          <w:lang w:eastAsia="en-US"/>
        </w:rPr>
      </w:pPr>
    </w:p>
    <w:p w14:paraId="4912A449" w14:textId="77777777" w:rsidR="001E7CBA" w:rsidRPr="00CD5F12" w:rsidRDefault="001E7CBA" w:rsidP="00CD5F12">
      <w:pPr>
        <w:spacing w:after="360" w:line="360" w:lineRule="auto"/>
        <w:ind w:right="-159"/>
        <w:jc w:val="both"/>
        <w:rPr>
          <w:rFonts w:eastAsia="Calibri"/>
          <w:sz w:val="26"/>
          <w:szCs w:val="26"/>
          <w:lang w:eastAsia="en-US"/>
        </w:rPr>
      </w:pPr>
    </w:p>
    <w:p w14:paraId="66BC1C25"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lastRenderedPageBreak/>
        <w:t>Capítulo III: Los precios internos</w:t>
      </w:r>
    </w:p>
    <w:p w14:paraId="5990ACB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América Latina y el Caribe, la inflación acumulada en 12 meses a octubre de 2014 fue de un 9.3%</w:t>
      </w:r>
      <w:r w:rsidRPr="00CD5F12">
        <w:rPr>
          <w:rFonts w:eastAsia="Calibri"/>
          <w:sz w:val="26"/>
          <w:szCs w:val="26"/>
          <w:vertAlign w:val="superscript"/>
          <w:lang w:eastAsia="en-US"/>
        </w:rPr>
        <w:footnoteReference w:id="16"/>
      </w:r>
      <w:r w:rsidRPr="00CD5F12">
        <w:rPr>
          <w:rFonts w:eastAsia="Calibri"/>
          <w:sz w:val="26"/>
          <w:szCs w:val="26"/>
          <w:lang w:eastAsia="en-US"/>
        </w:rPr>
        <w:t xml:space="preserve">, frente a un 7.6% registrado en diciembre de 2013. A pesar de que en la mayoría de los países de la región se produjo un aumento de la inflación en comparación con el resultado de 2013, se verifican significativas diferencias entre países. Al resultado regional contribuyó en gran medida la sostenida alza de la inflación oficial en Argentina y la elevada tasa de inflación al consumidor anotada en la República Bolivariana de Venezuela. En este último país, la inflación acumulada fue de un 39% en los primeros ocho meses del año, con relación a diciembre de 2013, mientras que en Argentina la inflación acumulada fue de un 21.3% en los primeros diez meses del año. En la República Bolivariana de Venezuela, el sostenido incremento de los precios al consumidor se debe al aumento de la escasez de productos, así como al impacto de la depreciación del bolívar en los precios internos y al fuerte crecimiento de los agregados monetarios. En Argentina, se inició en 2014 la publicación del nuevo índice de precios al consumidor nacional urbano —en sustitución del índice de precios al consumidor del Gran Buenos Aires— y se verificó un aumento de las tasas de inflación al consumidor. </w:t>
      </w:r>
    </w:p>
    <w:p w14:paraId="1E3E597F" w14:textId="46E55B56"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Las tasas de inflación en 12 meses fueron en Uruguay del 8.1%, a octubre de 2014, y en Jamaica y Trinidad y Tobago del 9.0 y el 7.8%, respectivamente, a septiembre de 2014. Las menores tasas de inflación al consumidor se registraron en El Salvador (1.9%), las Bahamas (1.0%), Belice (0.7%) y algunas economías de la Unión Monetaria del Caribe Oriental. Por subregiones, en América del Sur se registró la tasa de inflación promedio más elevada, de alrededor del 12%, mientras que en Centroamérica y México se verificaron tasas de inflación menores. En varias economías del Caribe se produjo </w:t>
      </w:r>
      <w:r w:rsidRPr="00CD5F12">
        <w:rPr>
          <w:rFonts w:eastAsia="Calibri"/>
          <w:sz w:val="26"/>
          <w:szCs w:val="26"/>
          <w:lang w:eastAsia="en-US"/>
        </w:rPr>
        <w:lastRenderedPageBreak/>
        <w:t>igualmente un aumento de la inflación con relación a diciembre de 2013</w:t>
      </w:r>
      <w:r w:rsidR="00877DDF">
        <w:rPr>
          <w:rFonts w:eastAsia="Calibri"/>
          <w:sz w:val="26"/>
          <w:szCs w:val="26"/>
          <w:lang w:eastAsia="en-US"/>
        </w:rPr>
        <w:t xml:space="preserve"> </w:t>
      </w:r>
      <w:r w:rsidRPr="00CD5F12">
        <w:rPr>
          <w:rFonts w:eastAsia="Calibri"/>
          <w:sz w:val="26"/>
          <w:szCs w:val="26"/>
          <w:lang w:eastAsia="en-US"/>
        </w:rPr>
        <w:t xml:space="preserve">(véase la gráfica siguiente). </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70C2CB87" w14:textId="77777777" w:rsidTr="00835D95">
        <w:trPr>
          <w:jc w:val="center"/>
        </w:trPr>
        <w:tc>
          <w:tcPr>
            <w:tcW w:w="8978" w:type="dxa"/>
          </w:tcPr>
          <w:p w14:paraId="58FC2A63"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TASA DE VARIACIÓN EN 12 MESES DEL ÍNDICE DE PRECIOS AL CONSUMIDOR, ENERO DE 2010-OCTUBRE DE 2014</w:t>
            </w:r>
          </w:p>
          <w:p w14:paraId="5CF2FC38"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330E70CF" w14:textId="77777777" w:rsidTr="00835D95">
        <w:trPr>
          <w:jc w:val="center"/>
        </w:trPr>
        <w:tc>
          <w:tcPr>
            <w:tcW w:w="8978" w:type="dxa"/>
          </w:tcPr>
          <w:p w14:paraId="7C06FC6A"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07C07DA2" wp14:editId="7EA06978">
                  <wp:extent cx="5548593" cy="2736000"/>
                  <wp:effectExtent l="0" t="0" r="0" b="7620"/>
                  <wp:docPr id="1684" name="Imagen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548593" cy="2736000"/>
                          </a:xfrm>
                          <a:prstGeom prst="rect">
                            <a:avLst/>
                          </a:prstGeom>
                        </pic:spPr>
                      </pic:pic>
                    </a:graphicData>
                  </a:graphic>
                </wp:inline>
              </w:drawing>
            </w:r>
          </w:p>
        </w:tc>
      </w:tr>
      <w:tr w:rsidR="00CD5F12" w:rsidRPr="00CD5F12" w14:paraId="4B664C95" w14:textId="77777777" w:rsidTr="00835D95">
        <w:trPr>
          <w:jc w:val="center"/>
        </w:trPr>
        <w:tc>
          <w:tcPr>
            <w:tcW w:w="8978" w:type="dxa"/>
          </w:tcPr>
          <w:p w14:paraId="4C0A8A3E"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2E94C4B9" w14:textId="77777777" w:rsidR="00CD5F12" w:rsidRPr="00CD5F12" w:rsidRDefault="00CD5F12" w:rsidP="00CD5F12">
      <w:pPr>
        <w:spacing w:after="360" w:line="360" w:lineRule="auto"/>
        <w:ind w:right="-159"/>
        <w:jc w:val="both"/>
        <w:rPr>
          <w:rFonts w:eastAsia="Calibri"/>
          <w:sz w:val="26"/>
          <w:szCs w:val="26"/>
          <w:lang w:eastAsia="en-US"/>
        </w:rPr>
      </w:pPr>
    </w:p>
    <w:p w14:paraId="1C4BC9D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aumento de la inflación regional obedeció al incremento tanto de la inflación de los alimentos como de la inflación subyacente. Los precios de los alimentos mostraron un repunte notorio a partir de mayo de 2014 y, excepto en Argentina, Barbados, Belice, Bolivia (Estado Plurinacional de), Costa Rica, Haití, Panamá, Paraguay y Santa Lucía, aumentaron más que la inflación general. Por su parte, la inflación subyacente</w:t>
      </w:r>
      <w:r w:rsidRPr="00CD5F12">
        <w:rPr>
          <w:rFonts w:eastAsia="Calibri"/>
          <w:sz w:val="26"/>
          <w:szCs w:val="26"/>
          <w:vertAlign w:val="superscript"/>
          <w:lang w:eastAsia="en-US"/>
        </w:rPr>
        <w:footnoteReference w:id="17"/>
      </w:r>
      <w:r w:rsidRPr="00CD5F12">
        <w:rPr>
          <w:rFonts w:eastAsia="Calibri"/>
          <w:sz w:val="26"/>
          <w:szCs w:val="26"/>
          <w:lang w:eastAsia="en-US"/>
        </w:rPr>
        <w:t xml:space="preserve"> presentó durante la primera mitad del año una aceleración en la mayoría de los países. En términos de promedio regional, el precio de los alimentos aumentó un 11.8% en              12 meses a octubre de 2014 (frente a un 9.3% acumulado en 12 meses a diciembre de 2013 y un 8.3% acumulado en 2012), mientras que la inflación subyacente aumentó </w:t>
      </w:r>
      <w:r w:rsidRPr="00CD5F12">
        <w:rPr>
          <w:rFonts w:eastAsia="Calibri"/>
          <w:sz w:val="26"/>
          <w:szCs w:val="26"/>
          <w:lang w:eastAsia="en-US"/>
        </w:rPr>
        <w:lastRenderedPageBreak/>
        <w:t>hasta un 9.1% en 12 meses a octubre de 2014, desde un 7.0% en 12 meses a diciembre de 2013 y un 5.1% acumulado en 2012 (véase la gráfica siguiente).</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0151657" w14:textId="77777777" w:rsidTr="00835D95">
        <w:trPr>
          <w:jc w:val="center"/>
        </w:trPr>
        <w:tc>
          <w:tcPr>
            <w:tcW w:w="8978" w:type="dxa"/>
          </w:tcPr>
          <w:p w14:paraId="228A444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TASAS ACUMULADAS EN 12 MESES DE INFLACIÓN AL CONSUMIDOR, INFLACIÓN DE LOS ALIMENTOS E INFLACIÓN SUBYACENTE, ENERO DE 2007-OCTUBRE DE 2014</w:t>
            </w:r>
          </w:p>
          <w:p w14:paraId="2D68FF4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029FB6A8" w14:textId="77777777" w:rsidTr="00835D95">
        <w:trPr>
          <w:jc w:val="center"/>
        </w:trPr>
        <w:tc>
          <w:tcPr>
            <w:tcW w:w="8978" w:type="dxa"/>
          </w:tcPr>
          <w:p w14:paraId="3406C426"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6AFB1495" wp14:editId="3D5178DD">
                  <wp:extent cx="5526491" cy="2772000"/>
                  <wp:effectExtent l="0" t="0" r="0" b="9525"/>
                  <wp:docPr id="1685" name="Imagen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526491" cy="2772000"/>
                          </a:xfrm>
                          <a:prstGeom prst="rect">
                            <a:avLst/>
                          </a:prstGeom>
                        </pic:spPr>
                      </pic:pic>
                    </a:graphicData>
                  </a:graphic>
                </wp:inline>
              </w:drawing>
            </w:r>
          </w:p>
        </w:tc>
      </w:tr>
      <w:tr w:rsidR="00CD5F12" w:rsidRPr="00CD5F12" w14:paraId="59D8338C" w14:textId="77777777" w:rsidTr="00835D95">
        <w:trPr>
          <w:jc w:val="center"/>
        </w:trPr>
        <w:tc>
          <w:tcPr>
            <w:tcW w:w="8978" w:type="dxa"/>
          </w:tcPr>
          <w:p w14:paraId="442EFE2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563E607E" w14:textId="77777777" w:rsidR="00CD5F12" w:rsidRDefault="00CD5F12" w:rsidP="00CD5F12">
      <w:pPr>
        <w:spacing w:after="360" w:line="360" w:lineRule="auto"/>
        <w:ind w:right="-159"/>
        <w:jc w:val="both"/>
        <w:rPr>
          <w:rFonts w:eastAsia="Calibri"/>
          <w:sz w:val="26"/>
          <w:szCs w:val="26"/>
          <w:lang w:eastAsia="en-US"/>
        </w:rPr>
      </w:pPr>
    </w:p>
    <w:p w14:paraId="6B356BD8" w14:textId="77777777" w:rsidR="001E7CBA" w:rsidRDefault="001E7CBA" w:rsidP="00CD5F12">
      <w:pPr>
        <w:spacing w:after="360" w:line="360" w:lineRule="auto"/>
        <w:ind w:right="-159"/>
        <w:jc w:val="both"/>
        <w:rPr>
          <w:rFonts w:eastAsia="Calibri"/>
          <w:sz w:val="26"/>
          <w:szCs w:val="26"/>
          <w:lang w:eastAsia="en-US"/>
        </w:rPr>
      </w:pPr>
    </w:p>
    <w:p w14:paraId="7B7729D0" w14:textId="77777777" w:rsidR="001E7CBA" w:rsidRDefault="001E7CBA" w:rsidP="00CD5F12">
      <w:pPr>
        <w:spacing w:after="360" w:line="360" w:lineRule="auto"/>
        <w:ind w:right="-159"/>
        <w:jc w:val="both"/>
        <w:rPr>
          <w:rFonts w:eastAsia="Calibri"/>
          <w:sz w:val="26"/>
          <w:szCs w:val="26"/>
          <w:lang w:eastAsia="en-US"/>
        </w:rPr>
      </w:pPr>
    </w:p>
    <w:p w14:paraId="258C0394" w14:textId="77777777" w:rsidR="001E7CBA" w:rsidRDefault="001E7CBA" w:rsidP="00CD5F12">
      <w:pPr>
        <w:spacing w:after="360" w:line="360" w:lineRule="auto"/>
        <w:ind w:right="-159"/>
        <w:jc w:val="both"/>
        <w:rPr>
          <w:rFonts w:eastAsia="Calibri"/>
          <w:sz w:val="26"/>
          <w:szCs w:val="26"/>
          <w:lang w:eastAsia="en-US"/>
        </w:rPr>
      </w:pPr>
    </w:p>
    <w:p w14:paraId="077217B7" w14:textId="77777777" w:rsidR="001E7CBA" w:rsidRDefault="001E7CBA" w:rsidP="00CD5F12">
      <w:pPr>
        <w:spacing w:after="360" w:line="360" w:lineRule="auto"/>
        <w:ind w:right="-159"/>
        <w:jc w:val="both"/>
        <w:rPr>
          <w:rFonts w:eastAsia="Calibri"/>
          <w:sz w:val="26"/>
          <w:szCs w:val="26"/>
          <w:lang w:eastAsia="en-US"/>
        </w:rPr>
      </w:pPr>
    </w:p>
    <w:p w14:paraId="3F047DE1" w14:textId="77777777" w:rsidR="001E7CBA" w:rsidRDefault="001E7CBA" w:rsidP="00CD5F12">
      <w:pPr>
        <w:spacing w:after="360" w:line="360" w:lineRule="auto"/>
        <w:ind w:right="-159"/>
        <w:jc w:val="both"/>
        <w:rPr>
          <w:rFonts w:eastAsia="Calibri"/>
          <w:sz w:val="26"/>
          <w:szCs w:val="26"/>
          <w:lang w:eastAsia="en-US"/>
        </w:rPr>
      </w:pPr>
    </w:p>
    <w:p w14:paraId="2A5DF5A2" w14:textId="77777777" w:rsidR="001E7CBA" w:rsidRPr="00CD5F12" w:rsidRDefault="001E7CBA" w:rsidP="00CD5F12">
      <w:pPr>
        <w:spacing w:after="360" w:line="360" w:lineRule="auto"/>
        <w:ind w:right="-159"/>
        <w:jc w:val="both"/>
        <w:rPr>
          <w:rFonts w:eastAsia="Calibri"/>
          <w:sz w:val="26"/>
          <w:szCs w:val="26"/>
          <w:lang w:eastAsia="en-US"/>
        </w:rPr>
      </w:pPr>
    </w:p>
    <w:tbl>
      <w:tblPr>
        <w:tblW w:w="8080" w:type="dxa"/>
        <w:jc w:val="center"/>
        <w:tblBorders>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5"/>
        <w:gridCol w:w="1187"/>
        <w:gridCol w:w="1223"/>
        <w:gridCol w:w="1276"/>
        <w:gridCol w:w="1229"/>
      </w:tblGrid>
      <w:tr w:rsidR="00CD5F12" w:rsidRPr="00CD5F12" w14:paraId="08A5EB14" w14:textId="77777777" w:rsidTr="00835D95">
        <w:trPr>
          <w:jc w:val="center"/>
        </w:trPr>
        <w:tc>
          <w:tcPr>
            <w:tcW w:w="8080" w:type="dxa"/>
            <w:gridSpan w:val="5"/>
            <w:tcBorders>
              <w:top w:val="nil"/>
              <w:left w:val="nil"/>
              <w:bottom w:val="single" w:sz="4" w:space="0" w:color="auto"/>
              <w:right w:val="nil"/>
            </w:tcBorders>
            <w:vAlign w:val="center"/>
          </w:tcPr>
          <w:p w14:paraId="3208AB6C" w14:textId="67EDC03E" w:rsidR="00CD5F12" w:rsidRPr="00CD5F12" w:rsidRDefault="00CD5F12" w:rsidP="00CD5F12">
            <w:pPr>
              <w:jc w:val="center"/>
              <w:rPr>
                <w:rFonts w:eastAsia="Times New Roman"/>
                <w:b/>
                <w:sz w:val="18"/>
                <w:szCs w:val="18"/>
                <w:lang w:val="es-ES"/>
              </w:rPr>
            </w:pPr>
            <w:r w:rsidRPr="00CD5F12">
              <w:rPr>
                <w:rFonts w:eastAsia="Times New Roman"/>
                <w:b/>
                <w:sz w:val="18"/>
                <w:szCs w:val="18"/>
                <w:lang w:val="es-ES"/>
              </w:rPr>
              <w:lastRenderedPageBreak/>
              <w:t>AMÉRICA LATINA Y EL CARIBE: TASA DE VARIACIÓN ACUMULADA EN 12 MESES DEL ÍNDICE DE PRECIOS AL CONSUMIDOR GENERAL Y DEL ÍNDICE DE PRECIOS AL CONSUMIDOR DE LOS ALIMENTOS Y BEBIDAS, 2013-2014</w:t>
            </w:r>
          </w:p>
          <w:p w14:paraId="11A52C6C" w14:textId="77777777" w:rsidR="00CD5F12" w:rsidRPr="00CD5F12" w:rsidRDefault="00CD5F12" w:rsidP="00CD5F12">
            <w:pPr>
              <w:jc w:val="center"/>
              <w:rPr>
                <w:rFonts w:eastAsia="Times New Roman"/>
                <w:b/>
                <w:sz w:val="18"/>
                <w:szCs w:val="18"/>
                <w:lang w:val="es-ES"/>
              </w:rPr>
            </w:pPr>
            <w:r w:rsidRPr="00CD5F12">
              <w:rPr>
                <w:rFonts w:eastAsia="Times New Roman"/>
                <w:b/>
                <w:sz w:val="18"/>
                <w:szCs w:val="18"/>
                <w:lang w:val="es-ES"/>
              </w:rPr>
              <w:t>-En porcentajes-</w:t>
            </w:r>
          </w:p>
        </w:tc>
      </w:tr>
      <w:tr w:rsidR="00CD5F12" w:rsidRPr="00CD5F12" w14:paraId="73C52B2A" w14:textId="77777777" w:rsidTr="00835D95">
        <w:trPr>
          <w:jc w:val="center"/>
        </w:trPr>
        <w:tc>
          <w:tcPr>
            <w:tcW w:w="3165" w:type="dxa"/>
            <w:vMerge w:val="restart"/>
            <w:tcBorders>
              <w:top w:val="single" w:sz="4" w:space="0" w:color="auto"/>
            </w:tcBorders>
            <w:vAlign w:val="center"/>
          </w:tcPr>
          <w:p w14:paraId="60380873"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País</w:t>
            </w:r>
          </w:p>
        </w:tc>
        <w:tc>
          <w:tcPr>
            <w:tcW w:w="2410" w:type="dxa"/>
            <w:gridSpan w:val="2"/>
            <w:tcBorders>
              <w:top w:val="single" w:sz="4" w:space="0" w:color="auto"/>
            </w:tcBorders>
            <w:vAlign w:val="center"/>
          </w:tcPr>
          <w:p w14:paraId="60A907BB"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Inflación acumulada en 12 meses a diciembre de 2013</w:t>
            </w:r>
          </w:p>
        </w:tc>
        <w:tc>
          <w:tcPr>
            <w:tcW w:w="2505" w:type="dxa"/>
            <w:gridSpan w:val="2"/>
            <w:tcBorders>
              <w:top w:val="single" w:sz="4" w:space="0" w:color="auto"/>
            </w:tcBorders>
            <w:vAlign w:val="center"/>
          </w:tcPr>
          <w:p w14:paraId="4F9A769C"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Inflación acumulada en 12 meses a octubre de 2014</w:t>
            </w:r>
          </w:p>
        </w:tc>
      </w:tr>
      <w:tr w:rsidR="00CD5F12" w:rsidRPr="00CD5F12" w14:paraId="7F27EB24" w14:textId="77777777" w:rsidTr="00835D95">
        <w:trPr>
          <w:jc w:val="center"/>
        </w:trPr>
        <w:tc>
          <w:tcPr>
            <w:tcW w:w="3165" w:type="dxa"/>
            <w:vMerge/>
            <w:vAlign w:val="center"/>
          </w:tcPr>
          <w:p w14:paraId="6E15EB0F" w14:textId="77777777" w:rsidR="00CD5F12" w:rsidRPr="00CD5F12" w:rsidRDefault="00CD5F12" w:rsidP="00CD5F12">
            <w:pPr>
              <w:jc w:val="center"/>
              <w:rPr>
                <w:rFonts w:eastAsia="Times New Roman"/>
                <w:b/>
                <w:sz w:val="16"/>
                <w:szCs w:val="16"/>
                <w:lang w:val="es-ES"/>
              </w:rPr>
            </w:pPr>
          </w:p>
        </w:tc>
        <w:tc>
          <w:tcPr>
            <w:tcW w:w="1187" w:type="dxa"/>
            <w:tcBorders>
              <w:top w:val="single" w:sz="4" w:space="0" w:color="auto"/>
            </w:tcBorders>
            <w:vAlign w:val="center"/>
          </w:tcPr>
          <w:p w14:paraId="59E78194"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IPC general</w:t>
            </w:r>
          </w:p>
        </w:tc>
        <w:tc>
          <w:tcPr>
            <w:tcW w:w="1223" w:type="dxa"/>
            <w:tcBorders>
              <w:top w:val="single" w:sz="4" w:space="0" w:color="auto"/>
            </w:tcBorders>
            <w:vAlign w:val="center"/>
          </w:tcPr>
          <w:p w14:paraId="2162F098"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IPC de alimentos y bebidas</w:t>
            </w:r>
          </w:p>
        </w:tc>
        <w:tc>
          <w:tcPr>
            <w:tcW w:w="1276" w:type="dxa"/>
            <w:vAlign w:val="center"/>
          </w:tcPr>
          <w:p w14:paraId="6BB4CB49"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IPC general</w:t>
            </w:r>
          </w:p>
        </w:tc>
        <w:tc>
          <w:tcPr>
            <w:tcW w:w="1229" w:type="dxa"/>
            <w:vAlign w:val="center"/>
          </w:tcPr>
          <w:p w14:paraId="11E7A815"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IPC de alimentos y bebidas</w:t>
            </w:r>
          </w:p>
        </w:tc>
      </w:tr>
      <w:tr w:rsidR="00CD5F12" w:rsidRPr="00CD5F12" w14:paraId="61819414" w14:textId="77777777" w:rsidTr="007D7979">
        <w:trPr>
          <w:jc w:val="center"/>
        </w:trPr>
        <w:tc>
          <w:tcPr>
            <w:tcW w:w="3165" w:type="dxa"/>
            <w:tcBorders>
              <w:bottom w:val="nil"/>
            </w:tcBorders>
          </w:tcPr>
          <w:p w14:paraId="3974C927"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América Latina y el Caribe</w:t>
            </w:r>
          </w:p>
        </w:tc>
        <w:tc>
          <w:tcPr>
            <w:tcW w:w="1187" w:type="dxa"/>
            <w:tcBorders>
              <w:bottom w:val="nil"/>
            </w:tcBorders>
            <w:vAlign w:val="center"/>
          </w:tcPr>
          <w:p w14:paraId="5055A76C"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7.6</w:t>
            </w:r>
          </w:p>
        </w:tc>
        <w:tc>
          <w:tcPr>
            <w:tcW w:w="1223" w:type="dxa"/>
            <w:tcBorders>
              <w:bottom w:val="nil"/>
            </w:tcBorders>
          </w:tcPr>
          <w:p w14:paraId="0104B44D"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9.3</w:t>
            </w:r>
          </w:p>
        </w:tc>
        <w:tc>
          <w:tcPr>
            <w:tcW w:w="1276" w:type="dxa"/>
            <w:tcBorders>
              <w:bottom w:val="nil"/>
            </w:tcBorders>
          </w:tcPr>
          <w:p w14:paraId="2C85AE30"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9.3</w:t>
            </w:r>
          </w:p>
        </w:tc>
        <w:tc>
          <w:tcPr>
            <w:tcW w:w="1229" w:type="dxa"/>
            <w:tcBorders>
              <w:bottom w:val="nil"/>
            </w:tcBorders>
          </w:tcPr>
          <w:p w14:paraId="1F783478"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11.8</w:t>
            </w:r>
          </w:p>
        </w:tc>
      </w:tr>
      <w:tr w:rsidR="00CD5F12" w:rsidRPr="00CD5F12" w14:paraId="21E4052B" w14:textId="77777777" w:rsidTr="007D7979">
        <w:trPr>
          <w:jc w:val="center"/>
        </w:trPr>
        <w:tc>
          <w:tcPr>
            <w:tcW w:w="3165" w:type="dxa"/>
            <w:tcBorders>
              <w:top w:val="nil"/>
              <w:bottom w:val="nil"/>
            </w:tcBorders>
          </w:tcPr>
          <w:p w14:paraId="431AB977"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América del Sur</w:t>
            </w:r>
          </w:p>
        </w:tc>
        <w:tc>
          <w:tcPr>
            <w:tcW w:w="1187" w:type="dxa"/>
            <w:tcBorders>
              <w:top w:val="nil"/>
              <w:bottom w:val="nil"/>
            </w:tcBorders>
            <w:vAlign w:val="center"/>
          </w:tcPr>
          <w:p w14:paraId="7349E57E"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9.2</w:t>
            </w:r>
          </w:p>
        </w:tc>
        <w:tc>
          <w:tcPr>
            <w:tcW w:w="1223" w:type="dxa"/>
            <w:tcBorders>
              <w:top w:val="nil"/>
              <w:bottom w:val="nil"/>
            </w:tcBorders>
          </w:tcPr>
          <w:p w14:paraId="74F5F5C0"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11.7</w:t>
            </w:r>
          </w:p>
        </w:tc>
        <w:tc>
          <w:tcPr>
            <w:tcW w:w="1276" w:type="dxa"/>
            <w:tcBorders>
              <w:top w:val="nil"/>
              <w:bottom w:val="nil"/>
            </w:tcBorders>
          </w:tcPr>
          <w:p w14:paraId="1AE1C502"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11.8</w:t>
            </w:r>
          </w:p>
        </w:tc>
        <w:tc>
          <w:tcPr>
            <w:tcW w:w="1229" w:type="dxa"/>
            <w:tcBorders>
              <w:top w:val="nil"/>
              <w:bottom w:val="nil"/>
            </w:tcBorders>
          </w:tcPr>
          <w:p w14:paraId="624F93C0"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14.3</w:t>
            </w:r>
          </w:p>
        </w:tc>
      </w:tr>
      <w:tr w:rsidR="00CD5F12" w:rsidRPr="00CD5F12" w14:paraId="4CA183F2" w14:textId="77777777" w:rsidTr="007D7979">
        <w:trPr>
          <w:jc w:val="center"/>
        </w:trPr>
        <w:tc>
          <w:tcPr>
            <w:tcW w:w="3165" w:type="dxa"/>
            <w:tcBorders>
              <w:top w:val="nil"/>
              <w:bottom w:val="nil"/>
            </w:tcBorders>
          </w:tcPr>
          <w:p w14:paraId="43A702FC"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Argentina</w:t>
            </w:r>
            <w:r w:rsidRPr="00CD5F12">
              <w:rPr>
                <w:rFonts w:eastAsia="Times New Roman"/>
                <w:sz w:val="16"/>
                <w:szCs w:val="16"/>
                <w:u w:val="single"/>
                <w:vertAlign w:val="superscript"/>
                <w:lang w:val="es-ES"/>
              </w:rPr>
              <w:t>a</w:t>
            </w:r>
            <w:r w:rsidRPr="00CD5F12">
              <w:rPr>
                <w:rFonts w:eastAsia="Times New Roman"/>
                <w:sz w:val="16"/>
                <w:szCs w:val="16"/>
                <w:vertAlign w:val="superscript"/>
                <w:lang w:val="es-ES"/>
              </w:rPr>
              <w:t>/</w:t>
            </w:r>
          </w:p>
        </w:tc>
        <w:tc>
          <w:tcPr>
            <w:tcW w:w="1187" w:type="dxa"/>
            <w:tcBorders>
              <w:top w:val="nil"/>
              <w:bottom w:val="nil"/>
            </w:tcBorders>
            <w:vAlign w:val="center"/>
          </w:tcPr>
          <w:p w14:paraId="792A5882"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10.9</w:t>
            </w:r>
          </w:p>
        </w:tc>
        <w:tc>
          <w:tcPr>
            <w:tcW w:w="1223" w:type="dxa"/>
            <w:tcBorders>
              <w:top w:val="nil"/>
              <w:bottom w:val="nil"/>
            </w:tcBorders>
          </w:tcPr>
          <w:p w14:paraId="689260B2"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9.3</w:t>
            </w:r>
          </w:p>
        </w:tc>
        <w:tc>
          <w:tcPr>
            <w:tcW w:w="1276" w:type="dxa"/>
            <w:tcBorders>
              <w:top w:val="nil"/>
              <w:bottom w:val="nil"/>
            </w:tcBorders>
          </w:tcPr>
          <w:p w14:paraId="5294750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24.2</w:t>
            </w:r>
          </w:p>
        </w:tc>
        <w:tc>
          <w:tcPr>
            <w:tcW w:w="1229" w:type="dxa"/>
            <w:tcBorders>
              <w:top w:val="nil"/>
              <w:bottom w:val="nil"/>
            </w:tcBorders>
          </w:tcPr>
          <w:p w14:paraId="245ADB73"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20.6</w:t>
            </w:r>
          </w:p>
        </w:tc>
      </w:tr>
      <w:tr w:rsidR="00CD5F12" w:rsidRPr="00CD5F12" w14:paraId="3DADF26D" w14:textId="77777777" w:rsidTr="007D7979">
        <w:trPr>
          <w:jc w:val="center"/>
        </w:trPr>
        <w:tc>
          <w:tcPr>
            <w:tcW w:w="3165" w:type="dxa"/>
            <w:tcBorders>
              <w:top w:val="nil"/>
              <w:bottom w:val="nil"/>
            </w:tcBorders>
          </w:tcPr>
          <w:p w14:paraId="6B4FCB74"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Bolivia (Estado Plurinacional de)</w:t>
            </w:r>
          </w:p>
        </w:tc>
        <w:tc>
          <w:tcPr>
            <w:tcW w:w="1187" w:type="dxa"/>
            <w:tcBorders>
              <w:top w:val="nil"/>
              <w:bottom w:val="nil"/>
            </w:tcBorders>
            <w:vAlign w:val="bottom"/>
          </w:tcPr>
          <w:p w14:paraId="6F3D1A99"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6.5</w:t>
            </w:r>
          </w:p>
        </w:tc>
        <w:tc>
          <w:tcPr>
            <w:tcW w:w="1223" w:type="dxa"/>
            <w:tcBorders>
              <w:top w:val="nil"/>
              <w:bottom w:val="nil"/>
            </w:tcBorders>
          </w:tcPr>
          <w:p w14:paraId="16324A5C"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9.2</w:t>
            </w:r>
          </w:p>
        </w:tc>
        <w:tc>
          <w:tcPr>
            <w:tcW w:w="1276" w:type="dxa"/>
            <w:tcBorders>
              <w:top w:val="nil"/>
              <w:bottom w:val="nil"/>
            </w:tcBorders>
          </w:tcPr>
          <w:p w14:paraId="225B58C1"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3.6</w:t>
            </w:r>
          </w:p>
        </w:tc>
        <w:tc>
          <w:tcPr>
            <w:tcW w:w="1229" w:type="dxa"/>
            <w:tcBorders>
              <w:top w:val="nil"/>
              <w:bottom w:val="nil"/>
            </w:tcBorders>
          </w:tcPr>
          <w:p w14:paraId="2568B9D5"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3.0</w:t>
            </w:r>
          </w:p>
        </w:tc>
      </w:tr>
      <w:tr w:rsidR="00CD5F12" w:rsidRPr="00CD5F12" w14:paraId="2BCAC799" w14:textId="77777777" w:rsidTr="007D7979">
        <w:trPr>
          <w:jc w:val="center"/>
        </w:trPr>
        <w:tc>
          <w:tcPr>
            <w:tcW w:w="3165" w:type="dxa"/>
            <w:tcBorders>
              <w:top w:val="nil"/>
              <w:bottom w:val="nil"/>
            </w:tcBorders>
          </w:tcPr>
          <w:p w14:paraId="553A1577"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Brasil</w:t>
            </w:r>
          </w:p>
        </w:tc>
        <w:tc>
          <w:tcPr>
            <w:tcW w:w="1187" w:type="dxa"/>
            <w:tcBorders>
              <w:top w:val="nil"/>
              <w:bottom w:val="nil"/>
            </w:tcBorders>
            <w:vAlign w:val="bottom"/>
          </w:tcPr>
          <w:p w14:paraId="30565637"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5.9</w:t>
            </w:r>
          </w:p>
        </w:tc>
        <w:tc>
          <w:tcPr>
            <w:tcW w:w="1223" w:type="dxa"/>
            <w:tcBorders>
              <w:top w:val="nil"/>
              <w:bottom w:val="nil"/>
            </w:tcBorders>
          </w:tcPr>
          <w:p w14:paraId="7B36499A"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8.5</w:t>
            </w:r>
          </w:p>
        </w:tc>
        <w:tc>
          <w:tcPr>
            <w:tcW w:w="1276" w:type="dxa"/>
            <w:tcBorders>
              <w:top w:val="nil"/>
              <w:bottom w:val="nil"/>
            </w:tcBorders>
            <w:vAlign w:val="bottom"/>
          </w:tcPr>
          <w:p w14:paraId="6CB2A00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6.6</w:t>
            </w:r>
          </w:p>
        </w:tc>
        <w:tc>
          <w:tcPr>
            <w:tcW w:w="1229" w:type="dxa"/>
            <w:tcBorders>
              <w:top w:val="nil"/>
              <w:bottom w:val="nil"/>
            </w:tcBorders>
          </w:tcPr>
          <w:p w14:paraId="1BB28CA8"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7.6</w:t>
            </w:r>
          </w:p>
        </w:tc>
      </w:tr>
      <w:tr w:rsidR="00CD5F12" w:rsidRPr="00CD5F12" w14:paraId="5B5507AB" w14:textId="77777777" w:rsidTr="007D7979">
        <w:trPr>
          <w:jc w:val="center"/>
        </w:trPr>
        <w:tc>
          <w:tcPr>
            <w:tcW w:w="3165" w:type="dxa"/>
            <w:tcBorders>
              <w:top w:val="nil"/>
              <w:bottom w:val="nil"/>
            </w:tcBorders>
          </w:tcPr>
          <w:p w14:paraId="1D5805C3"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Chile</w:t>
            </w:r>
          </w:p>
        </w:tc>
        <w:tc>
          <w:tcPr>
            <w:tcW w:w="1187" w:type="dxa"/>
            <w:tcBorders>
              <w:top w:val="nil"/>
              <w:bottom w:val="nil"/>
            </w:tcBorders>
            <w:vAlign w:val="bottom"/>
          </w:tcPr>
          <w:p w14:paraId="54E1C0C3"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3.0</w:t>
            </w:r>
          </w:p>
        </w:tc>
        <w:tc>
          <w:tcPr>
            <w:tcW w:w="1223" w:type="dxa"/>
            <w:tcBorders>
              <w:top w:val="nil"/>
              <w:bottom w:val="nil"/>
            </w:tcBorders>
          </w:tcPr>
          <w:p w14:paraId="73ACD825"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5.7</w:t>
            </w:r>
          </w:p>
        </w:tc>
        <w:tc>
          <w:tcPr>
            <w:tcW w:w="1276" w:type="dxa"/>
            <w:tcBorders>
              <w:top w:val="nil"/>
              <w:bottom w:val="nil"/>
            </w:tcBorders>
          </w:tcPr>
          <w:p w14:paraId="48ED0571"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6.1</w:t>
            </w:r>
          </w:p>
        </w:tc>
        <w:tc>
          <w:tcPr>
            <w:tcW w:w="1229" w:type="dxa"/>
            <w:tcBorders>
              <w:top w:val="nil"/>
              <w:bottom w:val="nil"/>
            </w:tcBorders>
          </w:tcPr>
          <w:p w14:paraId="47F69F96"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10.1</w:t>
            </w:r>
          </w:p>
        </w:tc>
      </w:tr>
      <w:tr w:rsidR="00CD5F12" w:rsidRPr="00CD5F12" w14:paraId="194F7F44" w14:textId="77777777" w:rsidTr="007D7979">
        <w:trPr>
          <w:jc w:val="center"/>
        </w:trPr>
        <w:tc>
          <w:tcPr>
            <w:tcW w:w="3165" w:type="dxa"/>
            <w:tcBorders>
              <w:top w:val="nil"/>
              <w:bottom w:val="nil"/>
            </w:tcBorders>
          </w:tcPr>
          <w:p w14:paraId="68142494"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Colombia</w:t>
            </w:r>
          </w:p>
        </w:tc>
        <w:tc>
          <w:tcPr>
            <w:tcW w:w="1187" w:type="dxa"/>
            <w:tcBorders>
              <w:top w:val="nil"/>
              <w:bottom w:val="nil"/>
            </w:tcBorders>
            <w:vAlign w:val="bottom"/>
          </w:tcPr>
          <w:p w14:paraId="67CC2C76"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1.9</w:t>
            </w:r>
          </w:p>
        </w:tc>
        <w:tc>
          <w:tcPr>
            <w:tcW w:w="1223" w:type="dxa"/>
            <w:tcBorders>
              <w:top w:val="nil"/>
              <w:bottom w:val="nil"/>
            </w:tcBorders>
          </w:tcPr>
          <w:p w14:paraId="1ED29DE2"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0.8</w:t>
            </w:r>
          </w:p>
        </w:tc>
        <w:tc>
          <w:tcPr>
            <w:tcW w:w="1276" w:type="dxa"/>
            <w:tcBorders>
              <w:top w:val="nil"/>
              <w:bottom w:val="nil"/>
            </w:tcBorders>
          </w:tcPr>
          <w:p w14:paraId="10FFB9F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3.3</w:t>
            </w:r>
          </w:p>
        </w:tc>
        <w:tc>
          <w:tcPr>
            <w:tcW w:w="1229" w:type="dxa"/>
            <w:tcBorders>
              <w:top w:val="nil"/>
              <w:bottom w:val="nil"/>
            </w:tcBorders>
          </w:tcPr>
          <w:p w14:paraId="3D8E5B40"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4.3</w:t>
            </w:r>
          </w:p>
        </w:tc>
      </w:tr>
      <w:tr w:rsidR="00CD5F12" w:rsidRPr="00CD5F12" w14:paraId="52B7F8CB" w14:textId="77777777" w:rsidTr="007D7979">
        <w:trPr>
          <w:jc w:val="center"/>
        </w:trPr>
        <w:tc>
          <w:tcPr>
            <w:tcW w:w="3165" w:type="dxa"/>
            <w:tcBorders>
              <w:top w:val="nil"/>
              <w:bottom w:val="nil"/>
            </w:tcBorders>
          </w:tcPr>
          <w:p w14:paraId="19D22574"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Ecuador</w:t>
            </w:r>
            <w:r w:rsidRPr="00CD5F12">
              <w:rPr>
                <w:rFonts w:eastAsia="Times New Roman"/>
                <w:sz w:val="16"/>
                <w:szCs w:val="16"/>
                <w:u w:val="single"/>
                <w:vertAlign w:val="superscript"/>
                <w:lang w:val="es-ES"/>
              </w:rPr>
              <w:t xml:space="preserve"> </w:t>
            </w:r>
          </w:p>
        </w:tc>
        <w:tc>
          <w:tcPr>
            <w:tcW w:w="1187" w:type="dxa"/>
            <w:tcBorders>
              <w:top w:val="nil"/>
              <w:bottom w:val="nil"/>
            </w:tcBorders>
            <w:vAlign w:val="bottom"/>
          </w:tcPr>
          <w:p w14:paraId="2DF38D23"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2.7</w:t>
            </w:r>
          </w:p>
        </w:tc>
        <w:tc>
          <w:tcPr>
            <w:tcW w:w="1223" w:type="dxa"/>
            <w:tcBorders>
              <w:top w:val="nil"/>
              <w:bottom w:val="nil"/>
            </w:tcBorders>
          </w:tcPr>
          <w:p w14:paraId="737A41D1"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2.2</w:t>
            </w:r>
          </w:p>
        </w:tc>
        <w:tc>
          <w:tcPr>
            <w:tcW w:w="1276" w:type="dxa"/>
            <w:tcBorders>
              <w:top w:val="nil"/>
              <w:bottom w:val="nil"/>
            </w:tcBorders>
          </w:tcPr>
          <w:p w14:paraId="343BE16B"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4.0</w:t>
            </w:r>
          </w:p>
        </w:tc>
        <w:tc>
          <w:tcPr>
            <w:tcW w:w="1229" w:type="dxa"/>
            <w:tcBorders>
              <w:top w:val="nil"/>
              <w:bottom w:val="nil"/>
            </w:tcBorders>
          </w:tcPr>
          <w:p w14:paraId="78438E53"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4.9</w:t>
            </w:r>
          </w:p>
        </w:tc>
      </w:tr>
      <w:tr w:rsidR="00CD5F12" w:rsidRPr="00CD5F12" w14:paraId="27F5E165" w14:textId="77777777" w:rsidTr="007D7979">
        <w:trPr>
          <w:jc w:val="center"/>
        </w:trPr>
        <w:tc>
          <w:tcPr>
            <w:tcW w:w="3165" w:type="dxa"/>
            <w:tcBorders>
              <w:top w:val="nil"/>
              <w:bottom w:val="nil"/>
            </w:tcBorders>
          </w:tcPr>
          <w:p w14:paraId="76D05A49"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Paraguay</w:t>
            </w:r>
          </w:p>
        </w:tc>
        <w:tc>
          <w:tcPr>
            <w:tcW w:w="1187" w:type="dxa"/>
            <w:tcBorders>
              <w:top w:val="nil"/>
              <w:bottom w:val="nil"/>
            </w:tcBorders>
            <w:vAlign w:val="bottom"/>
          </w:tcPr>
          <w:p w14:paraId="32249ADB"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3.7</w:t>
            </w:r>
          </w:p>
        </w:tc>
        <w:tc>
          <w:tcPr>
            <w:tcW w:w="1223" w:type="dxa"/>
            <w:tcBorders>
              <w:top w:val="nil"/>
              <w:bottom w:val="nil"/>
            </w:tcBorders>
          </w:tcPr>
          <w:p w14:paraId="4155929C"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6.2</w:t>
            </w:r>
          </w:p>
        </w:tc>
        <w:tc>
          <w:tcPr>
            <w:tcW w:w="1276" w:type="dxa"/>
            <w:tcBorders>
              <w:top w:val="nil"/>
              <w:bottom w:val="nil"/>
            </w:tcBorders>
          </w:tcPr>
          <w:p w14:paraId="0AE6365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3.5</w:t>
            </w:r>
          </w:p>
        </w:tc>
        <w:tc>
          <w:tcPr>
            <w:tcW w:w="1229" w:type="dxa"/>
            <w:tcBorders>
              <w:top w:val="nil"/>
              <w:bottom w:val="nil"/>
            </w:tcBorders>
          </w:tcPr>
          <w:p w14:paraId="3CBFDFB4"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2.1</w:t>
            </w:r>
          </w:p>
        </w:tc>
      </w:tr>
      <w:tr w:rsidR="00CD5F12" w:rsidRPr="00CD5F12" w14:paraId="449FBB19" w14:textId="77777777" w:rsidTr="007D7979">
        <w:trPr>
          <w:jc w:val="center"/>
        </w:trPr>
        <w:tc>
          <w:tcPr>
            <w:tcW w:w="3165" w:type="dxa"/>
            <w:tcBorders>
              <w:top w:val="nil"/>
              <w:bottom w:val="nil"/>
            </w:tcBorders>
          </w:tcPr>
          <w:p w14:paraId="1ED4B3D7"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Perú</w:t>
            </w:r>
          </w:p>
        </w:tc>
        <w:tc>
          <w:tcPr>
            <w:tcW w:w="1187" w:type="dxa"/>
            <w:tcBorders>
              <w:top w:val="nil"/>
              <w:bottom w:val="nil"/>
            </w:tcBorders>
            <w:vAlign w:val="bottom"/>
          </w:tcPr>
          <w:p w14:paraId="6103F1E8"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2.9</w:t>
            </w:r>
          </w:p>
        </w:tc>
        <w:tc>
          <w:tcPr>
            <w:tcW w:w="1223" w:type="dxa"/>
            <w:tcBorders>
              <w:top w:val="nil"/>
              <w:bottom w:val="nil"/>
            </w:tcBorders>
          </w:tcPr>
          <w:p w14:paraId="6F6430F6"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2.2</w:t>
            </w:r>
          </w:p>
        </w:tc>
        <w:tc>
          <w:tcPr>
            <w:tcW w:w="1276" w:type="dxa"/>
            <w:tcBorders>
              <w:top w:val="nil"/>
              <w:bottom w:val="nil"/>
            </w:tcBorders>
          </w:tcPr>
          <w:p w14:paraId="71B74BD8"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3.1</w:t>
            </w:r>
          </w:p>
        </w:tc>
        <w:tc>
          <w:tcPr>
            <w:tcW w:w="1229" w:type="dxa"/>
            <w:tcBorders>
              <w:top w:val="nil"/>
              <w:bottom w:val="nil"/>
            </w:tcBorders>
          </w:tcPr>
          <w:p w14:paraId="1FE58EB0"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3.7</w:t>
            </w:r>
          </w:p>
        </w:tc>
      </w:tr>
      <w:tr w:rsidR="00CD5F12" w:rsidRPr="00CD5F12" w14:paraId="0C43D80D" w14:textId="77777777" w:rsidTr="007D7979">
        <w:trPr>
          <w:jc w:val="center"/>
        </w:trPr>
        <w:tc>
          <w:tcPr>
            <w:tcW w:w="3165" w:type="dxa"/>
            <w:tcBorders>
              <w:top w:val="nil"/>
              <w:bottom w:val="nil"/>
            </w:tcBorders>
          </w:tcPr>
          <w:p w14:paraId="3ED97AA9"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Uruguay</w:t>
            </w:r>
          </w:p>
        </w:tc>
        <w:tc>
          <w:tcPr>
            <w:tcW w:w="1187" w:type="dxa"/>
            <w:tcBorders>
              <w:top w:val="nil"/>
              <w:bottom w:val="nil"/>
            </w:tcBorders>
            <w:vAlign w:val="bottom"/>
          </w:tcPr>
          <w:p w14:paraId="3843714C"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8.5</w:t>
            </w:r>
          </w:p>
        </w:tc>
        <w:tc>
          <w:tcPr>
            <w:tcW w:w="1223" w:type="dxa"/>
            <w:tcBorders>
              <w:top w:val="nil"/>
              <w:bottom w:val="nil"/>
            </w:tcBorders>
          </w:tcPr>
          <w:p w14:paraId="0E5E4A87"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8.5</w:t>
            </w:r>
          </w:p>
        </w:tc>
        <w:tc>
          <w:tcPr>
            <w:tcW w:w="1276" w:type="dxa"/>
            <w:tcBorders>
              <w:top w:val="nil"/>
              <w:bottom w:val="nil"/>
            </w:tcBorders>
          </w:tcPr>
          <w:p w14:paraId="525DCF52"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8.1</w:t>
            </w:r>
          </w:p>
        </w:tc>
        <w:tc>
          <w:tcPr>
            <w:tcW w:w="1229" w:type="dxa"/>
            <w:tcBorders>
              <w:top w:val="nil"/>
              <w:bottom w:val="nil"/>
            </w:tcBorders>
          </w:tcPr>
          <w:p w14:paraId="73E7520E"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9.9</w:t>
            </w:r>
          </w:p>
        </w:tc>
      </w:tr>
      <w:tr w:rsidR="00CD5F12" w:rsidRPr="00CD5F12" w14:paraId="2D16701A" w14:textId="77777777" w:rsidTr="007D7979">
        <w:trPr>
          <w:jc w:val="center"/>
        </w:trPr>
        <w:tc>
          <w:tcPr>
            <w:tcW w:w="3165" w:type="dxa"/>
            <w:tcBorders>
              <w:top w:val="nil"/>
              <w:bottom w:val="nil"/>
            </w:tcBorders>
          </w:tcPr>
          <w:p w14:paraId="21C43308"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Venezuela (República Bolivariana de)</w:t>
            </w:r>
            <w:r w:rsidRPr="00CD5F12">
              <w:rPr>
                <w:rFonts w:eastAsia="Times New Roman"/>
                <w:sz w:val="16"/>
                <w:szCs w:val="16"/>
                <w:u w:val="single"/>
                <w:vertAlign w:val="superscript"/>
                <w:lang w:val="es-ES"/>
              </w:rPr>
              <w:t>b</w:t>
            </w:r>
            <w:r w:rsidRPr="00CD5F12">
              <w:rPr>
                <w:rFonts w:eastAsia="Times New Roman"/>
                <w:sz w:val="16"/>
                <w:szCs w:val="16"/>
                <w:vertAlign w:val="superscript"/>
                <w:lang w:val="es-ES"/>
              </w:rPr>
              <w:t>/</w:t>
            </w:r>
          </w:p>
        </w:tc>
        <w:tc>
          <w:tcPr>
            <w:tcW w:w="1187" w:type="dxa"/>
            <w:tcBorders>
              <w:top w:val="nil"/>
              <w:bottom w:val="nil"/>
            </w:tcBorders>
            <w:vAlign w:val="bottom"/>
          </w:tcPr>
          <w:p w14:paraId="7EE6783E"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56.2</w:t>
            </w:r>
          </w:p>
        </w:tc>
        <w:tc>
          <w:tcPr>
            <w:tcW w:w="1223" w:type="dxa"/>
            <w:tcBorders>
              <w:top w:val="nil"/>
              <w:bottom w:val="nil"/>
            </w:tcBorders>
          </w:tcPr>
          <w:p w14:paraId="6A9FE785"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73.9</w:t>
            </w:r>
          </w:p>
        </w:tc>
        <w:tc>
          <w:tcPr>
            <w:tcW w:w="1276" w:type="dxa"/>
            <w:tcBorders>
              <w:top w:val="nil"/>
              <w:bottom w:val="nil"/>
            </w:tcBorders>
          </w:tcPr>
          <w:p w14:paraId="1381C30B"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63.4</w:t>
            </w:r>
          </w:p>
        </w:tc>
        <w:tc>
          <w:tcPr>
            <w:tcW w:w="1229" w:type="dxa"/>
            <w:tcBorders>
              <w:top w:val="nil"/>
              <w:bottom w:val="nil"/>
            </w:tcBorders>
          </w:tcPr>
          <w:p w14:paraId="74243BC8"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91.0</w:t>
            </w:r>
          </w:p>
        </w:tc>
      </w:tr>
      <w:tr w:rsidR="00CD5F12" w:rsidRPr="00CD5F12" w14:paraId="264C0A64" w14:textId="77777777" w:rsidTr="007D7979">
        <w:trPr>
          <w:jc w:val="center"/>
        </w:trPr>
        <w:tc>
          <w:tcPr>
            <w:tcW w:w="3165" w:type="dxa"/>
            <w:tcBorders>
              <w:top w:val="nil"/>
              <w:bottom w:val="nil"/>
            </w:tcBorders>
          </w:tcPr>
          <w:p w14:paraId="50D76671"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Centroamérica y México</w:t>
            </w:r>
          </w:p>
        </w:tc>
        <w:tc>
          <w:tcPr>
            <w:tcW w:w="1187" w:type="dxa"/>
            <w:tcBorders>
              <w:top w:val="nil"/>
              <w:bottom w:val="nil"/>
            </w:tcBorders>
            <w:vAlign w:val="bottom"/>
          </w:tcPr>
          <w:p w14:paraId="7281E473"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3.9</w:t>
            </w:r>
          </w:p>
        </w:tc>
        <w:tc>
          <w:tcPr>
            <w:tcW w:w="1223" w:type="dxa"/>
            <w:tcBorders>
              <w:top w:val="nil"/>
              <w:bottom w:val="nil"/>
            </w:tcBorders>
          </w:tcPr>
          <w:p w14:paraId="7C260317"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4.3</w:t>
            </w:r>
          </w:p>
        </w:tc>
        <w:tc>
          <w:tcPr>
            <w:tcW w:w="1276" w:type="dxa"/>
            <w:tcBorders>
              <w:top w:val="nil"/>
              <w:bottom w:val="nil"/>
            </w:tcBorders>
          </w:tcPr>
          <w:p w14:paraId="5951782C"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4.3</w:t>
            </w:r>
          </w:p>
        </w:tc>
        <w:tc>
          <w:tcPr>
            <w:tcW w:w="1229" w:type="dxa"/>
            <w:tcBorders>
              <w:top w:val="nil"/>
              <w:bottom w:val="nil"/>
            </w:tcBorders>
          </w:tcPr>
          <w:p w14:paraId="257C22B4"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6.5</w:t>
            </w:r>
          </w:p>
        </w:tc>
      </w:tr>
      <w:tr w:rsidR="00CD5F12" w:rsidRPr="00CD5F12" w14:paraId="40F95B2F" w14:textId="77777777" w:rsidTr="007D7979">
        <w:trPr>
          <w:jc w:val="center"/>
        </w:trPr>
        <w:tc>
          <w:tcPr>
            <w:tcW w:w="3165" w:type="dxa"/>
            <w:tcBorders>
              <w:top w:val="nil"/>
              <w:bottom w:val="nil"/>
            </w:tcBorders>
          </w:tcPr>
          <w:p w14:paraId="4E375E3E"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Costa Rica</w:t>
            </w:r>
          </w:p>
        </w:tc>
        <w:tc>
          <w:tcPr>
            <w:tcW w:w="1187" w:type="dxa"/>
            <w:tcBorders>
              <w:top w:val="nil"/>
              <w:bottom w:val="nil"/>
            </w:tcBorders>
            <w:vAlign w:val="bottom"/>
          </w:tcPr>
          <w:p w14:paraId="3D27480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3.7</w:t>
            </w:r>
          </w:p>
        </w:tc>
        <w:tc>
          <w:tcPr>
            <w:tcW w:w="1223" w:type="dxa"/>
            <w:tcBorders>
              <w:top w:val="nil"/>
              <w:bottom w:val="nil"/>
            </w:tcBorders>
          </w:tcPr>
          <w:p w14:paraId="27038778"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3.4</w:t>
            </w:r>
          </w:p>
        </w:tc>
        <w:tc>
          <w:tcPr>
            <w:tcW w:w="1276" w:type="dxa"/>
            <w:tcBorders>
              <w:top w:val="nil"/>
              <w:bottom w:val="nil"/>
            </w:tcBorders>
          </w:tcPr>
          <w:p w14:paraId="4D70C648"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5.7</w:t>
            </w:r>
          </w:p>
        </w:tc>
        <w:tc>
          <w:tcPr>
            <w:tcW w:w="1229" w:type="dxa"/>
            <w:tcBorders>
              <w:top w:val="nil"/>
              <w:bottom w:val="nil"/>
            </w:tcBorders>
          </w:tcPr>
          <w:p w14:paraId="7A73A121"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5.2</w:t>
            </w:r>
          </w:p>
        </w:tc>
      </w:tr>
      <w:tr w:rsidR="00CD5F12" w:rsidRPr="00CD5F12" w14:paraId="20574ACB" w14:textId="77777777" w:rsidTr="007D7979">
        <w:trPr>
          <w:jc w:val="center"/>
        </w:trPr>
        <w:tc>
          <w:tcPr>
            <w:tcW w:w="3165" w:type="dxa"/>
            <w:tcBorders>
              <w:top w:val="nil"/>
              <w:bottom w:val="nil"/>
            </w:tcBorders>
          </w:tcPr>
          <w:p w14:paraId="392BFF01"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Cuba</w:t>
            </w:r>
            <w:r w:rsidRPr="00CD5F12">
              <w:rPr>
                <w:rFonts w:eastAsia="Times New Roman"/>
                <w:sz w:val="16"/>
                <w:szCs w:val="16"/>
                <w:u w:val="single"/>
                <w:vertAlign w:val="superscript"/>
                <w:lang w:val="es-ES"/>
              </w:rPr>
              <w:t>c</w:t>
            </w:r>
            <w:r w:rsidRPr="00CD5F12">
              <w:rPr>
                <w:rFonts w:eastAsia="Times New Roman"/>
                <w:sz w:val="16"/>
                <w:szCs w:val="16"/>
                <w:vertAlign w:val="superscript"/>
                <w:lang w:val="es-ES"/>
              </w:rPr>
              <w:t>/</w:t>
            </w:r>
          </w:p>
        </w:tc>
        <w:tc>
          <w:tcPr>
            <w:tcW w:w="1187" w:type="dxa"/>
            <w:tcBorders>
              <w:top w:val="nil"/>
              <w:bottom w:val="nil"/>
            </w:tcBorders>
            <w:vAlign w:val="bottom"/>
          </w:tcPr>
          <w:p w14:paraId="67E2968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0.0</w:t>
            </w:r>
          </w:p>
        </w:tc>
        <w:tc>
          <w:tcPr>
            <w:tcW w:w="1223" w:type="dxa"/>
            <w:tcBorders>
              <w:top w:val="nil"/>
              <w:bottom w:val="nil"/>
            </w:tcBorders>
          </w:tcPr>
          <w:p w14:paraId="7AB6096A"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w:t>
            </w:r>
          </w:p>
        </w:tc>
        <w:tc>
          <w:tcPr>
            <w:tcW w:w="1276" w:type="dxa"/>
            <w:tcBorders>
              <w:top w:val="nil"/>
              <w:bottom w:val="nil"/>
            </w:tcBorders>
          </w:tcPr>
          <w:p w14:paraId="34942D2E"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1.2</w:t>
            </w:r>
          </w:p>
        </w:tc>
        <w:tc>
          <w:tcPr>
            <w:tcW w:w="1229" w:type="dxa"/>
            <w:tcBorders>
              <w:top w:val="nil"/>
              <w:bottom w:val="nil"/>
            </w:tcBorders>
          </w:tcPr>
          <w:p w14:paraId="33961959"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w:t>
            </w:r>
          </w:p>
        </w:tc>
      </w:tr>
      <w:tr w:rsidR="00CD5F12" w:rsidRPr="00CD5F12" w14:paraId="39C33F2B" w14:textId="77777777" w:rsidTr="007D7979">
        <w:trPr>
          <w:jc w:val="center"/>
        </w:trPr>
        <w:tc>
          <w:tcPr>
            <w:tcW w:w="3165" w:type="dxa"/>
            <w:tcBorders>
              <w:top w:val="nil"/>
              <w:bottom w:val="nil"/>
            </w:tcBorders>
          </w:tcPr>
          <w:p w14:paraId="4FDD10F5"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El Salvador</w:t>
            </w:r>
          </w:p>
        </w:tc>
        <w:tc>
          <w:tcPr>
            <w:tcW w:w="1187" w:type="dxa"/>
            <w:tcBorders>
              <w:top w:val="nil"/>
              <w:bottom w:val="nil"/>
            </w:tcBorders>
            <w:vAlign w:val="bottom"/>
          </w:tcPr>
          <w:p w14:paraId="6EE05E38"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0.8</w:t>
            </w:r>
          </w:p>
        </w:tc>
        <w:tc>
          <w:tcPr>
            <w:tcW w:w="1223" w:type="dxa"/>
            <w:tcBorders>
              <w:top w:val="nil"/>
              <w:bottom w:val="nil"/>
            </w:tcBorders>
          </w:tcPr>
          <w:p w14:paraId="308B74AB"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1.9</w:t>
            </w:r>
          </w:p>
        </w:tc>
        <w:tc>
          <w:tcPr>
            <w:tcW w:w="1276" w:type="dxa"/>
            <w:tcBorders>
              <w:top w:val="nil"/>
              <w:bottom w:val="nil"/>
            </w:tcBorders>
          </w:tcPr>
          <w:p w14:paraId="7107945E"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1.9</w:t>
            </w:r>
          </w:p>
        </w:tc>
        <w:tc>
          <w:tcPr>
            <w:tcW w:w="1229" w:type="dxa"/>
            <w:tcBorders>
              <w:top w:val="nil"/>
              <w:bottom w:val="nil"/>
            </w:tcBorders>
          </w:tcPr>
          <w:p w14:paraId="4AD3C898"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5.9</w:t>
            </w:r>
          </w:p>
        </w:tc>
      </w:tr>
      <w:tr w:rsidR="00CD5F12" w:rsidRPr="00CD5F12" w14:paraId="6D594652" w14:textId="77777777" w:rsidTr="007D7979">
        <w:trPr>
          <w:jc w:val="center"/>
        </w:trPr>
        <w:tc>
          <w:tcPr>
            <w:tcW w:w="3165" w:type="dxa"/>
            <w:tcBorders>
              <w:top w:val="nil"/>
              <w:bottom w:val="nil"/>
            </w:tcBorders>
          </w:tcPr>
          <w:p w14:paraId="125B2732"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Guatemala</w:t>
            </w:r>
          </w:p>
        </w:tc>
        <w:tc>
          <w:tcPr>
            <w:tcW w:w="1187" w:type="dxa"/>
            <w:tcBorders>
              <w:top w:val="nil"/>
              <w:bottom w:val="nil"/>
            </w:tcBorders>
            <w:vAlign w:val="bottom"/>
          </w:tcPr>
          <w:p w14:paraId="4DFB6315"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4.4</w:t>
            </w:r>
          </w:p>
        </w:tc>
        <w:tc>
          <w:tcPr>
            <w:tcW w:w="1223" w:type="dxa"/>
            <w:tcBorders>
              <w:top w:val="nil"/>
              <w:bottom w:val="nil"/>
            </w:tcBorders>
          </w:tcPr>
          <w:p w14:paraId="40150621"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8.7</w:t>
            </w:r>
          </w:p>
        </w:tc>
        <w:tc>
          <w:tcPr>
            <w:tcW w:w="1276" w:type="dxa"/>
            <w:tcBorders>
              <w:top w:val="nil"/>
              <w:bottom w:val="nil"/>
            </w:tcBorders>
          </w:tcPr>
          <w:p w14:paraId="0198F03E"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3.6</w:t>
            </w:r>
          </w:p>
        </w:tc>
        <w:tc>
          <w:tcPr>
            <w:tcW w:w="1229" w:type="dxa"/>
            <w:tcBorders>
              <w:top w:val="nil"/>
              <w:bottom w:val="nil"/>
            </w:tcBorders>
          </w:tcPr>
          <w:p w14:paraId="63451C3D"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8.8</w:t>
            </w:r>
          </w:p>
        </w:tc>
      </w:tr>
      <w:tr w:rsidR="00CD5F12" w:rsidRPr="00CD5F12" w14:paraId="260AB0B0" w14:textId="77777777" w:rsidTr="007D7979">
        <w:trPr>
          <w:jc w:val="center"/>
        </w:trPr>
        <w:tc>
          <w:tcPr>
            <w:tcW w:w="3165" w:type="dxa"/>
            <w:tcBorders>
              <w:top w:val="nil"/>
              <w:bottom w:val="nil"/>
            </w:tcBorders>
          </w:tcPr>
          <w:p w14:paraId="14EBAE41"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Haití</w:t>
            </w:r>
            <w:r w:rsidRPr="00CD5F12">
              <w:rPr>
                <w:rFonts w:eastAsia="Times New Roman"/>
                <w:sz w:val="16"/>
                <w:szCs w:val="16"/>
                <w:u w:val="single"/>
                <w:vertAlign w:val="superscript"/>
                <w:lang w:val="es-ES"/>
              </w:rPr>
              <w:t>c</w:t>
            </w:r>
            <w:r w:rsidRPr="00CD5F12">
              <w:rPr>
                <w:rFonts w:eastAsia="Times New Roman"/>
                <w:sz w:val="16"/>
                <w:szCs w:val="16"/>
                <w:vertAlign w:val="superscript"/>
                <w:lang w:val="es-ES"/>
              </w:rPr>
              <w:t>/</w:t>
            </w:r>
          </w:p>
        </w:tc>
        <w:tc>
          <w:tcPr>
            <w:tcW w:w="1187" w:type="dxa"/>
            <w:tcBorders>
              <w:top w:val="nil"/>
              <w:bottom w:val="nil"/>
            </w:tcBorders>
            <w:vAlign w:val="bottom"/>
          </w:tcPr>
          <w:p w14:paraId="3088ADD5"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3.4</w:t>
            </w:r>
          </w:p>
        </w:tc>
        <w:tc>
          <w:tcPr>
            <w:tcW w:w="1223" w:type="dxa"/>
            <w:tcBorders>
              <w:top w:val="nil"/>
              <w:bottom w:val="nil"/>
            </w:tcBorders>
          </w:tcPr>
          <w:p w14:paraId="0681A364"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2.9</w:t>
            </w:r>
          </w:p>
        </w:tc>
        <w:tc>
          <w:tcPr>
            <w:tcW w:w="1276" w:type="dxa"/>
            <w:tcBorders>
              <w:top w:val="nil"/>
              <w:bottom w:val="nil"/>
            </w:tcBorders>
          </w:tcPr>
          <w:p w14:paraId="3665F318"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5.3</w:t>
            </w:r>
          </w:p>
        </w:tc>
        <w:tc>
          <w:tcPr>
            <w:tcW w:w="1229" w:type="dxa"/>
            <w:tcBorders>
              <w:top w:val="nil"/>
              <w:bottom w:val="nil"/>
            </w:tcBorders>
          </w:tcPr>
          <w:p w14:paraId="002BA94D"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4.5</w:t>
            </w:r>
          </w:p>
        </w:tc>
      </w:tr>
      <w:tr w:rsidR="00CD5F12" w:rsidRPr="00CD5F12" w14:paraId="2112761B" w14:textId="77777777" w:rsidTr="007D7979">
        <w:trPr>
          <w:jc w:val="center"/>
        </w:trPr>
        <w:tc>
          <w:tcPr>
            <w:tcW w:w="3165" w:type="dxa"/>
            <w:tcBorders>
              <w:top w:val="nil"/>
              <w:bottom w:val="nil"/>
            </w:tcBorders>
          </w:tcPr>
          <w:p w14:paraId="03290EE2"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Honduras</w:t>
            </w:r>
          </w:p>
        </w:tc>
        <w:tc>
          <w:tcPr>
            <w:tcW w:w="1187" w:type="dxa"/>
            <w:tcBorders>
              <w:top w:val="nil"/>
              <w:bottom w:val="nil"/>
            </w:tcBorders>
            <w:vAlign w:val="bottom"/>
          </w:tcPr>
          <w:p w14:paraId="592CA5C7"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4.9</w:t>
            </w:r>
          </w:p>
        </w:tc>
        <w:tc>
          <w:tcPr>
            <w:tcW w:w="1223" w:type="dxa"/>
            <w:tcBorders>
              <w:top w:val="nil"/>
              <w:bottom w:val="nil"/>
            </w:tcBorders>
          </w:tcPr>
          <w:p w14:paraId="20E0AD8C"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4.9</w:t>
            </w:r>
          </w:p>
        </w:tc>
        <w:tc>
          <w:tcPr>
            <w:tcW w:w="1276" w:type="dxa"/>
            <w:tcBorders>
              <w:top w:val="nil"/>
              <w:bottom w:val="nil"/>
            </w:tcBorders>
          </w:tcPr>
          <w:p w14:paraId="666E8DB4"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6.3</w:t>
            </w:r>
          </w:p>
        </w:tc>
        <w:tc>
          <w:tcPr>
            <w:tcW w:w="1229" w:type="dxa"/>
            <w:tcBorders>
              <w:top w:val="nil"/>
              <w:bottom w:val="nil"/>
            </w:tcBorders>
          </w:tcPr>
          <w:p w14:paraId="3A3F14EC"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7.8</w:t>
            </w:r>
          </w:p>
        </w:tc>
      </w:tr>
      <w:tr w:rsidR="00CD5F12" w:rsidRPr="00CD5F12" w14:paraId="297CBE54" w14:textId="77777777" w:rsidTr="007D7979">
        <w:trPr>
          <w:jc w:val="center"/>
        </w:trPr>
        <w:tc>
          <w:tcPr>
            <w:tcW w:w="3165" w:type="dxa"/>
            <w:tcBorders>
              <w:top w:val="nil"/>
              <w:bottom w:val="nil"/>
            </w:tcBorders>
          </w:tcPr>
          <w:p w14:paraId="5C49B183"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México</w:t>
            </w:r>
          </w:p>
        </w:tc>
        <w:tc>
          <w:tcPr>
            <w:tcW w:w="1187" w:type="dxa"/>
            <w:tcBorders>
              <w:top w:val="nil"/>
              <w:bottom w:val="nil"/>
            </w:tcBorders>
            <w:vAlign w:val="bottom"/>
          </w:tcPr>
          <w:p w14:paraId="122BE847"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4.0</w:t>
            </w:r>
          </w:p>
        </w:tc>
        <w:tc>
          <w:tcPr>
            <w:tcW w:w="1223" w:type="dxa"/>
            <w:tcBorders>
              <w:top w:val="nil"/>
              <w:bottom w:val="nil"/>
            </w:tcBorders>
          </w:tcPr>
          <w:p w14:paraId="397A9EAC"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4.1</w:t>
            </w:r>
          </w:p>
        </w:tc>
        <w:tc>
          <w:tcPr>
            <w:tcW w:w="1276" w:type="dxa"/>
            <w:tcBorders>
              <w:top w:val="nil"/>
              <w:bottom w:val="nil"/>
            </w:tcBorders>
          </w:tcPr>
          <w:p w14:paraId="3025ECC6"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4.3</w:t>
            </w:r>
          </w:p>
        </w:tc>
        <w:tc>
          <w:tcPr>
            <w:tcW w:w="1229" w:type="dxa"/>
            <w:tcBorders>
              <w:top w:val="nil"/>
              <w:bottom w:val="nil"/>
            </w:tcBorders>
          </w:tcPr>
          <w:p w14:paraId="39F93BED"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6.5</w:t>
            </w:r>
          </w:p>
        </w:tc>
      </w:tr>
      <w:tr w:rsidR="00CD5F12" w:rsidRPr="00CD5F12" w14:paraId="1767AD91" w14:textId="77777777" w:rsidTr="007D7979">
        <w:trPr>
          <w:jc w:val="center"/>
        </w:trPr>
        <w:tc>
          <w:tcPr>
            <w:tcW w:w="3165" w:type="dxa"/>
            <w:tcBorders>
              <w:top w:val="nil"/>
              <w:bottom w:val="nil"/>
            </w:tcBorders>
          </w:tcPr>
          <w:p w14:paraId="319E5E14"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Nicaragua</w:t>
            </w:r>
          </w:p>
        </w:tc>
        <w:tc>
          <w:tcPr>
            <w:tcW w:w="1187" w:type="dxa"/>
            <w:tcBorders>
              <w:top w:val="nil"/>
              <w:bottom w:val="nil"/>
            </w:tcBorders>
            <w:vAlign w:val="bottom"/>
          </w:tcPr>
          <w:p w14:paraId="238BFCA2"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5.4</w:t>
            </w:r>
          </w:p>
        </w:tc>
        <w:tc>
          <w:tcPr>
            <w:tcW w:w="1223" w:type="dxa"/>
            <w:tcBorders>
              <w:top w:val="nil"/>
              <w:bottom w:val="nil"/>
            </w:tcBorders>
          </w:tcPr>
          <w:p w14:paraId="4C67A4BF"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5.1</w:t>
            </w:r>
          </w:p>
        </w:tc>
        <w:tc>
          <w:tcPr>
            <w:tcW w:w="1276" w:type="dxa"/>
            <w:tcBorders>
              <w:top w:val="nil"/>
              <w:bottom w:val="nil"/>
            </w:tcBorders>
          </w:tcPr>
          <w:p w14:paraId="3F2821AE"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6.8</w:t>
            </w:r>
          </w:p>
        </w:tc>
        <w:tc>
          <w:tcPr>
            <w:tcW w:w="1229" w:type="dxa"/>
            <w:tcBorders>
              <w:top w:val="nil"/>
              <w:bottom w:val="nil"/>
            </w:tcBorders>
          </w:tcPr>
          <w:p w14:paraId="01A0F871"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10.2</w:t>
            </w:r>
          </w:p>
        </w:tc>
      </w:tr>
      <w:tr w:rsidR="00CD5F12" w:rsidRPr="00CD5F12" w14:paraId="46B65FF3" w14:textId="77777777" w:rsidTr="007D7979">
        <w:trPr>
          <w:jc w:val="center"/>
        </w:trPr>
        <w:tc>
          <w:tcPr>
            <w:tcW w:w="3165" w:type="dxa"/>
            <w:tcBorders>
              <w:top w:val="nil"/>
              <w:bottom w:val="nil"/>
            </w:tcBorders>
          </w:tcPr>
          <w:p w14:paraId="7F7A5516"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Panamá</w:t>
            </w:r>
          </w:p>
        </w:tc>
        <w:tc>
          <w:tcPr>
            <w:tcW w:w="1187" w:type="dxa"/>
            <w:tcBorders>
              <w:top w:val="nil"/>
              <w:bottom w:val="nil"/>
            </w:tcBorders>
            <w:vAlign w:val="bottom"/>
          </w:tcPr>
          <w:p w14:paraId="131F284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3.7</w:t>
            </w:r>
          </w:p>
        </w:tc>
        <w:tc>
          <w:tcPr>
            <w:tcW w:w="1223" w:type="dxa"/>
            <w:tcBorders>
              <w:top w:val="nil"/>
              <w:bottom w:val="nil"/>
            </w:tcBorders>
          </w:tcPr>
          <w:p w14:paraId="2D596158"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4.6</w:t>
            </w:r>
          </w:p>
        </w:tc>
        <w:tc>
          <w:tcPr>
            <w:tcW w:w="1276" w:type="dxa"/>
            <w:tcBorders>
              <w:top w:val="nil"/>
              <w:bottom w:val="nil"/>
            </w:tcBorders>
          </w:tcPr>
          <w:p w14:paraId="58F84B3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2.1</w:t>
            </w:r>
          </w:p>
        </w:tc>
        <w:tc>
          <w:tcPr>
            <w:tcW w:w="1229" w:type="dxa"/>
            <w:tcBorders>
              <w:top w:val="nil"/>
              <w:bottom w:val="nil"/>
            </w:tcBorders>
          </w:tcPr>
          <w:p w14:paraId="486ADD3E"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1.9</w:t>
            </w:r>
          </w:p>
        </w:tc>
      </w:tr>
      <w:tr w:rsidR="00CD5F12" w:rsidRPr="00CD5F12" w14:paraId="2A4DEAAE" w14:textId="77777777" w:rsidTr="007D7979">
        <w:trPr>
          <w:jc w:val="center"/>
        </w:trPr>
        <w:tc>
          <w:tcPr>
            <w:tcW w:w="3165" w:type="dxa"/>
            <w:tcBorders>
              <w:top w:val="nil"/>
              <w:bottom w:val="nil"/>
            </w:tcBorders>
          </w:tcPr>
          <w:p w14:paraId="5D8BD19B"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República Dominicana</w:t>
            </w:r>
          </w:p>
        </w:tc>
        <w:tc>
          <w:tcPr>
            <w:tcW w:w="1187" w:type="dxa"/>
            <w:tcBorders>
              <w:top w:val="nil"/>
              <w:bottom w:val="nil"/>
            </w:tcBorders>
            <w:vAlign w:val="bottom"/>
          </w:tcPr>
          <w:p w14:paraId="57F50977"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3.9</w:t>
            </w:r>
          </w:p>
        </w:tc>
        <w:tc>
          <w:tcPr>
            <w:tcW w:w="1223" w:type="dxa"/>
            <w:tcBorders>
              <w:top w:val="nil"/>
              <w:bottom w:val="nil"/>
            </w:tcBorders>
          </w:tcPr>
          <w:p w14:paraId="6E78F21E"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2.1</w:t>
            </w:r>
          </w:p>
        </w:tc>
        <w:tc>
          <w:tcPr>
            <w:tcW w:w="1276" w:type="dxa"/>
            <w:tcBorders>
              <w:top w:val="nil"/>
              <w:bottom w:val="nil"/>
            </w:tcBorders>
          </w:tcPr>
          <w:p w14:paraId="30ED6B93"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2.9</w:t>
            </w:r>
          </w:p>
        </w:tc>
        <w:tc>
          <w:tcPr>
            <w:tcW w:w="1229" w:type="dxa"/>
            <w:tcBorders>
              <w:top w:val="nil"/>
              <w:bottom w:val="nil"/>
            </w:tcBorders>
          </w:tcPr>
          <w:p w14:paraId="1F44B7DA"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5.6</w:t>
            </w:r>
          </w:p>
        </w:tc>
      </w:tr>
      <w:tr w:rsidR="00CD5F12" w:rsidRPr="00CD5F12" w14:paraId="580B6D1A" w14:textId="77777777" w:rsidTr="007D7979">
        <w:trPr>
          <w:jc w:val="center"/>
        </w:trPr>
        <w:tc>
          <w:tcPr>
            <w:tcW w:w="3165" w:type="dxa"/>
            <w:tcBorders>
              <w:top w:val="nil"/>
              <w:bottom w:val="nil"/>
            </w:tcBorders>
          </w:tcPr>
          <w:p w14:paraId="0A30EFCE" w14:textId="77777777" w:rsidR="00CD5F12" w:rsidRPr="00CD5F12" w:rsidRDefault="00CD5F12" w:rsidP="00CD5F12">
            <w:pPr>
              <w:jc w:val="both"/>
              <w:rPr>
                <w:rFonts w:eastAsia="Times New Roman"/>
                <w:b/>
                <w:sz w:val="16"/>
                <w:szCs w:val="16"/>
                <w:lang w:val="es-ES"/>
              </w:rPr>
            </w:pPr>
            <w:r w:rsidRPr="00CD5F12">
              <w:rPr>
                <w:rFonts w:eastAsia="Times New Roman"/>
                <w:b/>
                <w:sz w:val="16"/>
                <w:szCs w:val="16"/>
                <w:lang w:val="es-ES"/>
              </w:rPr>
              <w:t>El Caribe</w:t>
            </w:r>
            <w:r w:rsidRPr="00CD5F12">
              <w:rPr>
                <w:rFonts w:eastAsia="Times New Roman"/>
                <w:b/>
                <w:sz w:val="16"/>
                <w:szCs w:val="16"/>
                <w:u w:val="single"/>
                <w:vertAlign w:val="superscript"/>
                <w:lang w:val="es-ES"/>
              </w:rPr>
              <w:t>d</w:t>
            </w:r>
            <w:r w:rsidRPr="00CD5F12">
              <w:rPr>
                <w:rFonts w:eastAsia="Times New Roman"/>
                <w:b/>
                <w:sz w:val="16"/>
                <w:szCs w:val="16"/>
                <w:vertAlign w:val="superscript"/>
                <w:lang w:val="es-ES"/>
              </w:rPr>
              <w:t>/</w:t>
            </w:r>
          </w:p>
        </w:tc>
        <w:tc>
          <w:tcPr>
            <w:tcW w:w="1187" w:type="dxa"/>
            <w:tcBorders>
              <w:top w:val="nil"/>
              <w:bottom w:val="nil"/>
            </w:tcBorders>
            <w:vAlign w:val="bottom"/>
          </w:tcPr>
          <w:p w14:paraId="126C561B" w14:textId="77777777" w:rsidR="00CD5F12" w:rsidRPr="00CD5F12" w:rsidRDefault="00CD5F12" w:rsidP="00CD5F12">
            <w:pPr>
              <w:ind w:right="454"/>
              <w:jc w:val="right"/>
              <w:rPr>
                <w:rFonts w:eastAsia="Times New Roman"/>
                <w:b/>
                <w:sz w:val="16"/>
                <w:szCs w:val="16"/>
                <w:lang w:val="es-ES"/>
              </w:rPr>
            </w:pPr>
            <w:r w:rsidRPr="00CD5F12">
              <w:rPr>
                <w:rFonts w:eastAsia="Times New Roman"/>
                <w:b/>
                <w:sz w:val="16"/>
                <w:szCs w:val="16"/>
                <w:lang w:val="es-ES"/>
              </w:rPr>
              <w:t>5.1</w:t>
            </w:r>
          </w:p>
        </w:tc>
        <w:tc>
          <w:tcPr>
            <w:tcW w:w="1223" w:type="dxa"/>
            <w:tcBorders>
              <w:top w:val="nil"/>
              <w:bottom w:val="nil"/>
            </w:tcBorders>
          </w:tcPr>
          <w:p w14:paraId="612FF9FC" w14:textId="77777777" w:rsidR="00CD5F12" w:rsidRPr="00CD5F12" w:rsidRDefault="00CD5F12" w:rsidP="00CD5F12">
            <w:pPr>
              <w:ind w:right="397"/>
              <w:jc w:val="right"/>
              <w:rPr>
                <w:rFonts w:eastAsia="Times New Roman"/>
                <w:b/>
                <w:sz w:val="16"/>
                <w:szCs w:val="16"/>
                <w:lang w:val="es-ES"/>
              </w:rPr>
            </w:pPr>
            <w:r w:rsidRPr="00CD5F12">
              <w:rPr>
                <w:rFonts w:eastAsia="Times New Roman"/>
                <w:b/>
                <w:sz w:val="16"/>
                <w:szCs w:val="16"/>
                <w:lang w:val="es-ES"/>
              </w:rPr>
              <w:t>5.4</w:t>
            </w:r>
          </w:p>
        </w:tc>
        <w:tc>
          <w:tcPr>
            <w:tcW w:w="1276" w:type="dxa"/>
            <w:tcBorders>
              <w:top w:val="nil"/>
              <w:bottom w:val="nil"/>
            </w:tcBorders>
          </w:tcPr>
          <w:p w14:paraId="089630E3" w14:textId="77777777" w:rsidR="00CD5F12" w:rsidRPr="00CD5F12" w:rsidRDefault="00CD5F12" w:rsidP="00CD5F12">
            <w:pPr>
              <w:ind w:right="454"/>
              <w:jc w:val="right"/>
              <w:rPr>
                <w:rFonts w:eastAsia="Times New Roman"/>
                <w:b/>
                <w:sz w:val="16"/>
                <w:szCs w:val="16"/>
                <w:lang w:val="es-ES"/>
              </w:rPr>
            </w:pPr>
            <w:r w:rsidRPr="00CD5F12">
              <w:rPr>
                <w:rFonts w:eastAsia="Times New Roman"/>
                <w:b/>
                <w:sz w:val="16"/>
                <w:szCs w:val="16"/>
                <w:lang w:val="es-ES"/>
              </w:rPr>
              <w:t>5.6</w:t>
            </w:r>
          </w:p>
        </w:tc>
        <w:tc>
          <w:tcPr>
            <w:tcW w:w="1229" w:type="dxa"/>
            <w:tcBorders>
              <w:top w:val="nil"/>
              <w:bottom w:val="nil"/>
            </w:tcBorders>
          </w:tcPr>
          <w:p w14:paraId="04DE1D01" w14:textId="77777777" w:rsidR="00CD5F12" w:rsidRPr="00CD5F12" w:rsidRDefault="00CD5F12" w:rsidP="00CD5F12">
            <w:pPr>
              <w:ind w:right="397"/>
              <w:jc w:val="right"/>
              <w:rPr>
                <w:rFonts w:eastAsia="Times New Roman"/>
                <w:b/>
                <w:sz w:val="16"/>
                <w:szCs w:val="16"/>
                <w:lang w:val="es-ES"/>
              </w:rPr>
            </w:pPr>
            <w:r w:rsidRPr="00CD5F12">
              <w:rPr>
                <w:rFonts w:eastAsia="Times New Roman"/>
                <w:b/>
                <w:sz w:val="16"/>
                <w:szCs w:val="16"/>
                <w:lang w:val="es-ES"/>
              </w:rPr>
              <w:t>8.7</w:t>
            </w:r>
          </w:p>
        </w:tc>
      </w:tr>
      <w:tr w:rsidR="00CD5F12" w:rsidRPr="00CD5F12" w14:paraId="110C3468" w14:textId="77777777" w:rsidTr="007D7979">
        <w:trPr>
          <w:jc w:val="center"/>
        </w:trPr>
        <w:tc>
          <w:tcPr>
            <w:tcW w:w="3165" w:type="dxa"/>
            <w:tcBorders>
              <w:top w:val="nil"/>
              <w:bottom w:val="nil"/>
            </w:tcBorders>
          </w:tcPr>
          <w:p w14:paraId="4965720F"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Antigua y Barbuda</w:t>
            </w:r>
            <w:r w:rsidRPr="00CD5F12">
              <w:rPr>
                <w:rFonts w:eastAsia="Times New Roman"/>
                <w:sz w:val="16"/>
                <w:szCs w:val="16"/>
                <w:u w:val="single"/>
                <w:vertAlign w:val="superscript"/>
                <w:lang w:val="es-ES"/>
              </w:rPr>
              <w:t>e</w:t>
            </w:r>
            <w:r w:rsidRPr="00CD5F12">
              <w:rPr>
                <w:rFonts w:eastAsia="Times New Roman"/>
                <w:sz w:val="16"/>
                <w:szCs w:val="16"/>
                <w:vertAlign w:val="superscript"/>
                <w:lang w:val="es-ES"/>
              </w:rPr>
              <w:t>/</w:t>
            </w:r>
          </w:p>
        </w:tc>
        <w:tc>
          <w:tcPr>
            <w:tcW w:w="1187" w:type="dxa"/>
            <w:tcBorders>
              <w:top w:val="nil"/>
              <w:bottom w:val="nil"/>
            </w:tcBorders>
            <w:vAlign w:val="bottom"/>
          </w:tcPr>
          <w:p w14:paraId="53D58DB4"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1.1</w:t>
            </w:r>
          </w:p>
        </w:tc>
        <w:tc>
          <w:tcPr>
            <w:tcW w:w="1223" w:type="dxa"/>
            <w:tcBorders>
              <w:top w:val="nil"/>
              <w:bottom w:val="nil"/>
            </w:tcBorders>
          </w:tcPr>
          <w:p w14:paraId="42AA0D94"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2.1</w:t>
            </w:r>
          </w:p>
        </w:tc>
        <w:tc>
          <w:tcPr>
            <w:tcW w:w="1276" w:type="dxa"/>
            <w:tcBorders>
              <w:top w:val="nil"/>
              <w:bottom w:val="nil"/>
            </w:tcBorders>
          </w:tcPr>
          <w:p w14:paraId="10D7C2C8"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0.8</w:t>
            </w:r>
          </w:p>
        </w:tc>
        <w:tc>
          <w:tcPr>
            <w:tcW w:w="1229" w:type="dxa"/>
            <w:tcBorders>
              <w:top w:val="nil"/>
              <w:bottom w:val="nil"/>
            </w:tcBorders>
          </w:tcPr>
          <w:p w14:paraId="4058283B"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1.3</w:t>
            </w:r>
          </w:p>
        </w:tc>
      </w:tr>
      <w:tr w:rsidR="00CD5F12" w:rsidRPr="00CD5F12" w14:paraId="0DA6B60C" w14:textId="77777777" w:rsidTr="007D7979">
        <w:trPr>
          <w:jc w:val="center"/>
        </w:trPr>
        <w:tc>
          <w:tcPr>
            <w:tcW w:w="3165" w:type="dxa"/>
            <w:tcBorders>
              <w:top w:val="nil"/>
              <w:bottom w:val="nil"/>
            </w:tcBorders>
          </w:tcPr>
          <w:p w14:paraId="1C432C83"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Bahamas</w:t>
            </w:r>
            <w:r w:rsidRPr="00CD5F12">
              <w:rPr>
                <w:rFonts w:eastAsia="Times New Roman"/>
                <w:sz w:val="16"/>
                <w:szCs w:val="16"/>
                <w:u w:val="single"/>
                <w:vertAlign w:val="superscript"/>
                <w:lang w:val="es-ES"/>
              </w:rPr>
              <w:t>b</w:t>
            </w:r>
            <w:r w:rsidRPr="00CD5F12">
              <w:rPr>
                <w:rFonts w:eastAsia="Times New Roman"/>
                <w:sz w:val="16"/>
                <w:szCs w:val="16"/>
                <w:vertAlign w:val="superscript"/>
                <w:lang w:val="es-ES"/>
              </w:rPr>
              <w:t>/</w:t>
            </w:r>
          </w:p>
        </w:tc>
        <w:tc>
          <w:tcPr>
            <w:tcW w:w="1187" w:type="dxa"/>
            <w:tcBorders>
              <w:top w:val="nil"/>
              <w:bottom w:val="nil"/>
            </w:tcBorders>
            <w:vAlign w:val="bottom"/>
          </w:tcPr>
          <w:p w14:paraId="580F4FF1"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0.7</w:t>
            </w:r>
          </w:p>
        </w:tc>
        <w:tc>
          <w:tcPr>
            <w:tcW w:w="1223" w:type="dxa"/>
            <w:tcBorders>
              <w:top w:val="nil"/>
              <w:bottom w:val="nil"/>
            </w:tcBorders>
          </w:tcPr>
          <w:p w14:paraId="5E7AACC9"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1.2</w:t>
            </w:r>
          </w:p>
        </w:tc>
        <w:tc>
          <w:tcPr>
            <w:tcW w:w="1276" w:type="dxa"/>
            <w:tcBorders>
              <w:top w:val="nil"/>
              <w:bottom w:val="nil"/>
            </w:tcBorders>
          </w:tcPr>
          <w:p w14:paraId="23438BDD"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1.0</w:t>
            </w:r>
          </w:p>
        </w:tc>
        <w:tc>
          <w:tcPr>
            <w:tcW w:w="1229" w:type="dxa"/>
            <w:tcBorders>
              <w:top w:val="nil"/>
              <w:bottom w:val="nil"/>
            </w:tcBorders>
          </w:tcPr>
          <w:p w14:paraId="715965E3"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7.3</w:t>
            </w:r>
          </w:p>
        </w:tc>
      </w:tr>
      <w:tr w:rsidR="00CD5F12" w:rsidRPr="00CD5F12" w14:paraId="01F476B9" w14:textId="77777777" w:rsidTr="007D7979">
        <w:trPr>
          <w:jc w:val="center"/>
        </w:trPr>
        <w:tc>
          <w:tcPr>
            <w:tcW w:w="3165" w:type="dxa"/>
            <w:tcBorders>
              <w:top w:val="nil"/>
              <w:bottom w:val="nil"/>
            </w:tcBorders>
          </w:tcPr>
          <w:p w14:paraId="4FA29225"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Barbados</w:t>
            </w:r>
            <w:r w:rsidRPr="00CD5F12">
              <w:rPr>
                <w:rFonts w:eastAsia="Times New Roman"/>
                <w:sz w:val="16"/>
                <w:szCs w:val="16"/>
                <w:u w:val="single"/>
                <w:vertAlign w:val="superscript"/>
                <w:lang w:val="es-ES"/>
              </w:rPr>
              <w:t>b</w:t>
            </w:r>
            <w:r w:rsidRPr="00CD5F12">
              <w:rPr>
                <w:rFonts w:eastAsia="Times New Roman"/>
                <w:sz w:val="16"/>
                <w:szCs w:val="16"/>
                <w:vertAlign w:val="superscript"/>
                <w:lang w:val="es-ES"/>
              </w:rPr>
              <w:t>/</w:t>
            </w:r>
          </w:p>
        </w:tc>
        <w:tc>
          <w:tcPr>
            <w:tcW w:w="1187" w:type="dxa"/>
            <w:tcBorders>
              <w:top w:val="nil"/>
              <w:bottom w:val="nil"/>
            </w:tcBorders>
            <w:vAlign w:val="bottom"/>
          </w:tcPr>
          <w:p w14:paraId="2ACD8097"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1.1</w:t>
            </w:r>
          </w:p>
        </w:tc>
        <w:tc>
          <w:tcPr>
            <w:tcW w:w="1223" w:type="dxa"/>
            <w:tcBorders>
              <w:top w:val="nil"/>
              <w:bottom w:val="nil"/>
            </w:tcBorders>
          </w:tcPr>
          <w:p w14:paraId="28CAF0F5"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0.5</w:t>
            </w:r>
          </w:p>
        </w:tc>
        <w:tc>
          <w:tcPr>
            <w:tcW w:w="1276" w:type="dxa"/>
            <w:tcBorders>
              <w:top w:val="nil"/>
              <w:bottom w:val="nil"/>
            </w:tcBorders>
          </w:tcPr>
          <w:p w14:paraId="0C8AA127"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3.1</w:t>
            </w:r>
          </w:p>
        </w:tc>
        <w:tc>
          <w:tcPr>
            <w:tcW w:w="1229" w:type="dxa"/>
            <w:tcBorders>
              <w:top w:val="nil"/>
              <w:bottom w:val="nil"/>
            </w:tcBorders>
          </w:tcPr>
          <w:p w14:paraId="3D5506D9"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1.3</w:t>
            </w:r>
          </w:p>
        </w:tc>
      </w:tr>
      <w:tr w:rsidR="00CD5F12" w:rsidRPr="00CD5F12" w14:paraId="4A20C609" w14:textId="77777777" w:rsidTr="007D7979">
        <w:trPr>
          <w:jc w:val="center"/>
        </w:trPr>
        <w:tc>
          <w:tcPr>
            <w:tcW w:w="3165" w:type="dxa"/>
            <w:tcBorders>
              <w:top w:val="nil"/>
              <w:bottom w:val="nil"/>
            </w:tcBorders>
          </w:tcPr>
          <w:p w14:paraId="1A7B3A0D"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Belice</w:t>
            </w:r>
            <w:r w:rsidRPr="00CD5F12">
              <w:rPr>
                <w:rFonts w:eastAsia="Times New Roman"/>
                <w:sz w:val="16"/>
                <w:szCs w:val="16"/>
                <w:u w:val="single"/>
                <w:vertAlign w:val="superscript"/>
                <w:lang w:val="es-ES"/>
              </w:rPr>
              <w:t>c</w:t>
            </w:r>
            <w:r w:rsidRPr="00CD5F12">
              <w:rPr>
                <w:rFonts w:eastAsia="Times New Roman"/>
                <w:sz w:val="16"/>
                <w:szCs w:val="16"/>
                <w:vertAlign w:val="superscript"/>
                <w:lang w:val="es-ES"/>
              </w:rPr>
              <w:t>/</w:t>
            </w:r>
          </w:p>
        </w:tc>
        <w:tc>
          <w:tcPr>
            <w:tcW w:w="1187" w:type="dxa"/>
            <w:tcBorders>
              <w:top w:val="nil"/>
              <w:bottom w:val="nil"/>
            </w:tcBorders>
            <w:vAlign w:val="bottom"/>
          </w:tcPr>
          <w:p w14:paraId="046EC9F6"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0.0</w:t>
            </w:r>
          </w:p>
        </w:tc>
        <w:tc>
          <w:tcPr>
            <w:tcW w:w="1223" w:type="dxa"/>
            <w:tcBorders>
              <w:top w:val="nil"/>
              <w:bottom w:val="nil"/>
            </w:tcBorders>
          </w:tcPr>
          <w:p w14:paraId="2946A68E"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0.4</w:t>
            </w:r>
          </w:p>
        </w:tc>
        <w:tc>
          <w:tcPr>
            <w:tcW w:w="1276" w:type="dxa"/>
            <w:tcBorders>
              <w:top w:val="nil"/>
              <w:bottom w:val="nil"/>
            </w:tcBorders>
          </w:tcPr>
          <w:p w14:paraId="1670544E"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0.7</w:t>
            </w:r>
          </w:p>
        </w:tc>
        <w:tc>
          <w:tcPr>
            <w:tcW w:w="1229" w:type="dxa"/>
            <w:tcBorders>
              <w:top w:val="nil"/>
              <w:bottom w:val="nil"/>
            </w:tcBorders>
          </w:tcPr>
          <w:p w14:paraId="6E5EE915"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-0.3</w:t>
            </w:r>
          </w:p>
        </w:tc>
      </w:tr>
      <w:tr w:rsidR="00CD5F12" w:rsidRPr="00CD5F12" w14:paraId="2DB32025" w14:textId="77777777" w:rsidTr="007D7979">
        <w:trPr>
          <w:jc w:val="center"/>
        </w:trPr>
        <w:tc>
          <w:tcPr>
            <w:tcW w:w="3165" w:type="dxa"/>
            <w:tcBorders>
              <w:top w:val="nil"/>
              <w:bottom w:val="nil"/>
            </w:tcBorders>
          </w:tcPr>
          <w:p w14:paraId="665A2767"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Dominica</w:t>
            </w:r>
            <w:r w:rsidRPr="00CD5F12">
              <w:rPr>
                <w:rFonts w:eastAsia="Times New Roman"/>
                <w:sz w:val="16"/>
                <w:szCs w:val="16"/>
                <w:u w:val="single"/>
                <w:vertAlign w:val="superscript"/>
                <w:lang w:val="es-ES"/>
              </w:rPr>
              <w:t>e</w:t>
            </w:r>
            <w:r w:rsidRPr="00CD5F12">
              <w:rPr>
                <w:rFonts w:eastAsia="Times New Roman"/>
                <w:sz w:val="16"/>
                <w:szCs w:val="16"/>
                <w:vertAlign w:val="superscript"/>
                <w:lang w:val="es-ES"/>
              </w:rPr>
              <w:t>/</w:t>
            </w:r>
          </w:p>
        </w:tc>
        <w:tc>
          <w:tcPr>
            <w:tcW w:w="1187" w:type="dxa"/>
            <w:tcBorders>
              <w:top w:val="nil"/>
              <w:bottom w:val="nil"/>
            </w:tcBorders>
            <w:vAlign w:val="bottom"/>
          </w:tcPr>
          <w:p w14:paraId="2BA675FB"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-1.1</w:t>
            </w:r>
          </w:p>
        </w:tc>
        <w:tc>
          <w:tcPr>
            <w:tcW w:w="1223" w:type="dxa"/>
            <w:tcBorders>
              <w:top w:val="nil"/>
              <w:bottom w:val="nil"/>
            </w:tcBorders>
          </w:tcPr>
          <w:p w14:paraId="2C08F6AD"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0.9</w:t>
            </w:r>
          </w:p>
        </w:tc>
        <w:tc>
          <w:tcPr>
            <w:tcW w:w="1276" w:type="dxa"/>
            <w:tcBorders>
              <w:top w:val="nil"/>
              <w:bottom w:val="nil"/>
            </w:tcBorders>
          </w:tcPr>
          <w:p w14:paraId="6EEC122D"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1.0</w:t>
            </w:r>
          </w:p>
        </w:tc>
        <w:tc>
          <w:tcPr>
            <w:tcW w:w="1229" w:type="dxa"/>
            <w:tcBorders>
              <w:top w:val="nil"/>
              <w:bottom w:val="nil"/>
            </w:tcBorders>
          </w:tcPr>
          <w:p w14:paraId="7182458D"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1.3</w:t>
            </w:r>
          </w:p>
        </w:tc>
      </w:tr>
      <w:tr w:rsidR="00CD5F12" w:rsidRPr="00CD5F12" w14:paraId="428BA22F" w14:textId="77777777" w:rsidTr="007D7979">
        <w:trPr>
          <w:jc w:val="center"/>
        </w:trPr>
        <w:tc>
          <w:tcPr>
            <w:tcW w:w="3165" w:type="dxa"/>
            <w:tcBorders>
              <w:top w:val="nil"/>
              <w:bottom w:val="nil"/>
            </w:tcBorders>
          </w:tcPr>
          <w:p w14:paraId="4BE4F0E6"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Granada</w:t>
            </w:r>
            <w:r w:rsidRPr="00CD5F12">
              <w:rPr>
                <w:rFonts w:eastAsia="Times New Roman"/>
                <w:sz w:val="16"/>
                <w:szCs w:val="16"/>
                <w:u w:val="single"/>
                <w:vertAlign w:val="superscript"/>
                <w:lang w:val="es-ES"/>
              </w:rPr>
              <w:t>e</w:t>
            </w:r>
            <w:r w:rsidRPr="00CD5F12">
              <w:rPr>
                <w:rFonts w:eastAsia="Times New Roman"/>
                <w:sz w:val="16"/>
                <w:szCs w:val="16"/>
                <w:vertAlign w:val="superscript"/>
                <w:lang w:val="es-ES"/>
              </w:rPr>
              <w:t>/</w:t>
            </w:r>
          </w:p>
        </w:tc>
        <w:tc>
          <w:tcPr>
            <w:tcW w:w="1187" w:type="dxa"/>
            <w:tcBorders>
              <w:top w:val="nil"/>
              <w:bottom w:val="nil"/>
            </w:tcBorders>
            <w:vAlign w:val="bottom"/>
          </w:tcPr>
          <w:p w14:paraId="28FA9002"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-0.1</w:t>
            </w:r>
          </w:p>
        </w:tc>
        <w:tc>
          <w:tcPr>
            <w:tcW w:w="1223" w:type="dxa"/>
            <w:tcBorders>
              <w:top w:val="nil"/>
              <w:bottom w:val="nil"/>
            </w:tcBorders>
          </w:tcPr>
          <w:p w14:paraId="2F735825"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0.6</w:t>
            </w:r>
          </w:p>
        </w:tc>
        <w:tc>
          <w:tcPr>
            <w:tcW w:w="1276" w:type="dxa"/>
            <w:tcBorders>
              <w:top w:val="nil"/>
              <w:bottom w:val="nil"/>
            </w:tcBorders>
          </w:tcPr>
          <w:p w14:paraId="77095EDA"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-1.3</w:t>
            </w:r>
          </w:p>
        </w:tc>
        <w:tc>
          <w:tcPr>
            <w:tcW w:w="1229" w:type="dxa"/>
            <w:tcBorders>
              <w:top w:val="nil"/>
              <w:bottom w:val="nil"/>
            </w:tcBorders>
          </w:tcPr>
          <w:p w14:paraId="3D88C21D"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0.6</w:t>
            </w:r>
          </w:p>
        </w:tc>
      </w:tr>
      <w:tr w:rsidR="00CD5F12" w:rsidRPr="00CD5F12" w14:paraId="10CFC50D" w14:textId="77777777" w:rsidTr="007D7979">
        <w:trPr>
          <w:jc w:val="center"/>
        </w:trPr>
        <w:tc>
          <w:tcPr>
            <w:tcW w:w="3165" w:type="dxa"/>
            <w:tcBorders>
              <w:top w:val="nil"/>
              <w:bottom w:val="nil"/>
            </w:tcBorders>
          </w:tcPr>
          <w:p w14:paraId="01D9C224"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Guyana</w:t>
            </w:r>
            <w:r w:rsidRPr="00CD5F12">
              <w:rPr>
                <w:rFonts w:eastAsia="Times New Roman"/>
                <w:sz w:val="16"/>
                <w:szCs w:val="16"/>
                <w:u w:val="single"/>
                <w:vertAlign w:val="superscript"/>
                <w:lang w:val="es-ES"/>
              </w:rPr>
              <w:t>e</w:t>
            </w:r>
            <w:r w:rsidRPr="00CD5F12">
              <w:rPr>
                <w:rFonts w:eastAsia="Times New Roman"/>
                <w:sz w:val="16"/>
                <w:szCs w:val="16"/>
                <w:vertAlign w:val="superscript"/>
                <w:lang w:val="es-ES"/>
              </w:rPr>
              <w:t>/</w:t>
            </w:r>
          </w:p>
        </w:tc>
        <w:tc>
          <w:tcPr>
            <w:tcW w:w="1187" w:type="dxa"/>
            <w:tcBorders>
              <w:top w:val="nil"/>
              <w:bottom w:val="nil"/>
            </w:tcBorders>
            <w:vAlign w:val="bottom"/>
          </w:tcPr>
          <w:p w14:paraId="19F9831F"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0.9</w:t>
            </w:r>
          </w:p>
        </w:tc>
        <w:tc>
          <w:tcPr>
            <w:tcW w:w="1223" w:type="dxa"/>
            <w:tcBorders>
              <w:top w:val="nil"/>
              <w:bottom w:val="nil"/>
            </w:tcBorders>
          </w:tcPr>
          <w:p w14:paraId="1427FDE7"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0.0</w:t>
            </w:r>
          </w:p>
        </w:tc>
        <w:tc>
          <w:tcPr>
            <w:tcW w:w="1276" w:type="dxa"/>
            <w:tcBorders>
              <w:top w:val="nil"/>
              <w:bottom w:val="nil"/>
            </w:tcBorders>
          </w:tcPr>
          <w:p w14:paraId="5D4455E4"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0.3</w:t>
            </w:r>
          </w:p>
        </w:tc>
        <w:tc>
          <w:tcPr>
            <w:tcW w:w="1229" w:type="dxa"/>
            <w:tcBorders>
              <w:top w:val="nil"/>
              <w:bottom w:val="nil"/>
            </w:tcBorders>
          </w:tcPr>
          <w:p w14:paraId="219FF6E7"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-0.1</w:t>
            </w:r>
          </w:p>
        </w:tc>
      </w:tr>
      <w:tr w:rsidR="00CD5F12" w:rsidRPr="00CD5F12" w14:paraId="1C8325D3" w14:textId="77777777" w:rsidTr="007D7979">
        <w:trPr>
          <w:jc w:val="center"/>
        </w:trPr>
        <w:tc>
          <w:tcPr>
            <w:tcW w:w="3165" w:type="dxa"/>
            <w:tcBorders>
              <w:top w:val="nil"/>
              <w:bottom w:val="nil"/>
            </w:tcBorders>
          </w:tcPr>
          <w:p w14:paraId="0DC741FE"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Jamaica</w:t>
            </w:r>
            <w:r w:rsidRPr="00CD5F12">
              <w:rPr>
                <w:rFonts w:eastAsia="Times New Roman"/>
                <w:sz w:val="16"/>
                <w:szCs w:val="16"/>
                <w:u w:val="single"/>
                <w:vertAlign w:val="superscript"/>
                <w:lang w:val="es-ES"/>
              </w:rPr>
              <w:t>c</w:t>
            </w:r>
            <w:r w:rsidRPr="00CD5F12">
              <w:rPr>
                <w:rFonts w:eastAsia="Times New Roman"/>
                <w:sz w:val="16"/>
                <w:szCs w:val="16"/>
                <w:vertAlign w:val="superscript"/>
                <w:lang w:val="es-ES"/>
              </w:rPr>
              <w:t>/</w:t>
            </w:r>
          </w:p>
        </w:tc>
        <w:tc>
          <w:tcPr>
            <w:tcW w:w="1187" w:type="dxa"/>
            <w:tcBorders>
              <w:top w:val="nil"/>
              <w:bottom w:val="nil"/>
            </w:tcBorders>
            <w:vAlign w:val="bottom"/>
          </w:tcPr>
          <w:p w14:paraId="303B5E94"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9.7</w:t>
            </w:r>
          </w:p>
        </w:tc>
        <w:tc>
          <w:tcPr>
            <w:tcW w:w="1223" w:type="dxa"/>
            <w:tcBorders>
              <w:top w:val="nil"/>
              <w:bottom w:val="nil"/>
            </w:tcBorders>
          </w:tcPr>
          <w:p w14:paraId="70A81B2B"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7.9</w:t>
            </w:r>
          </w:p>
        </w:tc>
        <w:tc>
          <w:tcPr>
            <w:tcW w:w="1276" w:type="dxa"/>
            <w:tcBorders>
              <w:top w:val="nil"/>
              <w:bottom w:val="nil"/>
            </w:tcBorders>
          </w:tcPr>
          <w:p w14:paraId="7C2744CB"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9.0</w:t>
            </w:r>
          </w:p>
        </w:tc>
        <w:tc>
          <w:tcPr>
            <w:tcW w:w="1229" w:type="dxa"/>
            <w:tcBorders>
              <w:top w:val="nil"/>
              <w:bottom w:val="nil"/>
            </w:tcBorders>
          </w:tcPr>
          <w:p w14:paraId="09870979"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12.5</w:t>
            </w:r>
          </w:p>
        </w:tc>
      </w:tr>
      <w:tr w:rsidR="00CD5F12" w:rsidRPr="00CD5F12" w14:paraId="416434C4" w14:textId="77777777" w:rsidTr="007D7979">
        <w:trPr>
          <w:jc w:val="center"/>
        </w:trPr>
        <w:tc>
          <w:tcPr>
            <w:tcW w:w="3165" w:type="dxa"/>
            <w:tcBorders>
              <w:top w:val="nil"/>
              <w:bottom w:val="nil"/>
            </w:tcBorders>
          </w:tcPr>
          <w:p w14:paraId="6E4ED256" w14:textId="77777777" w:rsidR="00CD5F12" w:rsidRPr="00CD5F12" w:rsidRDefault="00CD5F12" w:rsidP="00CD5F12">
            <w:pPr>
              <w:jc w:val="both"/>
              <w:rPr>
                <w:rFonts w:eastAsia="Times New Roman"/>
                <w:sz w:val="16"/>
                <w:szCs w:val="16"/>
                <w:lang w:val="en-US"/>
              </w:rPr>
            </w:pPr>
            <w:r w:rsidRPr="00CD5F12">
              <w:rPr>
                <w:rFonts w:eastAsia="Times New Roman"/>
                <w:sz w:val="16"/>
                <w:szCs w:val="16"/>
                <w:lang w:val="en-US"/>
              </w:rPr>
              <w:t>San Cristóbal y Nieves</w:t>
            </w:r>
            <w:r w:rsidRPr="00CD5F12">
              <w:rPr>
                <w:rFonts w:eastAsia="Times New Roman"/>
                <w:sz w:val="16"/>
                <w:szCs w:val="16"/>
                <w:u w:val="single"/>
                <w:vertAlign w:val="superscript"/>
                <w:lang w:val="en-US"/>
              </w:rPr>
              <w:t>e</w:t>
            </w:r>
            <w:r w:rsidRPr="00CD5F12">
              <w:rPr>
                <w:rFonts w:eastAsia="Times New Roman"/>
                <w:sz w:val="16"/>
                <w:szCs w:val="16"/>
                <w:vertAlign w:val="superscript"/>
                <w:lang w:val="en-US"/>
              </w:rPr>
              <w:t>/</w:t>
            </w:r>
          </w:p>
        </w:tc>
        <w:tc>
          <w:tcPr>
            <w:tcW w:w="1187" w:type="dxa"/>
            <w:tcBorders>
              <w:top w:val="nil"/>
              <w:bottom w:val="nil"/>
            </w:tcBorders>
            <w:vAlign w:val="bottom"/>
          </w:tcPr>
          <w:p w14:paraId="60E82068" w14:textId="77777777" w:rsidR="00CD5F12" w:rsidRPr="00CD5F12" w:rsidRDefault="00CD5F12" w:rsidP="00CD5F12">
            <w:pPr>
              <w:ind w:right="454"/>
              <w:jc w:val="right"/>
              <w:rPr>
                <w:rFonts w:eastAsia="Times New Roman"/>
                <w:sz w:val="16"/>
                <w:szCs w:val="16"/>
                <w:lang w:val="en-US"/>
              </w:rPr>
            </w:pPr>
            <w:r w:rsidRPr="00CD5F12">
              <w:rPr>
                <w:rFonts w:eastAsia="Times New Roman"/>
                <w:sz w:val="16"/>
                <w:szCs w:val="16"/>
                <w:lang w:val="en-US"/>
              </w:rPr>
              <w:t>0.4</w:t>
            </w:r>
          </w:p>
        </w:tc>
        <w:tc>
          <w:tcPr>
            <w:tcW w:w="1223" w:type="dxa"/>
            <w:tcBorders>
              <w:top w:val="nil"/>
              <w:bottom w:val="nil"/>
            </w:tcBorders>
          </w:tcPr>
          <w:p w14:paraId="443016AA" w14:textId="77777777" w:rsidR="00CD5F12" w:rsidRPr="00CD5F12" w:rsidRDefault="00CD5F12" w:rsidP="00CD5F12">
            <w:pPr>
              <w:ind w:right="397"/>
              <w:jc w:val="right"/>
              <w:rPr>
                <w:rFonts w:eastAsia="Times New Roman"/>
                <w:sz w:val="16"/>
                <w:szCs w:val="16"/>
                <w:lang w:val="en-US"/>
              </w:rPr>
            </w:pPr>
            <w:r w:rsidRPr="00CD5F12">
              <w:rPr>
                <w:rFonts w:eastAsia="Times New Roman"/>
                <w:sz w:val="16"/>
                <w:szCs w:val="16"/>
                <w:lang w:val="en-US"/>
              </w:rPr>
              <w:t>4.1</w:t>
            </w:r>
          </w:p>
        </w:tc>
        <w:tc>
          <w:tcPr>
            <w:tcW w:w="1276" w:type="dxa"/>
            <w:tcBorders>
              <w:top w:val="nil"/>
              <w:bottom w:val="nil"/>
            </w:tcBorders>
          </w:tcPr>
          <w:p w14:paraId="03E24C48" w14:textId="77777777" w:rsidR="00CD5F12" w:rsidRPr="00CD5F12" w:rsidRDefault="00CD5F12" w:rsidP="00CD5F12">
            <w:pPr>
              <w:ind w:right="454"/>
              <w:jc w:val="right"/>
              <w:rPr>
                <w:rFonts w:eastAsia="Times New Roman"/>
                <w:sz w:val="16"/>
                <w:szCs w:val="16"/>
                <w:lang w:val="en-US"/>
              </w:rPr>
            </w:pPr>
            <w:r w:rsidRPr="00CD5F12">
              <w:rPr>
                <w:rFonts w:eastAsia="Times New Roman"/>
                <w:sz w:val="16"/>
                <w:szCs w:val="16"/>
                <w:lang w:val="en-US"/>
              </w:rPr>
              <w:t>0.5</w:t>
            </w:r>
          </w:p>
        </w:tc>
        <w:tc>
          <w:tcPr>
            <w:tcW w:w="1229" w:type="dxa"/>
            <w:tcBorders>
              <w:top w:val="nil"/>
              <w:bottom w:val="nil"/>
            </w:tcBorders>
          </w:tcPr>
          <w:p w14:paraId="1B951570" w14:textId="77777777" w:rsidR="00CD5F12" w:rsidRPr="00CD5F12" w:rsidRDefault="00CD5F12" w:rsidP="00CD5F12">
            <w:pPr>
              <w:ind w:right="397"/>
              <w:jc w:val="right"/>
              <w:rPr>
                <w:rFonts w:eastAsia="Times New Roman"/>
                <w:sz w:val="16"/>
                <w:szCs w:val="16"/>
                <w:lang w:val="en-US"/>
              </w:rPr>
            </w:pPr>
            <w:r w:rsidRPr="00CD5F12">
              <w:rPr>
                <w:rFonts w:eastAsia="Times New Roman"/>
                <w:sz w:val="16"/>
                <w:szCs w:val="16"/>
                <w:lang w:val="en-US"/>
              </w:rPr>
              <w:t>3.0</w:t>
            </w:r>
          </w:p>
        </w:tc>
      </w:tr>
      <w:tr w:rsidR="00CD5F12" w:rsidRPr="00CD5F12" w14:paraId="77A671FF" w14:textId="77777777" w:rsidTr="007D7979">
        <w:trPr>
          <w:jc w:val="center"/>
        </w:trPr>
        <w:tc>
          <w:tcPr>
            <w:tcW w:w="3165" w:type="dxa"/>
            <w:tcBorders>
              <w:top w:val="nil"/>
              <w:bottom w:val="nil"/>
            </w:tcBorders>
          </w:tcPr>
          <w:p w14:paraId="3C491D31"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San Vicente y las Granadinas</w:t>
            </w:r>
            <w:r w:rsidRPr="00CD5F12">
              <w:rPr>
                <w:rFonts w:eastAsia="Times New Roman"/>
                <w:sz w:val="16"/>
                <w:szCs w:val="16"/>
                <w:u w:val="single"/>
                <w:vertAlign w:val="superscript"/>
                <w:lang w:val="es-ES"/>
              </w:rPr>
              <w:t>e</w:t>
            </w:r>
            <w:r w:rsidRPr="00CD5F12">
              <w:rPr>
                <w:rFonts w:eastAsia="Times New Roman"/>
                <w:sz w:val="16"/>
                <w:szCs w:val="16"/>
                <w:vertAlign w:val="superscript"/>
                <w:lang w:val="es-ES"/>
              </w:rPr>
              <w:t>/</w:t>
            </w:r>
          </w:p>
        </w:tc>
        <w:tc>
          <w:tcPr>
            <w:tcW w:w="1187" w:type="dxa"/>
            <w:tcBorders>
              <w:top w:val="nil"/>
              <w:bottom w:val="nil"/>
            </w:tcBorders>
            <w:vAlign w:val="bottom"/>
          </w:tcPr>
          <w:p w14:paraId="5BF1C068"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0.0</w:t>
            </w:r>
          </w:p>
        </w:tc>
        <w:tc>
          <w:tcPr>
            <w:tcW w:w="1223" w:type="dxa"/>
            <w:tcBorders>
              <w:top w:val="nil"/>
              <w:bottom w:val="nil"/>
            </w:tcBorders>
          </w:tcPr>
          <w:p w14:paraId="646F4D4A"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1.8</w:t>
            </w:r>
          </w:p>
        </w:tc>
        <w:tc>
          <w:tcPr>
            <w:tcW w:w="1276" w:type="dxa"/>
            <w:tcBorders>
              <w:top w:val="nil"/>
              <w:bottom w:val="nil"/>
            </w:tcBorders>
          </w:tcPr>
          <w:p w14:paraId="1CF50539"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-0.2</w:t>
            </w:r>
          </w:p>
        </w:tc>
        <w:tc>
          <w:tcPr>
            <w:tcW w:w="1229" w:type="dxa"/>
            <w:tcBorders>
              <w:top w:val="nil"/>
              <w:bottom w:val="nil"/>
            </w:tcBorders>
          </w:tcPr>
          <w:p w14:paraId="7ED6206A"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2.5</w:t>
            </w:r>
          </w:p>
        </w:tc>
      </w:tr>
      <w:tr w:rsidR="00CD5F12" w:rsidRPr="00CD5F12" w14:paraId="656520F1" w14:textId="77777777" w:rsidTr="007D7979">
        <w:trPr>
          <w:jc w:val="center"/>
        </w:trPr>
        <w:tc>
          <w:tcPr>
            <w:tcW w:w="3165" w:type="dxa"/>
            <w:tcBorders>
              <w:top w:val="nil"/>
              <w:bottom w:val="nil"/>
            </w:tcBorders>
          </w:tcPr>
          <w:p w14:paraId="47704EA1"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Santa Lucía</w:t>
            </w:r>
            <w:r w:rsidRPr="00CD5F12">
              <w:rPr>
                <w:rFonts w:eastAsia="Times New Roman"/>
                <w:sz w:val="16"/>
                <w:szCs w:val="16"/>
                <w:u w:val="single"/>
                <w:vertAlign w:val="superscript"/>
                <w:lang w:val="es-ES"/>
              </w:rPr>
              <w:t>e</w:t>
            </w:r>
            <w:r w:rsidRPr="00CD5F12">
              <w:rPr>
                <w:rFonts w:eastAsia="Times New Roman"/>
                <w:sz w:val="16"/>
                <w:szCs w:val="16"/>
                <w:vertAlign w:val="superscript"/>
                <w:lang w:val="es-ES"/>
              </w:rPr>
              <w:t>/</w:t>
            </w:r>
          </w:p>
        </w:tc>
        <w:tc>
          <w:tcPr>
            <w:tcW w:w="1187" w:type="dxa"/>
            <w:tcBorders>
              <w:top w:val="nil"/>
              <w:bottom w:val="nil"/>
            </w:tcBorders>
            <w:vAlign w:val="bottom"/>
          </w:tcPr>
          <w:p w14:paraId="3A854E3B"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-0.7</w:t>
            </w:r>
          </w:p>
        </w:tc>
        <w:tc>
          <w:tcPr>
            <w:tcW w:w="1223" w:type="dxa"/>
            <w:tcBorders>
              <w:top w:val="nil"/>
              <w:bottom w:val="nil"/>
            </w:tcBorders>
          </w:tcPr>
          <w:p w14:paraId="2716FBCF"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-2.2</w:t>
            </w:r>
          </w:p>
        </w:tc>
        <w:tc>
          <w:tcPr>
            <w:tcW w:w="1276" w:type="dxa"/>
            <w:tcBorders>
              <w:top w:val="nil"/>
              <w:bottom w:val="nil"/>
            </w:tcBorders>
          </w:tcPr>
          <w:p w14:paraId="37C70DE4"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4.3</w:t>
            </w:r>
          </w:p>
        </w:tc>
        <w:tc>
          <w:tcPr>
            <w:tcW w:w="1229" w:type="dxa"/>
            <w:tcBorders>
              <w:top w:val="nil"/>
              <w:bottom w:val="nil"/>
            </w:tcBorders>
          </w:tcPr>
          <w:p w14:paraId="6A6CA790"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0.3</w:t>
            </w:r>
          </w:p>
        </w:tc>
      </w:tr>
      <w:tr w:rsidR="00CD5F12" w:rsidRPr="00CD5F12" w14:paraId="601F8D52" w14:textId="77777777" w:rsidTr="007D7979">
        <w:trPr>
          <w:jc w:val="center"/>
        </w:trPr>
        <w:tc>
          <w:tcPr>
            <w:tcW w:w="3165" w:type="dxa"/>
            <w:tcBorders>
              <w:top w:val="nil"/>
              <w:bottom w:val="nil"/>
            </w:tcBorders>
          </w:tcPr>
          <w:p w14:paraId="73ADB163"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Suriname</w:t>
            </w:r>
            <w:r w:rsidRPr="00CD5F12">
              <w:rPr>
                <w:rFonts w:eastAsia="Times New Roman"/>
                <w:sz w:val="16"/>
                <w:szCs w:val="16"/>
                <w:u w:val="single"/>
                <w:vertAlign w:val="superscript"/>
                <w:lang w:val="es-ES"/>
              </w:rPr>
              <w:t>b</w:t>
            </w:r>
            <w:r w:rsidRPr="00CD5F12">
              <w:rPr>
                <w:rFonts w:eastAsia="Times New Roman"/>
                <w:sz w:val="16"/>
                <w:szCs w:val="16"/>
                <w:vertAlign w:val="superscript"/>
                <w:lang w:val="es-ES"/>
              </w:rPr>
              <w:t>/</w:t>
            </w:r>
          </w:p>
        </w:tc>
        <w:tc>
          <w:tcPr>
            <w:tcW w:w="1187" w:type="dxa"/>
            <w:tcBorders>
              <w:top w:val="nil"/>
              <w:bottom w:val="nil"/>
            </w:tcBorders>
            <w:vAlign w:val="bottom"/>
          </w:tcPr>
          <w:p w14:paraId="697B1C1F"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1.4</w:t>
            </w:r>
          </w:p>
        </w:tc>
        <w:tc>
          <w:tcPr>
            <w:tcW w:w="1223" w:type="dxa"/>
            <w:tcBorders>
              <w:top w:val="nil"/>
              <w:bottom w:val="nil"/>
            </w:tcBorders>
          </w:tcPr>
          <w:p w14:paraId="32F2C687"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2.4</w:t>
            </w:r>
          </w:p>
        </w:tc>
        <w:tc>
          <w:tcPr>
            <w:tcW w:w="1276" w:type="dxa"/>
            <w:tcBorders>
              <w:top w:val="nil"/>
              <w:bottom w:val="nil"/>
            </w:tcBorders>
          </w:tcPr>
          <w:p w14:paraId="26B6E6C9"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3.3</w:t>
            </w:r>
          </w:p>
        </w:tc>
        <w:tc>
          <w:tcPr>
            <w:tcW w:w="1229" w:type="dxa"/>
            <w:tcBorders>
              <w:top w:val="nil"/>
              <w:bottom w:val="nil"/>
            </w:tcBorders>
          </w:tcPr>
          <w:p w14:paraId="51C07A45"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3.7</w:t>
            </w:r>
          </w:p>
        </w:tc>
      </w:tr>
      <w:tr w:rsidR="00CD5F12" w:rsidRPr="00CD5F12" w14:paraId="600FA672" w14:textId="77777777" w:rsidTr="007D7979">
        <w:trPr>
          <w:jc w:val="center"/>
        </w:trPr>
        <w:tc>
          <w:tcPr>
            <w:tcW w:w="3165" w:type="dxa"/>
            <w:tcBorders>
              <w:top w:val="nil"/>
              <w:bottom w:val="single" w:sz="4" w:space="0" w:color="auto"/>
            </w:tcBorders>
          </w:tcPr>
          <w:p w14:paraId="357D5DFA" w14:textId="77777777" w:rsidR="00CD5F12" w:rsidRPr="00CD5F12" w:rsidRDefault="00CD5F12" w:rsidP="00CD5F12">
            <w:pPr>
              <w:jc w:val="both"/>
              <w:rPr>
                <w:rFonts w:eastAsia="Times New Roman"/>
                <w:sz w:val="16"/>
                <w:szCs w:val="16"/>
                <w:lang w:val="es-ES"/>
              </w:rPr>
            </w:pPr>
            <w:r w:rsidRPr="00CD5F12">
              <w:rPr>
                <w:rFonts w:eastAsia="Times New Roman"/>
                <w:sz w:val="16"/>
                <w:szCs w:val="16"/>
                <w:lang w:val="es-ES"/>
              </w:rPr>
              <w:t>Trinidad y Tobago</w:t>
            </w:r>
            <w:r w:rsidRPr="00CD5F12">
              <w:rPr>
                <w:rFonts w:eastAsia="Times New Roman"/>
                <w:sz w:val="16"/>
                <w:szCs w:val="16"/>
                <w:u w:val="single"/>
                <w:vertAlign w:val="superscript"/>
                <w:lang w:val="es-ES"/>
              </w:rPr>
              <w:t>c</w:t>
            </w:r>
            <w:r w:rsidRPr="00CD5F12">
              <w:rPr>
                <w:rFonts w:eastAsia="Times New Roman"/>
                <w:sz w:val="16"/>
                <w:szCs w:val="16"/>
                <w:vertAlign w:val="superscript"/>
                <w:lang w:val="es-ES"/>
              </w:rPr>
              <w:t>/</w:t>
            </w:r>
          </w:p>
        </w:tc>
        <w:tc>
          <w:tcPr>
            <w:tcW w:w="1187" w:type="dxa"/>
            <w:tcBorders>
              <w:top w:val="nil"/>
              <w:bottom w:val="single" w:sz="4" w:space="0" w:color="auto"/>
            </w:tcBorders>
            <w:vAlign w:val="bottom"/>
          </w:tcPr>
          <w:p w14:paraId="258B1BD6"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5.6</w:t>
            </w:r>
          </w:p>
        </w:tc>
        <w:tc>
          <w:tcPr>
            <w:tcW w:w="1223" w:type="dxa"/>
            <w:tcBorders>
              <w:top w:val="nil"/>
              <w:bottom w:val="single" w:sz="4" w:space="0" w:color="auto"/>
            </w:tcBorders>
          </w:tcPr>
          <w:p w14:paraId="64B79650"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10.2</w:t>
            </w:r>
          </w:p>
        </w:tc>
        <w:tc>
          <w:tcPr>
            <w:tcW w:w="1276" w:type="dxa"/>
            <w:tcBorders>
              <w:top w:val="nil"/>
              <w:bottom w:val="single" w:sz="4" w:space="0" w:color="auto"/>
            </w:tcBorders>
          </w:tcPr>
          <w:p w14:paraId="720E7664" w14:textId="77777777" w:rsidR="00CD5F12" w:rsidRPr="00CD5F12" w:rsidRDefault="00CD5F12" w:rsidP="00CD5F12">
            <w:pPr>
              <w:ind w:right="454"/>
              <w:jc w:val="right"/>
              <w:rPr>
                <w:rFonts w:eastAsia="Times New Roman"/>
                <w:sz w:val="16"/>
                <w:szCs w:val="16"/>
                <w:lang w:val="es-ES"/>
              </w:rPr>
            </w:pPr>
            <w:r w:rsidRPr="00CD5F12">
              <w:rPr>
                <w:rFonts w:eastAsia="Times New Roman"/>
                <w:sz w:val="16"/>
                <w:szCs w:val="16"/>
                <w:lang w:val="es-ES"/>
              </w:rPr>
              <w:t>7.8</w:t>
            </w:r>
          </w:p>
        </w:tc>
        <w:tc>
          <w:tcPr>
            <w:tcW w:w="1229" w:type="dxa"/>
            <w:tcBorders>
              <w:top w:val="nil"/>
              <w:bottom w:val="single" w:sz="4" w:space="0" w:color="auto"/>
            </w:tcBorders>
          </w:tcPr>
          <w:p w14:paraId="2FE0D9C8" w14:textId="77777777" w:rsidR="00CD5F12" w:rsidRPr="00CD5F12" w:rsidRDefault="00CD5F12" w:rsidP="00CD5F12">
            <w:pPr>
              <w:ind w:right="397"/>
              <w:jc w:val="right"/>
              <w:rPr>
                <w:rFonts w:eastAsia="Times New Roman"/>
                <w:sz w:val="16"/>
                <w:szCs w:val="16"/>
                <w:lang w:val="es-ES"/>
              </w:rPr>
            </w:pPr>
            <w:r w:rsidRPr="00CD5F12">
              <w:rPr>
                <w:rFonts w:eastAsia="Times New Roman"/>
                <w:sz w:val="16"/>
                <w:szCs w:val="16"/>
                <w:lang w:val="es-ES"/>
              </w:rPr>
              <w:t>15.7</w:t>
            </w:r>
          </w:p>
        </w:tc>
      </w:tr>
      <w:tr w:rsidR="00CD5F12" w:rsidRPr="00CD5F12" w14:paraId="544B91FF" w14:textId="77777777" w:rsidTr="00835D95">
        <w:trPr>
          <w:jc w:val="center"/>
        </w:trPr>
        <w:tc>
          <w:tcPr>
            <w:tcW w:w="8080" w:type="dxa"/>
            <w:gridSpan w:val="5"/>
            <w:tcBorders>
              <w:top w:val="single" w:sz="4" w:space="0" w:color="auto"/>
              <w:left w:val="nil"/>
              <w:bottom w:val="nil"/>
              <w:right w:val="nil"/>
            </w:tcBorders>
          </w:tcPr>
          <w:p w14:paraId="5371469E" w14:textId="77777777"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a</w:t>
            </w:r>
            <w:r w:rsidRPr="00CD5F12">
              <w:rPr>
                <w:rFonts w:eastAsia="Times New Roman"/>
                <w:sz w:val="16"/>
                <w:szCs w:val="16"/>
                <w:lang w:val="es-ES"/>
              </w:rPr>
              <w:t>/ Para el cálculo de la cifra de inflación en 12 meses a octubre de 2014, se utilizaron los datos publicados por el Instituto Nacional de Estadística y Censos (INDEC) referentes al índice de precios al consumidor del Gran Buenos Aires (IPC-GBA) (datos de 2013) y al índice de precios al consumidor nacional urbano (IPCNu), publicados desde enero de 2014.</w:t>
            </w:r>
          </w:p>
          <w:p w14:paraId="3BAF081F" w14:textId="77777777"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b</w:t>
            </w:r>
            <w:r w:rsidRPr="00CD5F12">
              <w:rPr>
                <w:rFonts w:eastAsia="Times New Roman"/>
                <w:sz w:val="16"/>
                <w:szCs w:val="16"/>
                <w:lang w:val="es-ES"/>
              </w:rPr>
              <w:t>/ Datos a agosto de 2014.</w:t>
            </w:r>
          </w:p>
          <w:p w14:paraId="44D7563E" w14:textId="77777777"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c</w:t>
            </w:r>
            <w:r w:rsidRPr="00CD5F12">
              <w:rPr>
                <w:rFonts w:eastAsia="Times New Roman"/>
                <w:sz w:val="16"/>
                <w:szCs w:val="16"/>
                <w:lang w:val="es-ES"/>
              </w:rPr>
              <w:t>/ Datos a septiembre de 2014.</w:t>
            </w:r>
          </w:p>
          <w:p w14:paraId="14145F38" w14:textId="32029C2A"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d</w:t>
            </w:r>
            <w:r w:rsidRPr="00CD5F12">
              <w:rPr>
                <w:rFonts w:eastAsia="Times New Roman"/>
                <w:sz w:val="16"/>
                <w:szCs w:val="16"/>
                <w:lang w:val="es-ES"/>
              </w:rPr>
              <w:t xml:space="preserve">/ De acuerdo </w:t>
            </w:r>
            <w:r w:rsidR="00FF79BA">
              <w:rPr>
                <w:rFonts w:eastAsia="Times New Roman"/>
                <w:sz w:val="16"/>
                <w:szCs w:val="16"/>
                <w:lang w:val="es-ES"/>
              </w:rPr>
              <w:t>con</w:t>
            </w:r>
            <w:r w:rsidRPr="00CD5F12">
              <w:rPr>
                <w:rFonts w:eastAsia="Times New Roman"/>
                <w:sz w:val="16"/>
                <w:szCs w:val="16"/>
                <w:lang w:val="es-ES"/>
              </w:rPr>
              <w:t xml:space="preserve"> la información disponible en los países.</w:t>
            </w:r>
          </w:p>
          <w:p w14:paraId="6C95A0E3" w14:textId="77777777" w:rsidR="00CD5F12" w:rsidRPr="00CD5F12" w:rsidRDefault="00CD5F12" w:rsidP="00CD5F12">
            <w:pPr>
              <w:ind w:right="170"/>
              <w:jc w:val="both"/>
              <w:rPr>
                <w:rFonts w:eastAsia="Times New Roman"/>
                <w:sz w:val="16"/>
                <w:szCs w:val="16"/>
                <w:lang w:val="es-ES"/>
              </w:rPr>
            </w:pPr>
            <w:r w:rsidRPr="00CD5F12">
              <w:rPr>
                <w:rFonts w:eastAsia="Times New Roman"/>
                <w:sz w:val="16"/>
                <w:szCs w:val="16"/>
                <w:u w:val="single"/>
                <w:lang w:val="es-ES"/>
              </w:rPr>
              <w:t>e</w:t>
            </w:r>
            <w:r w:rsidRPr="00CD5F12">
              <w:rPr>
                <w:rFonts w:eastAsia="Times New Roman"/>
                <w:sz w:val="16"/>
                <w:szCs w:val="16"/>
                <w:lang w:val="es-ES"/>
              </w:rPr>
              <w:t xml:space="preserve">/ Datos a junio de 2014. </w:t>
            </w:r>
          </w:p>
          <w:p w14:paraId="0B8DA6FB" w14:textId="265EF42A" w:rsidR="00CD5F12" w:rsidRPr="00CD5F12" w:rsidRDefault="00CD5F12" w:rsidP="007D7979">
            <w:pPr>
              <w:ind w:right="170"/>
              <w:jc w:val="both"/>
              <w:rPr>
                <w:rFonts w:eastAsia="Times New Roman"/>
                <w:sz w:val="16"/>
                <w:szCs w:val="16"/>
                <w:lang w:val="es-ES"/>
              </w:rPr>
            </w:pPr>
            <w:r w:rsidRPr="00CD5F12">
              <w:rPr>
                <w:rFonts w:eastAsia="Times New Roman"/>
                <w:sz w:val="16"/>
                <w:szCs w:val="16"/>
                <w:lang w:val="es-ES"/>
              </w:rPr>
              <w:t>FUENTE: Comisión Económica para América Latina y el Caribe (CEPAL), sobre la base de cifras oficiales.</w:t>
            </w:r>
          </w:p>
        </w:tc>
      </w:tr>
    </w:tbl>
    <w:p w14:paraId="722CC0EB" w14:textId="77777777" w:rsidR="00CD5F12" w:rsidRPr="00CD5F12" w:rsidRDefault="00CD5F12" w:rsidP="00CD5F12">
      <w:pPr>
        <w:spacing w:after="360" w:line="360" w:lineRule="auto"/>
        <w:ind w:right="-159"/>
        <w:jc w:val="both"/>
        <w:rPr>
          <w:rFonts w:eastAsia="Calibri"/>
          <w:sz w:val="26"/>
          <w:szCs w:val="26"/>
          <w:lang w:eastAsia="en-US"/>
        </w:rPr>
      </w:pPr>
    </w:p>
    <w:p w14:paraId="39F1FD0B"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términos de los países, las mayores tasas de inflación de los alimentos en 12 meses a octubre de 2014 se registraron en la República Bolivariana de Venezuela (91%)</w:t>
      </w:r>
      <w:r w:rsidRPr="00CD5F12">
        <w:rPr>
          <w:rFonts w:eastAsia="Calibri"/>
          <w:sz w:val="26"/>
          <w:szCs w:val="26"/>
          <w:vertAlign w:val="superscript"/>
          <w:lang w:eastAsia="en-US"/>
        </w:rPr>
        <w:footnoteReference w:id="18"/>
      </w:r>
      <w:r w:rsidRPr="00CD5F12">
        <w:rPr>
          <w:rFonts w:eastAsia="Calibri"/>
          <w:sz w:val="26"/>
          <w:szCs w:val="26"/>
          <w:lang w:eastAsia="en-US"/>
        </w:rPr>
        <w:t xml:space="preserve">, </w:t>
      </w:r>
      <w:r w:rsidRPr="00CD5F12">
        <w:rPr>
          <w:rFonts w:eastAsia="Calibri"/>
          <w:sz w:val="26"/>
          <w:szCs w:val="26"/>
          <w:lang w:eastAsia="en-US"/>
        </w:rPr>
        <w:lastRenderedPageBreak/>
        <w:t>Argentina (20.6%)</w:t>
      </w:r>
      <w:r w:rsidRPr="00CD5F12">
        <w:rPr>
          <w:rFonts w:eastAsia="Calibri"/>
          <w:sz w:val="26"/>
          <w:szCs w:val="26"/>
          <w:vertAlign w:val="superscript"/>
          <w:lang w:eastAsia="en-US"/>
        </w:rPr>
        <w:footnoteReference w:id="19"/>
      </w:r>
      <w:r w:rsidRPr="00CD5F12">
        <w:rPr>
          <w:rFonts w:eastAsia="Calibri"/>
          <w:sz w:val="26"/>
          <w:szCs w:val="26"/>
          <w:lang w:eastAsia="en-US"/>
        </w:rPr>
        <w:t xml:space="preserve">, Trinidad y Tobago (15.7%), Jamaica (12.5%), Nicaragua (10.2%), Chile (10.1%) y Uruguay (9.9%). Asimismo, destacan México y algunos países de Centroamérica y del Caribe, donde la tasa de aumento de los precios de los alimentos a octubre de 2014 superaba entre 2 y 5.2 puntos porcentuales la tasa de inflación general, revirtiendo el comportamiento del primer semestre, período en que los precios de los alimentos crecieron a una tasa inferior al incremento del índice de precios al consumidor. </w:t>
      </w:r>
    </w:p>
    <w:p w14:paraId="13856AA3"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comportamiento de la inflación de los alimentos y de la inflación subyacente se refleja en la evolución de los índices de precios de bienes y de servicios en la región. En la gráfica siguiente se aprecia que, mientras que la aceleración de los precios de los servicios fue sostenida a lo largo del año, el mayor aumento de los precios de los bienes se produjo a partir del segundo trimestre del año, asociado al repunte de los precios de los alimentos.</w:t>
      </w:r>
    </w:p>
    <w:p w14:paraId="71A519F8" w14:textId="77777777" w:rsidR="001E7CBA" w:rsidRDefault="001E7CBA" w:rsidP="00CD5F12">
      <w:pPr>
        <w:spacing w:after="360" w:line="360" w:lineRule="auto"/>
        <w:ind w:right="-159"/>
        <w:jc w:val="both"/>
        <w:rPr>
          <w:rFonts w:eastAsia="Calibri"/>
          <w:sz w:val="26"/>
          <w:szCs w:val="26"/>
          <w:lang w:eastAsia="en-US"/>
        </w:rPr>
      </w:pPr>
    </w:p>
    <w:p w14:paraId="65E2424B" w14:textId="77777777" w:rsidR="001E7CBA" w:rsidRDefault="001E7CBA" w:rsidP="00CD5F12">
      <w:pPr>
        <w:spacing w:after="360" w:line="360" w:lineRule="auto"/>
        <w:ind w:right="-159"/>
        <w:jc w:val="both"/>
        <w:rPr>
          <w:rFonts w:eastAsia="Calibri"/>
          <w:sz w:val="26"/>
          <w:szCs w:val="26"/>
          <w:lang w:eastAsia="en-US"/>
        </w:rPr>
      </w:pPr>
    </w:p>
    <w:p w14:paraId="3416132F" w14:textId="77777777" w:rsidR="001E7CBA" w:rsidRDefault="001E7CBA" w:rsidP="00CD5F12">
      <w:pPr>
        <w:spacing w:after="360" w:line="360" w:lineRule="auto"/>
        <w:ind w:right="-159"/>
        <w:jc w:val="both"/>
        <w:rPr>
          <w:rFonts w:eastAsia="Calibri"/>
          <w:sz w:val="26"/>
          <w:szCs w:val="26"/>
          <w:lang w:eastAsia="en-US"/>
        </w:rPr>
      </w:pPr>
    </w:p>
    <w:p w14:paraId="4DEAC70B" w14:textId="77777777" w:rsidR="001E7CBA" w:rsidRDefault="001E7CBA" w:rsidP="00CD5F12">
      <w:pPr>
        <w:spacing w:after="360" w:line="360" w:lineRule="auto"/>
        <w:ind w:right="-159"/>
        <w:jc w:val="both"/>
        <w:rPr>
          <w:rFonts w:eastAsia="Calibri"/>
          <w:sz w:val="26"/>
          <w:szCs w:val="26"/>
          <w:lang w:eastAsia="en-US"/>
        </w:rPr>
      </w:pPr>
    </w:p>
    <w:p w14:paraId="42E2CA16" w14:textId="77777777" w:rsidR="001E7CBA" w:rsidRDefault="001E7CBA" w:rsidP="00CD5F12">
      <w:pPr>
        <w:spacing w:after="360" w:line="360" w:lineRule="auto"/>
        <w:ind w:right="-159"/>
        <w:jc w:val="both"/>
        <w:rPr>
          <w:rFonts w:eastAsia="Calibri"/>
          <w:sz w:val="26"/>
          <w:szCs w:val="26"/>
          <w:lang w:eastAsia="en-US"/>
        </w:rPr>
      </w:pPr>
    </w:p>
    <w:p w14:paraId="116F86B6" w14:textId="77777777" w:rsidR="001E7CBA" w:rsidRPr="00CD5F12" w:rsidRDefault="001E7CBA"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FB028C9" w14:textId="77777777" w:rsidTr="001E7CBA">
        <w:trPr>
          <w:jc w:val="center"/>
        </w:trPr>
        <w:tc>
          <w:tcPr>
            <w:tcW w:w="8840" w:type="dxa"/>
          </w:tcPr>
          <w:p w14:paraId="26F4E7BC" w14:textId="77777777" w:rsidR="00877DDF"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TASAS DE VARIACIÓN EN 12 MESES DEL ÍNDICE DE PRECIOS AL CONSUMIDOR, DEL ÍNDICE DE PRECIOS DE LOS BIENES Y DEL ÍNDICE DE PRECIOS DE LOS SERVICIOS</w:t>
            </w:r>
          </w:p>
          <w:p w14:paraId="36F79402" w14:textId="146F728B"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ENERO DE 2007-OCTUBRE DE 2014</w:t>
            </w:r>
          </w:p>
          <w:p w14:paraId="52F5EDC9"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43909127" w14:textId="77777777" w:rsidTr="001E7CBA">
        <w:trPr>
          <w:jc w:val="center"/>
        </w:trPr>
        <w:tc>
          <w:tcPr>
            <w:tcW w:w="8840" w:type="dxa"/>
          </w:tcPr>
          <w:p w14:paraId="64198F05"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79967CF0" wp14:editId="1D440E68">
                  <wp:extent cx="5612130" cy="2775585"/>
                  <wp:effectExtent l="0" t="0" r="7620" b="5715"/>
                  <wp:docPr id="1686" name="Imagen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612130" cy="2775585"/>
                          </a:xfrm>
                          <a:prstGeom prst="rect">
                            <a:avLst/>
                          </a:prstGeom>
                        </pic:spPr>
                      </pic:pic>
                    </a:graphicData>
                  </a:graphic>
                </wp:inline>
              </w:drawing>
            </w:r>
          </w:p>
        </w:tc>
      </w:tr>
      <w:tr w:rsidR="00CD5F12" w:rsidRPr="00CD5F12" w14:paraId="2C03D639" w14:textId="77777777" w:rsidTr="001E7CBA">
        <w:trPr>
          <w:jc w:val="center"/>
        </w:trPr>
        <w:tc>
          <w:tcPr>
            <w:tcW w:w="8840" w:type="dxa"/>
          </w:tcPr>
          <w:p w14:paraId="1C1D52F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2A3E070D" w14:textId="77777777" w:rsidR="00CD5F12" w:rsidRPr="00CD5F12" w:rsidRDefault="00CD5F12" w:rsidP="00CD5F12">
      <w:pPr>
        <w:spacing w:after="360" w:line="360" w:lineRule="auto"/>
        <w:ind w:right="-159"/>
        <w:jc w:val="both"/>
        <w:rPr>
          <w:rFonts w:eastAsia="Calibri"/>
          <w:sz w:val="26"/>
          <w:szCs w:val="26"/>
          <w:lang w:eastAsia="en-US"/>
        </w:rPr>
      </w:pPr>
    </w:p>
    <w:p w14:paraId="28A135FF"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Capítulo IV: Empleo y salarios</w:t>
      </w:r>
    </w:p>
    <w:p w14:paraId="4BA13AE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2014, se mantuvo en América Latina y el Caribe la pauta de evolución de las principales variables laborales observada en 2013, ya que el modesto crecimiento económico conllevó una escasa demanda laboral, que se tradujo en una caída de la tasa de ocupación, principalmente a causa del bajo aumento del número de trabajadores asalariados. Sin embargo, la tasa de participación regional continuó contrayéndose más que la tasa de ocupación, de manera que la tasa de desempleo urbano volvió a bajar levemente, a pesar del contexto macroeconómico poco propicio. En efecto, considerando el año en su conjunto, se estima que la tasa de ocupación urbana habría disminuido del 56.6% en 2013 al 56.2% en 2014, mientras que la tasa de participación urbana habría bajado del 60.4% en 2013 al 59.8% en 2014. En consecuencia, la tasa de desempleo abierto de la región registró una nueva reducción, si bien pequeña, del 6.2% </w:t>
      </w:r>
      <w:r w:rsidRPr="00CD5F12">
        <w:rPr>
          <w:rFonts w:eastAsia="Calibri"/>
          <w:sz w:val="26"/>
          <w:szCs w:val="26"/>
          <w:lang w:eastAsia="en-US"/>
        </w:rPr>
        <w:lastRenderedPageBreak/>
        <w:t>al 6.0%. Se estima que el número de desempleados urbanos se habría reducido en forma leve, en 230 mil personas, llegando a alrededor de 13.2 millones de personas.</w:t>
      </w:r>
    </w:p>
    <w:p w14:paraId="035E4DEC" w14:textId="128A053B"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vista de la estrecha correlación existente entre el crecimiento económico y la variación interanual de la tasa de ocupación, la caída de esta tasa en 2014 no sorprende. Sin embargo, como se observa en la gráfica siguiente, igual que en 2013, esta disminución fue ligeramente mayor que la que se podría haber esperado sobre la base de la tendencia de los años anteriores. A manera de hipótesis, se pueden plantear dos explicaciones al respecto: por el lado de la demanda, la desaceleración de algunas actividades del sector terciario que son intensivas en mano de obra puede haber limitado la creación de empleo asalariado; por el lado de la oferta, contrariamente a lo que se observa de manera habitual en la región, en un contexto de baja demanda laboral</w:t>
      </w:r>
      <w:r w:rsidR="00877DDF">
        <w:rPr>
          <w:rFonts w:eastAsia="Calibri"/>
          <w:sz w:val="26"/>
          <w:szCs w:val="26"/>
          <w:lang w:eastAsia="en-US"/>
        </w:rPr>
        <w:t>,</w:t>
      </w:r>
      <w:r w:rsidRPr="00CD5F12">
        <w:rPr>
          <w:rFonts w:eastAsia="Calibri"/>
          <w:sz w:val="26"/>
          <w:szCs w:val="26"/>
          <w:lang w:eastAsia="en-US"/>
        </w:rPr>
        <w:t xml:space="preserve"> la débil creación de empleo asalariado no redundó en la generación masiva de empleos por cuenta propia de baja productividad, que habría atenuado el impacto de la baja demanda laboral en el resultado agregado. Más adelante se retoman ambos aspectos.</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57F2AF3B" w14:textId="77777777" w:rsidTr="00835D95">
        <w:trPr>
          <w:jc w:val="center"/>
        </w:trPr>
        <w:tc>
          <w:tcPr>
            <w:tcW w:w="8978" w:type="dxa"/>
          </w:tcPr>
          <w:p w14:paraId="53E01693"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CRECIMIENTO ECONÓMICO Y VARIACIÓN DE LA TASA DE OCUPACIÓN URBANA, 2000-2014</w:t>
            </w:r>
          </w:p>
          <w:p w14:paraId="56CED5F3"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y puntos porcentuales-</w:t>
            </w:r>
          </w:p>
        </w:tc>
      </w:tr>
      <w:tr w:rsidR="00CD5F12" w:rsidRPr="00CD5F12" w14:paraId="75C32EAA" w14:textId="77777777" w:rsidTr="00835D95">
        <w:trPr>
          <w:jc w:val="center"/>
        </w:trPr>
        <w:tc>
          <w:tcPr>
            <w:tcW w:w="8978" w:type="dxa"/>
          </w:tcPr>
          <w:p w14:paraId="1439501D"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56E97223" wp14:editId="54CC980F">
                  <wp:extent cx="5403850" cy="2857500"/>
                  <wp:effectExtent l="0" t="0" r="6350" b="0"/>
                  <wp:docPr id="1687" name="Imagen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1928" r="1587"/>
                          <a:stretch/>
                        </pic:blipFill>
                        <pic:spPr bwMode="auto">
                          <a:xfrm>
                            <a:off x="0" y="0"/>
                            <a:ext cx="5403850" cy="28575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D5F12" w:rsidRPr="00CD5F12" w14:paraId="00950206" w14:textId="77777777" w:rsidTr="00835D95">
        <w:trPr>
          <w:jc w:val="center"/>
        </w:trPr>
        <w:tc>
          <w:tcPr>
            <w:tcW w:w="8978" w:type="dxa"/>
          </w:tcPr>
          <w:p w14:paraId="5BE2308F"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Proyección.</w:t>
            </w:r>
          </w:p>
          <w:p w14:paraId="0F6DC115"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675C7BB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Hasta 2012, con la excepción de 2009, la caída de la tasa de desempleo urbano fue resultado del aumento de la tasa de ocupación, cuya magnitud superó el gradual incremento de la tasa de participación. Sin embargo, a partir del año móvil que abarca desde el tercer trimestre de 2012 hasta el segundo trimestre de 2013, la tasa de ocupación regional empezó a descender levemente, al mismo tiempo que cambió la tendencia de la tasa de participación, que comenzó a disminuir en porcentajes mayores que la tasa de ocupación, lo que permitió que el desempleo continuara descendiendo. Como se observa en la gráfica siguiente, este proceso se profundizó en 2014, período en que se produjeron mayores caídas tanto de la tasa de participación como de la tasa de ocupación.</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B38E14A" w14:textId="77777777" w:rsidTr="00835D95">
        <w:trPr>
          <w:jc w:val="center"/>
        </w:trPr>
        <w:tc>
          <w:tcPr>
            <w:tcW w:w="8978" w:type="dxa"/>
          </w:tcPr>
          <w:p w14:paraId="6201FDE8"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(10 PAÍSES)</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r w:rsidRPr="00CD5F12">
              <w:rPr>
                <w:rFonts w:eastAsia="Calibri"/>
                <w:b/>
                <w:sz w:val="22"/>
                <w:szCs w:val="22"/>
                <w:lang w:eastAsia="en-US"/>
              </w:rPr>
              <w:t>: TASAS DE PARTICIPACIÓN, OCUPACIÓN Y DESEMPLEO URBANOS, AÑOS MÓVILES, PRIMER TRIMESTRE DE 2011 A TERCER TRIMESTRE DE 2014</w:t>
            </w:r>
          </w:p>
          <w:p w14:paraId="0176878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5A18B3AF" w14:textId="77777777" w:rsidTr="00835D95">
        <w:trPr>
          <w:jc w:val="center"/>
        </w:trPr>
        <w:tc>
          <w:tcPr>
            <w:tcW w:w="8978" w:type="dxa"/>
          </w:tcPr>
          <w:p w14:paraId="102798AC"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47F24E24" wp14:editId="35AC9AFD">
                  <wp:extent cx="5510596" cy="2880000"/>
                  <wp:effectExtent l="0" t="0" r="0" b="0"/>
                  <wp:docPr id="1688" name="Imagen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510596" cy="2880000"/>
                          </a:xfrm>
                          <a:prstGeom prst="rect">
                            <a:avLst/>
                          </a:prstGeom>
                        </pic:spPr>
                      </pic:pic>
                    </a:graphicData>
                  </a:graphic>
                </wp:inline>
              </w:drawing>
            </w:r>
          </w:p>
        </w:tc>
      </w:tr>
      <w:tr w:rsidR="00CD5F12" w:rsidRPr="00CD5F12" w14:paraId="654E1A11" w14:textId="77777777" w:rsidTr="00835D95">
        <w:trPr>
          <w:jc w:val="center"/>
        </w:trPr>
        <w:tc>
          <w:tcPr>
            <w:tcW w:w="8978" w:type="dxa"/>
          </w:tcPr>
          <w:p w14:paraId="00B21912"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países considerados son Argentina, Brasil, Chile, Colombia, Ecuador, Jamaica, México, Perú, Uruguay y Venezuela (República Bolivariana de).</w:t>
            </w:r>
          </w:p>
          <w:p w14:paraId="4B78688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004AF77D" w14:textId="77777777" w:rsidR="00CD5F12" w:rsidRPr="00CD5F12" w:rsidRDefault="00CD5F12" w:rsidP="00CD5F12">
      <w:pPr>
        <w:spacing w:after="360" w:line="360" w:lineRule="auto"/>
        <w:ind w:right="-159"/>
        <w:jc w:val="both"/>
        <w:rPr>
          <w:rFonts w:eastAsia="Calibri"/>
          <w:sz w:val="26"/>
          <w:szCs w:val="26"/>
          <w:lang w:eastAsia="en-US"/>
        </w:rPr>
      </w:pPr>
    </w:p>
    <w:p w14:paraId="57052CC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Por otra parte, la pauta descrita de evolución de los principales indicadores laborales en la región no se observa en forma generalizada en los distintos países. En la gráfica </w:t>
      </w:r>
      <w:r w:rsidRPr="00CD5F12">
        <w:rPr>
          <w:rFonts w:eastAsia="Calibri"/>
          <w:sz w:val="26"/>
          <w:szCs w:val="26"/>
          <w:lang w:eastAsia="en-US"/>
        </w:rPr>
        <w:lastRenderedPageBreak/>
        <w:t>siguiente se aprecian las variaciones de las tasas de participación y de ocupación de un grupo de países de América Latina y el Caribe. La línea diagonal separa los países donde se registran aumentos y disminuciones de la tasa de desempleo. Solo en Brasil se registra una disminución de la tasa de desempleo debido a una caída de la tasa de participación que ha sido mayor que la de la tasa de ocupación. Sin embargo, la caída de la tasa de participación también evitó un aumento significativo de la tasa de desempleo en Perú y atenuó este aumento en Argentina, Ecuador y México. En contraste, en varios países la tasa de ocupación se incrementó, lo que en algunos de ellos —no en todos— incidió en una reducción de la tasa de desempleo. En efecto, como promedio de los primeros tres trimestres del año, del conjunto de 16 países que cuentan con esta información, además de los casos ya mencionados de Ecuador y México, solo en Chile, Costa Rica, Guatemala, Panamá y Paraguay se produjo un incremento (moderado) de la tasa de desempleo urbano.</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EE1841D" w14:textId="77777777" w:rsidTr="00835D95">
        <w:trPr>
          <w:jc w:val="center"/>
        </w:trPr>
        <w:tc>
          <w:tcPr>
            <w:tcW w:w="8978" w:type="dxa"/>
          </w:tcPr>
          <w:p w14:paraId="7C94D617"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(16 PAÍSES): VARIACIÓN DE LAS TASAS DE PARTICIPACIÓN Y OCUPACIÓN URBANAS, PROMEDIO DEL PRIMER AL TERCER TRIMESTRE DE 2014 RESPECTO DEL PROMEDIO DEL MISMO PERÍODO DE 2013</w:t>
            </w:r>
          </w:p>
          <w:p w14:paraId="74E63739"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puntos porcentuales-</w:t>
            </w:r>
          </w:p>
        </w:tc>
      </w:tr>
      <w:tr w:rsidR="00CD5F12" w:rsidRPr="00CD5F12" w14:paraId="5403A84F" w14:textId="77777777" w:rsidTr="00835D95">
        <w:trPr>
          <w:jc w:val="center"/>
        </w:trPr>
        <w:tc>
          <w:tcPr>
            <w:tcW w:w="8978" w:type="dxa"/>
          </w:tcPr>
          <w:p w14:paraId="6C96107E"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39C2A291" wp14:editId="7AE37987">
                  <wp:extent cx="5612130" cy="2927985"/>
                  <wp:effectExtent l="0" t="0" r="7620" b="5715"/>
                  <wp:docPr id="1689" name="Imagen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612130" cy="2927985"/>
                          </a:xfrm>
                          <a:prstGeom prst="rect">
                            <a:avLst/>
                          </a:prstGeom>
                        </pic:spPr>
                      </pic:pic>
                    </a:graphicData>
                  </a:graphic>
                </wp:inline>
              </w:drawing>
            </w:r>
          </w:p>
        </w:tc>
      </w:tr>
      <w:tr w:rsidR="00CD5F12" w:rsidRPr="00CD5F12" w14:paraId="21314003" w14:textId="77777777" w:rsidTr="00835D95">
        <w:trPr>
          <w:jc w:val="center"/>
        </w:trPr>
        <w:tc>
          <w:tcPr>
            <w:tcW w:w="8978" w:type="dxa"/>
          </w:tcPr>
          <w:p w14:paraId="2B5CC654"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79716F1B" w14:textId="77777777" w:rsidR="00CD5F12" w:rsidRPr="00CD5F12" w:rsidRDefault="00CD5F12" w:rsidP="00CD5F12">
      <w:pPr>
        <w:spacing w:after="360" w:line="360" w:lineRule="auto"/>
        <w:ind w:right="-159"/>
        <w:jc w:val="both"/>
        <w:rPr>
          <w:rFonts w:eastAsia="Calibri"/>
          <w:sz w:val="26"/>
          <w:szCs w:val="26"/>
          <w:lang w:eastAsia="en-US"/>
        </w:rPr>
      </w:pPr>
    </w:p>
    <w:p w14:paraId="0FC04B9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 xml:space="preserve">Cabe destacar que el desempleo disminuyó en los tres países caribeños de los que existe información disponible (Bahamas, Belice y Jamaica), en el contexto de un modesto repunte de la actividad económica en esa subregión. </w:t>
      </w:r>
    </w:p>
    <w:p w14:paraId="5F21494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Durante los primeros tres trimestres del año, en el agregado regional (promedio ponderado de los datos de 13 países) el empleo presentó un crecimiento estimado del 0.9%, lo que implica una variación marginal de la productividad laboral media del 0.2%. En particular, el empleo asalariado registró un aumento estimado del 1.1%, mientras que el empleo no asalariado creció solo levemente. Sin embargo, en algunos países (como Argentina y Brasil) el trabajo por cuenta propia mostró una expansión relativamente dinámica, lo que indicaría que esta categoría podría retomar un sendero habitual en un contexto de baja demanda laboral.</w:t>
      </w:r>
    </w:p>
    <w:p w14:paraId="1B043B8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evolución de los principales indicadores laborales por sexo muestra un comportamiento muy diferente según se trate del promedio ponderado o simple de los países considerados. Como ya se indicó, en el promedio ponderado de 15 países, tanto las tasas de participación y ocupación como la de desempleo registraron caídas. En este promedio ponderado, las caídas de las tasas de participación y de ocupación fueron más marcadas en el caso de las mujeres que de los hombres, con lo que se interrumpe la tendencia de largo plazo de un cierre de brechas entre hombres y mujeres respecto a estas dos variables. La única brecha que seguiría disminuyendo es la de la tasa de desempleo, ya que la tasa de desempleo femenina se redujo un poco más que la masculina. Sin embargo, en el promedio simple de los mismos países, tanto la tasa de participación como la de ocupación aumentan. Aún así, también en esta medición la evolución es menos favorable para las mujeres, ya que ambas tasas aumentan menos en el caso de las mujeres que de los hombres, lo que se traduce en una disminución de la tasa de desempleo femenina menor que la reducción de la tasa de desempleo masculina. </w:t>
      </w:r>
    </w:p>
    <w:p w14:paraId="0C6D4A2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La menor creación de empleo para las mujeres, en comparación con el empleo para los hombres (que se expresa en una mayor caída del empleo femenino en el caso del promedio ponderado de los países y en un menor aumento de este empleo en el caso del promedio simple), posiblemente está relacionada con el debilitamiento de la generación de empleo en el sector terciario, debido al menor dinamismo de la demanda proveniente del consumo de los hogares. Muchos de los rubros del sector terciario responden a este consumo y durante los últimos años este sector aportó una alta proporción del empleo adicional (en gran medida en el segmento de productividad alta o mediana)</w:t>
      </w:r>
      <w:r w:rsidRPr="00CD5F12">
        <w:rPr>
          <w:rFonts w:eastAsia="Calibri"/>
          <w:sz w:val="26"/>
          <w:szCs w:val="26"/>
          <w:vertAlign w:val="superscript"/>
          <w:lang w:eastAsia="en-US"/>
        </w:rPr>
        <w:footnoteReference w:id="20"/>
      </w:r>
      <w:r w:rsidRPr="00CD5F12">
        <w:rPr>
          <w:rFonts w:eastAsia="Calibri"/>
          <w:sz w:val="26"/>
          <w:szCs w:val="26"/>
          <w:lang w:eastAsia="en-US"/>
        </w:rPr>
        <w:t>. Esta dinámica de generación de empleo parece haberse agotado. En efecto, en el promedio simple de 12 países, la proporción del empleo de las principales ramas del sector terciario (comercio, restaurantes y hoteles; servicios comunales, sociales y personales, y transporte, almacenamiento y comunicaciones) en el empleo total bajó (0.2 puntos porcentuales), como promedio simple de los primeros tres trimestres del año. Esto representa una ruptura de la tendencia de largo plazo de una concentración cada vez mayor del empleo en los rubros de este sector. Al respecto, se destaca la caída en términos relativos bastante generalizada del empleo en el comercio, cuya participación en el empleo total, como mediana de dichos países, se redujo            0.2 puntos porcentuales</w:t>
      </w:r>
      <w:r w:rsidRPr="00CD5F12">
        <w:rPr>
          <w:rFonts w:eastAsia="Calibri"/>
          <w:sz w:val="26"/>
          <w:szCs w:val="26"/>
          <w:vertAlign w:val="superscript"/>
          <w:lang w:eastAsia="en-US"/>
        </w:rPr>
        <w:footnoteReference w:id="21"/>
      </w:r>
      <w:r w:rsidRPr="00CD5F12">
        <w:rPr>
          <w:rFonts w:eastAsia="Calibri"/>
          <w:sz w:val="26"/>
          <w:szCs w:val="26"/>
          <w:lang w:eastAsia="en-US"/>
        </w:rPr>
        <w:t>.</w:t>
      </w:r>
    </w:p>
    <w:p w14:paraId="57C23093" w14:textId="77777777" w:rsidR="00CD5F12" w:rsidRPr="00CD5F12" w:rsidRDefault="00CD5F12" w:rsidP="00CD5F12">
      <w:pPr>
        <w:spacing w:after="360" w:line="360" w:lineRule="auto"/>
        <w:ind w:right="-159"/>
        <w:jc w:val="both"/>
        <w:rPr>
          <w:rFonts w:eastAsia="Calibri"/>
          <w:sz w:val="26"/>
          <w:szCs w:val="26"/>
          <w:lang w:eastAsia="en-US"/>
        </w:rPr>
      </w:pPr>
    </w:p>
    <w:p w14:paraId="4FCE6E03" w14:textId="77777777" w:rsidR="00CD5F12" w:rsidRPr="00CD5F12" w:rsidRDefault="00CD5F12" w:rsidP="00CD5F12">
      <w:pPr>
        <w:spacing w:after="360" w:line="360" w:lineRule="auto"/>
        <w:ind w:right="-159"/>
        <w:jc w:val="both"/>
        <w:rPr>
          <w:rFonts w:eastAsia="Calibri"/>
          <w:sz w:val="26"/>
          <w:szCs w:val="26"/>
          <w:lang w:eastAsia="en-US"/>
        </w:rPr>
      </w:pPr>
    </w:p>
    <w:p w14:paraId="3D5F5789"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5277A202" w14:textId="77777777" w:rsidTr="00835D95">
        <w:trPr>
          <w:jc w:val="center"/>
        </w:trPr>
        <w:tc>
          <w:tcPr>
            <w:tcW w:w="8978" w:type="dxa"/>
          </w:tcPr>
          <w:p w14:paraId="0DADF292"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(PROMEDIOS PONDERADO Y SIMPLE DE 15 PAÍSES): VARIACIÓN DE LA TASAS DE PARTICIPACIÓN, OCUPACIÓN Y DESEMPLEO DE HOMBRES Y MUJERES, PROMEDIO DEL PRIMER AL TERCER TRIMESTRE DE 2014 RESPECTO DEL PROMEDIO DEL MISMO PERÍODO DE 2013</w:t>
            </w:r>
          </w:p>
          <w:p w14:paraId="653F8FAC"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puntos porcentuales-</w:t>
            </w:r>
          </w:p>
        </w:tc>
      </w:tr>
      <w:tr w:rsidR="00CD5F12" w:rsidRPr="00CD5F12" w14:paraId="5551929C" w14:textId="77777777" w:rsidTr="00835D95">
        <w:trPr>
          <w:jc w:val="center"/>
        </w:trPr>
        <w:tc>
          <w:tcPr>
            <w:tcW w:w="8978" w:type="dxa"/>
          </w:tcPr>
          <w:p w14:paraId="528F0F7A"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03BA1C9E" wp14:editId="15E89485">
                  <wp:extent cx="5612130" cy="2733040"/>
                  <wp:effectExtent l="0" t="0" r="7620" b="0"/>
                  <wp:docPr id="1690" name="Imagen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612130" cy="2733040"/>
                          </a:xfrm>
                          <a:prstGeom prst="rect">
                            <a:avLst/>
                          </a:prstGeom>
                        </pic:spPr>
                      </pic:pic>
                    </a:graphicData>
                  </a:graphic>
                </wp:inline>
              </w:drawing>
            </w:r>
          </w:p>
        </w:tc>
      </w:tr>
      <w:tr w:rsidR="00CD5F12" w:rsidRPr="00CD5F12" w14:paraId="7F3EDEC7" w14:textId="77777777" w:rsidTr="00835D95">
        <w:trPr>
          <w:jc w:val="center"/>
        </w:trPr>
        <w:tc>
          <w:tcPr>
            <w:tcW w:w="8978" w:type="dxa"/>
          </w:tcPr>
          <w:p w14:paraId="35725BF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29F58682" w14:textId="77777777" w:rsidR="00CD5F12" w:rsidRPr="00CD5F12" w:rsidRDefault="00CD5F12" w:rsidP="00CD5F12">
      <w:pPr>
        <w:spacing w:after="360" w:line="360" w:lineRule="auto"/>
        <w:ind w:right="-159"/>
        <w:jc w:val="both"/>
        <w:rPr>
          <w:rFonts w:eastAsia="Calibri"/>
          <w:sz w:val="26"/>
          <w:szCs w:val="26"/>
          <w:lang w:eastAsia="en-US"/>
        </w:rPr>
      </w:pPr>
    </w:p>
    <w:p w14:paraId="4B35F9C6"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 debilidad de la demanda laboral también se expresó en una desaceleración de la creación de empleo registrado</w:t>
      </w:r>
      <w:r w:rsidRPr="00CD5F12">
        <w:rPr>
          <w:rFonts w:eastAsia="Calibri"/>
          <w:sz w:val="26"/>
          <w:szCs w:val="26"/>
          <w:vertAlign w:val="superscript"/>
          <w:lang w:eastAsia="en-US"/>
        </w:rPr>
        <w:footnoteReference w:id="22"/>
      </w:r>
      <w:r w:rsidRPr="00CD5F12">
        <w:rPr>
          <w:rFonts w:eastAsia="Calibri"/>
          <w:sz w:val="26"/>
          <w:szCs w:val="26"/>
          <w:lang w:eastAsia="en-US"/>
        </w:rPr>
        <w:t>. Como se observa en la gráfica siguiente, en la mayoría de los países se observan tasas interanuales decrecientes de generación de empleos formales. Entre los países con información, solo en México se observa un repunte en el transcurso del año, quizás debido en parte a un mayor crecimiento económico (en comparación con 2013) y en parte a los renovados esfuerzos que se han hecho recientemente para fomentar la formalización de puestos laborales preexistentes, mediante incentivos para la pequeña empresa y la microempresa, incluidos descuentos impositivos y subsidios a la cotización a la seguridad social, entre otras medidas.</w:t>
      </w:r>
    </w:p>
    <w:p w14:paraId="70BC04E2"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0F6334C5" w14:textId="77777777" w:rsidTr="00835D95">
        <w:trPr>
          <w:jc w:val="center"/>
        </w:trPr>
        <w:tc>
          <w:tcPr>
            <w:tcW w:w="8978" w:type="dxa"/>
          </w:tcPr>
          <w:p w14:paraId="781437C7"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(7 PAÍSES): TASA DE VARIACIÓN INTERANUAL DEL EMPLEO REGISTRADO, TRIMESTRES MÓVILES, PRIMER TRIMESTRE DE 2012 A TERCER TRIMESTRE DE 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3AACB9DD"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5DF1CBD8" w14:textId="77777777" w:rsidTr="00835D95">
        <w:trPr>
          <w:jc w:val="center"/>
        </w:trPr>
        <w:tc>
          <w:tcPr>
            <w:tcW w:w="8978" w:type="dxa"/>
          </w:tcPr>
          <w:p w14:paraId="6BEC291A"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169671DC" wp14:editId="249AB999">
                  <wp:extent cx="5595392" cy="2880000"/>
                  <wp:effectExtent l="0" t="0" r="5715" b="0"/>
                  <wp:docPr id="1691" name="Imagen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595392" cy="2880000"/>
                          </a:xfrm>
                          <a:prstGeom prst="rect">
                            <a:avLst/>
                          </a:prstGeom>
                        </pic:spPr>
                      </pic:pic>
                    </a:graphicData>
                  </a:graphic>
                </wp:inline>
              </w:drawing>
            </w:r>
          </w:p>
        </w:tc>
      </w:tr>
      <w:tr w:rsidR="00CD5F12" w:rsidRPr="00CD5F12" w14:paraId="04154DFB" w14:textId="77777777" w:rsidTr="00835D95">
        <w:trPr>
          <w:jc w:val="center"/>
        </w:trPr>
        <w:tc>
          <w:tcPr>
            <w:tcW w:w="8978" w:type="dxa"/>
          </w:tcPr>
          <w:p w14:paraId="202611FC"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datos se refieren a asalariados que cotizan en los sistemas de seguridad social, con la excepción de los datos de Perú, que hacen referencia al empleo en pequeñas, medianas y grandes empresas formales.</w:t>
            </w:r>
          </w:p>
          <w:p w14:paraId="6F8CB554"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405D5067" w14:textId="77777777" w:rsidR="00CD5F12" w:rsidRPr="00CD5F12" w:rsidRDefault="00CD5F12" w:rsidP="00CD5F12">
      <w:pPr>
        <w:spacing w:after="360" w:line="360" w:lineRule="auto"/>
        <w:ind w:right="-159"/>
        <w:jc w:val="both"/>
        <w:rPr>
          <w:rFonts w:eastAsia="Calibri"/>
          <w:sz w:val="26"/>
          <w:szCs w:val="26"/>
          <w:lang w:eastAsia="en-US"/>
        </w:rPr>
      </w:pPr>
    </w:p>
    <w:p w14:paraId="56E25E6D" w14:textId="53F76DE4"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Por otra parte, en Brasil, Chile, Costa Rica, Perú y Uruguay, en el tercer trimestre de 2014</w:t>
      </w:r>
      <w:r w:rsidR="00877DDF">
        <w:rPr>
          <w:rFonts w:eastAsia="Calibri"/>
          <w:sz w:val="26"/>
          <w:szCs w:val="26"/>
          <w:lang w:eastAsia="en-US"/>
        </w:rPr>
        <w:t>,</w:t>
      </w:r>
      <w:r w:rsidRPr="00CD5F12">
        <w:rPr>
          <w:rFonts w:eastAsia="Calibri"/>
          <w:sz w:val="26"/>
          <w:szCs w:val="26"/>
          <w:lang w:eastAsia="en-US"/>
        </w:rPr>
        <w:t xml:space="preserve"> la expansión interanual del empleo formal descendió a niveles inferiores al                    2 por ciento </w:t>
      </w:r>
      <w:r w:rsidRPr="00CD5F12">
        <w:rPr>
          <w:rFonts w:eastAsia="Calibri"/>
          <w:sz w:val="26"/>
          <w:szCs w:val="26"/>
          <w:vertAlign w:val="superscript"/>
          <w:lang w:eastAsia="en-US"/>
        </w:rPr>
        <w:footnoteReference w:id="23"/>
      </w:r>
      <w:r w:rsidRPr="00CD5F12">
        <w:rPr>
          <w:rFonts w:eastAsia="Calibri"/>
          <w:sz w:val="26"/>
          <w:szCs w:val="26"/>
          <w:lang w:eastAsia="en-US"/>
        </w:rPr>
        <w:t>.</w:t>
      </w:r>
    </w:p>
    <w:p w14:paraId="454D61B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Por otra parte, en los países de los que existe información, se observan mejoras bastante generalizadas de las tasas de subempleo horario, que muestran caídas en casi todos ellos y cambios menores en el resto (véase la gráfica siguiente)</w:t>
      </w:r>
      <w:r w:rsidRPr="00CD5F12">
        <w:rPr>
          <w:rFonts w:eastAsia="Calibri"/>
          <w:sz w:val="26"/>
          <w:szCs w:val="26"/>
          <w:vertAlign w:val="superscript"/>
          <w:lang w:eastAsia="en-US"/>
        </w:rPr>
        <w:footnoteReference w:id="24"/>
      </w:r>
      <w:r w:rsidRPr="00CD5F12">
        <w:rPr>
          <w:rFonts w:eastAsia="Calibri"/>
          <w:sz w:val="26"/>
          <w:szCs w:val="26"/>
          <w:lang w:eastAsia="en-US"/>
        </w:rPr>
        <w:t>.</w:t>
      </w:r>
    </w:p>
    <w:p w14:paraId="44AAE626"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76E117A6" w14:textId="77777777" w:rsidTr="00835D95">
        <w:trPr>
          <w:jc w:val="center"/>
        </w:trPr>
        <w:tc>
          <w:tcPr>
            <w:tcW w:w="8978" w:type="dxa"/>
          </w:tcPr>
          <w:p w14:paraId="6B4C27E1"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(10 PAÍSES): VARIACIÓN DE LA TASA DE SUBEMPLEO HORARIO, PROMEDIO DEL PRIMER AL TERCER TRIMESTRE DE 2014 RESPECTO DEL PROMEDIO DEL MISMO PERÍODO DE 2013</w:t>
            </w:r>
          </w:p>
          <w:p w14:paraId="63A2C80A"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puntos porcentuales-</w:t>
            </w:r>
          </w:p>
        </w:tc>
      </w:tr>
      <w:tr w:rsidR="00CD5F12" w:rsidRPr="00CD5F12" w14:paraId="424679AA" w14:textId="77777777" w:rsidTr="00835D95">
        <w:trPr>
          <w:jc w:val="center"/>
        </w:trPr>
        <w:tc>
          <w:tcPr>
            <w:tcW w:w="8978" w:type="dxa"/>
          </w:tcPr>
          <w:p w14:paraId="34552A59"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5ECEF0A8" wp14:editId="43F34136">
                  <wp:extent cx="5550280" cy="2772000"/>
                  <wp:effectExtent l="0" t="0" r="0" b="9525"/>
                  <wp:docPr id="1692" name="Imagen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550280" cy="2772000"/>
                          </a:xfrm>
                          <a:prstGeom prst="rect">
                            <a:avLst/>
                          </a:prstGeom>
                        </pic:spPr>
                      </pic:pic>
                    </a:graphicData>
                  </a:graphic>
                </wp:inline>
              </w:drawing>
            </w:r>
          </w:p>
        </w:tc>
      </w:tr>
      <w:tr w:rsidR="00CD5F12" w:rsidRPr="00CD5F12" w14:paraId="7FC40A7C" w14:textId="77777777" w:rsidTr="00835D95">
        <w:trPr>
          <w:jc w:val="center"/>
        </w:trPr>
        <w:tc>
          <w:tcPr>
            <w:tcW w:w="8978" w:type="dxa"/>
          </w:tcPr>
          <w:p w14:paraId="24B646BA"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1ED32ABD" w14:textId="77777777" w:rsidR="00CD5F12" w:rsidRPr="00CD5F12" w:rsidRDefault="00CD5F12" w:rsidP="00CD5F12">
      <w:pPr>
        <w:spacing w:after="360" w:line="360" w:lineRule="auto"/>
        <w:ind w:right="-159"/>
        <w:jc w:val="both"/>
        <w:rPr>
          <w:rFonts w:eastAsia="Calibri"/>
          <w:sz w:val="26"/>
          <w:szCs w:val="26"/>
          <w:lang w:eastAsia="en-US"/>
        </w:rPr>
      </w:pPr>
    </w:p>
    <w:p w14:paraId="261B598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 evolución de los salarios reales medios refleja la heterogeneidad de las dinámicas económicas. En los países sudamericanos de los que existe información, los incrementos reales de 2014 son en general menores que los de 2013, en algunos casos como resultado de una menor expansión de los salarios en términos nominales, pero sobre todo de una aceleración de la inflación. En contraste, en México y en los países centroamericanos con información disponible, los salarios crecieron algo más que el año anterior en términos reales, debido a un mayor incremento de los salarios nominales y a menores tasas de inflación como promedio en 2014, en comparación con 2013.</w:t>
      </w:r>
    </w:p>
    <w:p w14:paraId="02461A63" w14:textId="77777777" w:rsidR="00CD5F12" w:rsidRPr="00CD5F12" w:rsidRDefault="00CD5F12" w:rsidP="00CD5F12">
      <w:pPr>
        <w:spacing w:after="360" w:line="360" w:lineRule="auto"/>
        <w:ind w:right="-159"/>
        <w:jc w:val="both"/>
        <w:rPr>
          <w:rFonts w:eastAsia="Calibri"/>
          <w:sz w:val="26"/>
          <w:szCs w:val="26"/>
          <w:lang w:eastAsia="en-US"/>
        </w:rPr>
      </w:pPr>
    </w:p>
    <w:p w14:paraId="566EFDFD" w14:textId="77777777" w:rsidR="00CD5F12" w:rsidRPr="00CD5F12" w:rsidRDefault="00CD5F12" w:rsidP="00CD5F12">
      <w:pPr>
        <w:spacing w:after="360" w:line="360" w:lineRule="auto"/>
        <w:ind w:right="-159"/>
        <w:jc w:val="both"/>
        <w:rPr>
          <w:rFonts w:eastAsia="Calibri"/>
          <w:sz w:val="26"/>
          <w:szCs w:val="26"/>
          <w:lang w:eastAsia="en-US"/>
        </w:rPr>
      </w:pPr>
    </w:p>
    <w:p w14:paraId="7B12AB53"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68D63AC" w14:textId="77777777" w:rsidTr="00835D95">
        <w:trPr>
          <w:jc w:val="center"/>
        </w:trPr>
        <w:tc>
          <w:tcPr>
            <w:tcW w:w="8978" w:type="dxa"/>
          </w:tcPr>
          <w:p w14:paraId="16438CE3"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(10 PAÍSES)</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r w:rsidRPr="00CD5F12">
              <w:rPr>
                <w:rFonts w:eastAsia="Calibri"/>
                <w:b/>
                <w:sz w:val="22"/>
                <w:szCs w:val="22"/>
                <w:lang w:eastAsia="en-US"/>
              </w:rPr>
              <w:t>: DESCOMPOSICIÓN DE LA VARIACIÓN INTERANUAL DE LOS SALARIOS REALES SEGÚN SUBREGIONES, 2013 Y PRIMEROS TRES TRIMESTRES DE 2014</w:t>
            </w:r>
          </w:p>
          <w:p w14:paraId="38808C26"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puntos porcentuales-</w:t>
            </w:r>
          </w:p>
        </w:tc>
      </w:tr>
      <w:tr w:rsidR="00CD5F12" w:rsidRPr="00CD5F12" w14:paraId="48E6D238" w14:textId="77777777" w:rsidTr="00835D95">
        <w:trPr>
          <w:jc w:val="center"/>
        </w:trPr>
        <w:tc>
          <w:tcPr>
            <w:tcW w:w="8978" w:type="dxa"/>
          </w:tcPr>
          <w:p w14:paraId="69359D77"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661988D6" wp14:editId="7CA359DF">
                  <wp:extent cx="5528549" cy="2880000"/>
                  <wp:effectExtent l="0" t="0" r="0" b="0"/>
                  <wp:docPr id="1693" name="Imagen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528549" cy="2880000"/>
                          </a:xfrm>
                          <a:prstGeom prst="rect">
                            <a:avLst/>
                          </a:prstGeom>
                        </pic:spPr>
                      </pic:pic>
                    </a:graphicData>
                  </a:graphic>
                </wp:inline>
              </w:drawing>
            </w:r>
          </w:p>
        </w:tc>
      </w:tr>
      <w:tr w:rsidR="00CD5F12" w:rsidRPr="00CD5F12" w14:paraId="105C3AB8" w14:textId="77777777" w:rsidTr="00835D95">
        <w:trPr>
          <w:jc w:val="center"/>
        </w:trPr>
        <w:tc>
          <w:tcPr>
            <w:tcW w:w="8978" w:type="dxa"/>
          </w:tcPr>
          <w:p w14:paraId="5A1B8F13" w14:textId="77777777" w:rsidR="00CD5F12" w:rsidRPr="00CD5F12" w:rsidRDefault="00CD5F12" w:rsidP="00CD5F12">
            <w:pPr>
              <w:ind w:left="198" w:hanging="198"/>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países considerados son Costa Rica, Nicaragua y Panamá, en el caso de Centroamérica, y Brasil, Chile, Colombia, Paraguay, Perú y Uruguay, en el caso de América del Sur, además de México.</w:t>
            </w:r>
          </w:p>
          <w:p w14:paraId="6E4CB8D8"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3D456F3F" w14:textId="77777777" w:rsidR="00CD5F12" w:rsidRPr="00CD5F12" w:rsidRDefault="00CD5F12" w:rsidP="00CD5F12">
      <w:pPr>
        <w:spacing w:after="360" w:line="360" w:lineRule="auto"/>
        <w:ind w:right="-159"/>
        <w:jc w:val="both"/>
        <w:rPr>
          <w:rFonts w:eastAsia="Calibri"/>
          <w:sz w:val="26"/>
          <w:szCs w:val="26"/>
          <w:lang w:eastAsia="en-US"/>
        </w:rPr>
      </w:pPr>
    </w:p>
    <w:p w14:paraId="2BC9ABE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Para el conjunto de diez países de los que existe información de 2014, se estima que el aumento salarial real fue el mismo que en 2013, un 1.3%, como promedio ponderado de los países, mientras que como promedio simple el incremento interanual real se mantiene en un 1.8%. Como resultado de aumentos salariales similares a los de 2013, pero acompañados de una menor generación de empleo, la expansión de la masa salarial fue menor en 2014, lo que atenuó la demanda de los hogares y con ello la demanda agregada.</w:t>
      </w:r>
    </w:p>
    <w:p w14:paraId="72D401C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Para evaluar el desempeño laboral de la región en 2014, conviene recordar que, históricamente, en América Latina un debilitamiento de la creación de empleo, como el que se observa este año, se ha traducido en incrementos de la tasa de desempleo y del empleo informal, así como en una presión a la baja del crecimiento de los salarios nominales. La causa de esta evolución suele ser la reacción de muchos hogares frente a </w:t>
      </w:r>
      <w:r w:rsidRPr="00CD5F12">
        <w:rPr>
          <w:rFonts w:eastAsia="Calibri"/>
          <w:sz w:val="26"/>
          <w:szCs w:val="26"/>
          <w:lang w:eastAsia="en-US"/>
        </w:rPr>
        <w:lastRenderedPageBreak/>
        <w:t xml:space="preserve">menores opciones laborales, que responden aumentando la oferta laboral para incrementar sus opciones de generación de ingresos. El enfriamiento de la demanda laboral que se observa desde 2013 y que se ha profundizado en la región en 2014             —aunque no en todos los países— no ha producido esta reacción en forma generalizada. Como ya se señaló, la participación laboral disminuyó significativamente, lo que evitó que los niveles más bajos de empleo redundaran en tasas de desempleo más altas. El hecho de que en los mercados de trabajo no se registraran aumentos considerables de la presión desde la oferta también se expresó en las bajas bastante generalizadas de las tasas de subempleo horario y en que los salarios nominales tendieran a expandirse de manera similar que en 2013 (con algunas diferencias entre los países). </w:t>
      </w:r>
    </w:p>
    <w:p w14:paraId="4A55E33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Esta diferencia respecto a la experiencia histórica de la región se explicaría por los cambios recientes que se han producido en los niveles y la composición de los ingresos de los hogares. Primero, el fuerte aumento de la tasa de ocupación que se registró en la región a partir de 2003, apoyado por moderados incrementos de los ingresos reales, incidió en una significativa caída de la proporción de hogares pobres. Puesto que los hogares pobres son, precisamente, los que suelen tener un comportamiento contracíclico en cuanto a su oferta laboral, mientras que los hogares más acomodados suelen comportarse al respecto de manera procíclica, este aumento de los ingresos laborales tendió a reducir la contraciclicidad de la oferta laboral agregada</w:t>
      </w:r>
      <w:r w:rsidRPr="00CD5F12">
        <w:rPr>
          <w:rFonts w:eastAsia="Calibri"/>
          <w:sz w:val="26"/>
          <w:szCs w:val="26"/>
          <w:vertAlign w:val="superscript"/>
          <w:lang w:eastAsia="en-US"/>
        </w:rPr>
        <w:footnoteReference w:id="25"/>
      </w:r>
      <w:r w:rsidRPr="00CD5F12">
        <w:rPr>
          <w:rFonts w:eastAsia="Calibri"/>
          <w:sz w:val="26"/>
          <w:szCs w:val="26"/>
          <w:lang w:eastAsia="en-US"/>
        </w:rPr>
        <w:t xml:space="preserve">. Segundo, en muchos países se establecieron sistemas de apoyo a los hogares de bajos ingresos que tendieron a reducir la presión sobre la oferta laboral. En la medida en que estas transferencias han estado condicionadas a la asistencia a la escuela de los hijos de los hogares receptores, se establecieron incentivos adicionales para que estos niños y jóvenes continuaran estudiando y no se volcaran al mercado laboral. Además, en varios </w:t>
      </w:r>
      <w:r w:rsidRPr="00CD5F12">
        <w:rPr>
          <w:rFonts w:eastAsia="Calibri"/>
          <w:sz w:val="26"/>
          <w:szCs w:val="26"/>
          <w:lang w:eastAsia="en-US"/>
        </w:rPr>
        <w:lastRenderedPageBreak/>
        <w:t>países se establecieron programas para incentivar una mayor permanencia de los jóvenes en el sistema educativo.</w:t>
      </w:r>
    </w:p>
    <w:p w14:paraId="5BFBD6B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¿Qué expectativas genera esta situación para la evolución del mercado laboral de la región en 2015? El débil crecimiento económico proyectado hace prever que la demanda laboral se mantendría acotada, aunque no se registraría una caída tan marcada de la tasa de ocupación como en 2014. Si bien parece obvio que una disminución de la tasa de participación no es sostenible en un plazo prolongado, es difícil prever si la oferta laboral retomará su tendencia ascendente de largo plazo durante 2015 o si su crecimiento se mantendrá acotado. El escenario más probable parece ser que a nivel regional la tasa de participación baje menos que en 2014 y que todavía no vuelva a aumentar. En un contexto de estas características, la tasa de desempleo dejaría de caer, pero no presentaría un repunte significativo.</w:t>
      </w:r>
    </w:p>
    <w:p w14:paraId="6768AA0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 limitada demanda laboral incidiría en menores aumentos de los salarios en términos nominales, aunque los niveles relativamente bajos de desempleo impedirían una desaceleración muy marcada de estos aumentos. Debido a que la inflación tendería a estabilizarse o, en varios casos, a retroceder, los salarios seguirían creciendo moderadamente en términos reales.</w:t>
      </w:r>
    </w:p>
    <w:p w14:paraId="354FCB4D"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Capítulo V: El sector externo</w:t>
      </w:r>
    </w:p>
    <w:p w14:paraId="51370D0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2014, el déficit en cuenta corriente de la balanza de pagos de la región llegó a un 2.4% del PIB (2.6% en 2013), con lo que se detuvo la tendencia al incremento del déficit que se había verificado durante los cuatro años anteriores (véase la gráfica siguiente).</w:t>
      </w:r>
    </w:p>
    <w:p w14:paraId="47FADCDE" w14:textId="77777777" w:rsidR="00CD5F12" w:rsidRPr="00CD5F12" w:rsidRDefault="00CD5F12" w:rsidP="00CD5F12">
      <w:pPr>
        <w:spacing w:after="360" w:line="360" w:lineRule="auto"/>
        <w:ind w:right="-159"/>
        <w:jc w:val="both"/>
        <w:rPr>
          <w:rFonts w:eastAsia="Calibri"/>
          <w:sz w:val="26"/>
          <w:szCs w:val="26"/>
          <w:lang w:eastAsia="en-US"/>
        </w:rPr>
      </w:pPr>
    </w:p>
    <w:p w14:paraId="7DF81400"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81CC1AA" w14:textId="77777777" w:rsidTr="00835D95">
        <w:trPr>
          <w:jc w:val="center"/>
        </w:trPr>
        <w:tc>
          <w:tcPr>
            <w:tcW w:w="8978" w:type="dxa"/>
          </w:tcPr>
          <w:p w14:paraId="31243EA9"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ESTRUCTURA DE LA CUENTA CORRIENTE, 2006-2014</w:t>
            </w:r>
          </w:p>
          <w:p w14:paraId="56849A35"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w:t>
            </w:r>
          </w:p>
        </w:tc>
      </w:tr>
      <w:tr w:rsidR="00CD5F12" w:rsidRPr="00CD5F12" w14:paraId="6FAEF80C" w14:textId="77777777" w:rsidTr="00835D95">
        <w:trPr>
          <w:jc w:val="center"/>
        </w:trPr>
        <w:tc>
          <w:tcPr>
            <w:tcW w:w="8978" w:type="dxa"/>
          </w:tcPr>
          <w:p w14:paraId="423E6B80"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1BBC1F1" wp14:editId="3B0BECD4">
                  <wp:extent cx="5562900" cy="2772000"/>
                  <wp:effectExtent l="0" t="0" r="0" b="9525"/>
                  <wp:docPr id="1694" name="Imagen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562900" cy="2772000"/>
                          </a:xfrm>
                          <a:prstGeom prst="rect">
                            <a:avLst/>
                          </a:prstGeom>
                          <a:noFill/>
                          <a:ln>
                            <a:noFill/>
                          </a:ln>
                        </pic:spPr>
                      </pic:pic>
                    </a:graphicData>
                  </a:graphic>
                </wp:inline>
              </w:drawing>
            </w:r>
          </w:p>
        </w:tc>
      </w:tr>
      <w:tr w:rsidR="00CD5F12" w:rsidRPr="00CD5F12" w14:paraId="49857563" w14:textId="77777777" w:rsidTr="00835D95">
        <w:trPr>
          <w:jc w:val="center"/>
        </w:trPr>
        <w:tc>
          <w:tcPr>
            <w:tcW w:w="8978" w:type="dxa"/>
          </w:tcPr>
          <w:p w14:paraId="266EC971" w14:textId="77777777" w:rsidR="00CD5F12" w:rsidRPr="00CD5F12" w:rsidRDefault="00CD5F12" w:rsidP="00CD5F12">
            <w:pPr>
              <w:ind w:left="198" w:hanging="198"/>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Proyecciones.</w:t>
            </w:r>
          </w:p>
          <w:p w14:paraId="0332A8E1"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1FF532E8" w14:textId="77777777" w:rsidR="00CD5F12" w:rsidRPr="00CD5F12" w:rsidRDefault="00CD5F12" w:rsidP="00CD5F12">
      <w:pPr>
        <w:spacing w:after="360" w:line="360" w:lineRule="auto"/>
        <w:ind w:right="-159"/>
        <w:jc w:val="both"/>
        <w:rPr>
          <w:rFonts w:eastAsia="Calibri"/>
          <w:sz w:val="26"/>
          <w:szCs w:val="26"/>
          <w:lang w:eastAsia="en-US"/>
        </w:rPr>
      </w:pPr>
    </w:p>
    <w:p w14:paraId="1CAEB3E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comportamiento de los componentes de la cuenta corriente de la región no experimentó variaciones significativas en 2014. En un contexto de bajo dinamismo de la economía y del comercio mundial, la balanza de bienes, con caídas de las importaciones levemente mayores que las de las exportaciones, permaneció invariable (0.3% del PIB en 2014 y 2013). Al mismo tiempo, se constató un mayor dinamismo del turismo en la región, sobre todo en México y Centroamérica, lo que contribuyó a una mínima mejora de la balanza de servicios (-1.3% del PIB en 2014 y -1.4% en 2013). El mayor flujo de remesas familiares desde los Estados Unidos de Norteamérica se vio parcialmente contrarrestado por menores remesas provenientes de España, lo que dejó invariable la balanza de transferencias (1.0% del PIB en 2014 y 2013). La balanza de renta redujo levemente su déficit (-2.5% del PIB en 2014 y -2.6% en 2013) gracias a la disminución de las remesas de utilidades de la inversión extranjera directa (IED), como efecto de los menores precios de exportación de la región durante el año.</w:t>
      </w:r>
    </w:p>
    <w:p w14:paraId="753801D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 xml:space="preserve">Durante 2014 se ha observado una continua tendencia a la baja —o en algunos casos un estancamiento— de los precios de varios productos básicos exportados por la región, tendencia que se inició en 2012. Por una parte, esto se debe a la contracción de la demanda mundial de estos bienes, cuya causa principal es la desaceleración del crecimiento en China. Por otra, es el resultado de la expansión de la oferta de estos productos en el mundo, como consecuencia de las inversiones previamente realizadas en los sectores de los recursos naturales. Asimismo, la dinámica de los mercados financieros también ha afectado la evolución de los precios de los productos básicos. </w:t>
      </w:r>
    </w:p>
    <w:p w14:paraId="00ABE1B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Se estima que en 2014, los términos de intercambio de la región en su conjunto se habrán deteriorado un 2.6% (véase la gráfica siguiente). Sin embargo, el comportamiento es heterogéneo. En el caso de América del Sur el deterioro (2.7%) es consecuencia de la tendencia a la baja de los precios de los productos básicos de exportación de esa subregión, que tuvo un efecto negativo sobre los términos de intercambio de los principales exportadores de productos mineros y metálicos —Brasil (2.7%) y Chile y Perú (2.8%)—. El deterioro de los términos de intercambio de los exportadores de hidrocarburos —Bolivia (Estado Plurinacional de), Colombia, Ecuador y Venezuela (República Bolivariana de)— fue también muy significativo (-4.6%). Sin embargo, los exportadores de productos agroindustriales —Argentina, Paraguay y Uruguay—mostraron un deterioro menor que el de la subregión (0.4%).</w:t>
      </w:r>
    </w:p>
    <w:p w14:paraId="5CFFC588" w14:textId="77777777" w:rsidR="00CD5F12" w:rsidRPr="00CD5F12" w:rsidRDefault="00CD5F12" w:rsidP="00CD5F12">
      <w:pPr>
        <w:spacing w:after="360" w:line="360" w:lineRule="auto"/>
        <w:ind w:right="-159"/>
        <w:jc w:val="both"/>
        <w:rPr>
          <w:rFonts w:eastAsia="Calibri"/>
          <w:sz w:val="26"/>
          <w:szCs w:val="26"/>
          <w:lang w:eastAsia="en-US"/>
        </w:rPr>
      </w:pPr>
    </w:p>
    <w:p w14:paraId="5B49E340" w14:textId="77777777" w:rsidR="00CD5F12" w:rsidRPr="00CD5F12" w:rsidRDefault="00CD5F12" w:rsidP="00CD5F12">
      <w:pPr>
        <w:spacing w:after="360" w:line="360" w:lineRule="auto"/>
        <w:ind w:right="-159"/>
        <w:jc w:val="both"/>
        <w:rPr>
          <w:rFonts w:eastAsia="Calibri"/>
          <w:sz w:val="26"/>
          <w:szCs w:val="26"/>
          <w:lang w:eastAsia="en-US"/>
        </w:rPr>
      </w:pPr>
    </w:p>
    <w:p w14:paraId="3C9FE252" w14:textId="77777777" w:rsidR="00CD5F12" w:rsidRPr="00CD5F12" w:rsidRDefault="00CD5F12" w:rsidP="00CD5F12">
      <w:pPr>
        <w:spacing w:after="360" w:line="360" w:lineRule="auto"/>
        <w:ind w:right="-159"/>
        <w:jc w:val="both"/>
        <w:rPr>
          <w:rFonts w:eastAsia="Calibri"/>
          <w:sz w:val="26"/>
          <w:szCs w:val="26"/>
          <w:lang w:eastAsia="en-US"/>
        </w:rPr>
      </w:pPr>
    </w:p>
    <w:p w14:paraId="5CBA35FC" w14:textId="77777777" w:rsidR="00CD5F12" w:rsidRPr="00CD5F12" w:rsidRDefault="00CD5F12" w:rsidP="00CD5F12">
      <w:pPr>
        <w:spacing w:after="360" w:line="360" w:lineRule="auto"/>
        <w:ind w:right="-159"/>
        <w:jc w:val="both"/>
        <w:rPr>
          <w:rFonts w:eastAsia="Calibri"/>
          <w:sz w:val="26"/>
          <w:szCs w:val="26"/>
          <w:lang w:eastAsia="en-US"/>
        </w:rPr>
      </w:pPr>
    </w:p>
    <w:p w14:paraId="6EB5E859"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BB9765F" w14:textId="77777777" w:rsidTr="00835D95">
        <w:trPr>
          <w:jc w:val="center"/>
        </w:trPr>
        <w:tc>
          <w:tcPr>
            <w:tcW w:w="8978" w:type="dxa"/>
          </w:tcPr>
          <w:p w14:paraId="539F9C6F"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VARIACIÓN DE LOS TÉRMINOS DE INTERCAMBIO, 2011-2014</w:t>
            </w:r>
          </w:p>
          <w:p w14:paraId="2D414324"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55C29D6A" w14:textId="77777777" w:rsidTr="00835D95">
        <w:trPr>
          <w:jc w:val="center"/>
        </w:trPr>
        <w:tc>
          <w:tcPr>
            <w:tcW w:w="8978" w:type="dxa"/>
          </w:tcPr>
          <w:p w14:paraId="54FF007D"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53895648" wp14:editId="56BFFD1E">
                  <wp:extent cx="5506005" cy="2700000"/>
                  <wp:effectExtent l="0" t="0" r="0" b="5715"/>
                  <wp:docPr id="1695" name="Imagen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506005" cy="2700000"/>
                          </a:xfrm>
                          <a:prstGeom prst="rect">
                            <a:avLst/>
                          </a:prstGeom>
                          <a:noFill/>
                          <a:ln>
                            <a:noFill/>
                          </a:ln>
                        </pic:spPr>
                      </pic:pic>
                    </a:graphicData>
                  </a:graphic>
                </wp:inline>
              </w:drawing>
            </w:r>
          </w:p>
        </w:tc>
      </w:tr>
      <w:tr w:rsidR="00CD5F12" w:rsidRPr="00CD5F12" w14:paraId="72D24BF3" w14:textId="77777777" w:rsidTr="00835D95">
        <w:trPr>
          <w:jc w:val="center"/>
        </w:trPr>
        <w:tc>
          <w:tcPr>
            <w:tcW w:w="8978" w:type="dxa"/>
          </w:tcPr>
          <w:p w14:paraId="261DDBD4" w14:textId="77777777" w:rsidR="00CD5F12" w:rsidRPr="00CD5F12" w:rsidRDefault="00CD5F12" w:rsidP="00CD5F12">
            <w:pPr>
              <w:ind w:left="198" w:hanging="198"/>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Proyecciones.</w:t>
            </w:r>
          </w:p>
          <w:p w14:paraId="62871234"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r w:rsidRPr="00CD5F12">
              <w:rPr>
                <w:rFonts w:eastAsia="Calibri"/>
                <w:i/>
                <w:sz w:val="20"/>
                <w:szCs w:val="20"/>
                <w:lang w:eastAsia="en-US"/>
              </w:rPr>
              <w:t>.</w:t>
            </w:r>
          </w:p>
        </w:tc>
      </w:tr>
    </w:tbl>
    <w:p w14:paraId="08B89B2C" w14:textId="77777777" w:rsidR="00CD5F12" w:rsidRPr="00CD5F12" w:rsidRDefault="00CD5F12" w:rsidP="00CD5F12">
      <w:pPr>
        <w:spacing w:after="360" w:line="360" w:lineRule="auto"/>
        <w:ind w:right="-159"/>
        <w:jc w:val="both"/>
        <w:rPr>
          <w:rFonts w:eastAsia="Calibri"/>
          <w:sz w:val="26"/>
          <w:szCs w:val="26"/>
          <w:lang w:eastAsia="en-US"/>
        </w:rPr>
      </w:pPr>
    </w:p>
    <w:p w14:paraId="2D259E0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Los términos de intercambio de los países centroamericanos exhiben una mejora de un 1.1%, gracias al aumento de los precios de algunos de los productos exportados por esa subregión y al menor costo de las importaciones de productos energéticos. Para los países caribeños importadores de alimentos y combustibles (El Caribe, sin incluir Trinidad y Tobago) se prevé un comportamiento estable (+0.1%). La variación en los términos de intercambio de México fue similar a la de la región (-2.4%), ya que, aunque su estructura exportadora se centra en gran medida en los productos manufactureros, las caídas considerables de los precios de los productos básicos de exportación de la subregión (oro, cobre, plata, productos de acero y petróleo) provocaron un deterioro.</w:t>
      </w:r>
    </w:p>
    <w:p w14:paraId="172D6C56"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Aunque la zona del euro salió de la recesión durante el segundo semestre de 2013, la tasa de crecimiento trimestral aun sigue estando por debajo del 1% interanual y se estima que la consolidación de su recuperación será un proceso prolongado. Por otra parte, la economía de China continúa desacelerándose en el marco de la sustitución del desarrollo basado en la exportación y la inversión por un crecimiento sustentado </w:t>
      </w:r>
      <w:r w:rsidRPr="00CD5F12">
        <w:rPr>
          <w:rFonts w:eastAsia="Calibri"/>
          <w:sz w:val="26"/>
          <w:szCs w:val="26"/>
          <w:lang w:eastAsia="en-US"/>
        </w:rPr>
        <w:lastRenderedPageBreak/>
        <w:t>principalmente en el consumo interno. Por el contrario, el crecimiento de los Estados Unidos de Norteamérica se está fortaleciendo, lo que se refleja en el aumento de sus importaciones procedentes de América Latina. Como se observa en la gráfica siguiente, las importaciones de los Estados Unidos de Norteamérica ganan dinamismo y las de la Unión Europea (28 países, comercio extrarregional) están creciendo a un ritmo aun lento. Por otra parte, las importaciones de China se estancaron en un nivel relativamente bajo en comparación con años anteriores y el resto de los BRICS (Brasil, Federación de Rusia, India y Sudáfrica) mostraron un comportamiento negativo durante la primera mitad de 2014.</w:t>
      </w:r>
    </w:p>
    <w:tbl>
      <w:tblPr>
        <w:tblW w:w="0" w:type="auto"/>
        <w:jc w:val="center"/>
        <w:tblBorders>
          <w:insideV w:val="single" w:sz="4" w:space="0" w:color="auto"/>
        </w:tblBorders>
        <w:tblLook w:val="04A0" w:firstRow="1" w:lastRow="0" w:firstColumn="1" w:lastColumn="0" w:noHBand="0" w:noVBand="1"/>
      </w:tblPr>
      <w:tblGrid>
        <w:gridCol w:w="8840"/>
      </w:tblGrid>
      <w:tr w:rsidR="00E40B31" w:rsidRPr="00E40B31" w14:paraId="7103B406" w14:textId="77777777" w:rsidTr="00BA5240">
        <w:trPr>
          <w:jc w:val="center"/>
        </w:trPr>
        <w:tc>
          <w:tcPr>
            <w:tcW w:w="8840" w:type="dxa"/>
          </w:tcPr>
          <w:p w14:paraId="74CA931D" w14:textId="77777777" w:rsidR="00E40B31" w:rsidRPr="00E40B31" w:rsidRDefault="00E40B31" w:rsidP="00E40B31">
            <w:pPr>
              <w:jc w:val="center"/>
              <w:rPr>
                <w:rFonts w:eastAsia="Calibri"/>
                <w:b/>
                <w:sz w:val="22"/>
                <w:szCs w:val="22"/>
                <w:lang w:eastAsia="en-US"/>
              </w:rPr>
            </w:pPr>
            <w:r w:rsidRPr="00E40B31">
              <w:rPr>
                <w:rFonts w:eastAsia="Calibri"/>
                <w:b/>
                <w:sz w:val="22"/>
                <w:szCs w:val="22"/>
                <w:lang w:eastAsia="en-US"/>
              </w:rPr>
              <w:t>ESTADOS UNIDOS DE NORTEAMÉRICA, UNIÓN EUROPEA</w:t>
            </w:r>
            <w:r w:rsidRPr="00E40B31">
              <w:rPr>
                <w:rFonts w:eastAsia="Calibri"/>
                <w:b/>
                <w:sz w:val="22"/>
                <w:szCs w:val="22"/>
                <w:u w:val="single"/>
                <w:vertAlign w:val="superscript"/>
                <w:lang w:eastAsia="en-US"/>
              </w:rPr>
              <w:t>a</w:t>
            </w:r>
            <w:r w:rsidRPr="00E40B31">
              <w:rPr>
                <w:rFonts w:eastAsia="Calibri"/>
                <w:b/>
                <w:sz w:val="22"/>
                <w:szCs w:val="22"/>
                <w:vertAlign w:val="superscript"/>
                <w:lang w:eastAsia="en-US"/>
              </w:rPr>
              <w:t>/</w:t>
            </w:r>
            <w:r w:rsidRPr="00E40B31">
              <w:rPr>
                <w:rFonts w:eastAsia="Calibri"/>
                <w:b/>
                <w:sz w:val="22"/>
                <w:szCs w:val="22"/>
                <w:lang w:eastAsia="en-US"/>
              </w:rPr>
              <w:t>, CHINA Y RESTO DE LOS BRICS</w:t>
            </w:r>
            <w:r w:rsidRPr="00E40B31">
              <w:rPr>
                <w:rFonts w:eastAsia="Calibri"/>
                <w:b/>
                <w:sz w:val="22"/>
                <w:szCs w:val="22"/>
                <w:u w:val="single"/>
                <w:vertAlign w:val="superscript"/>
                <w:lang w:eastAsia="en-US"/>
              </w:rPr>
              <w:t>b</w:t>
            </w:r>
            <w:r w:rsidRPr="00E40B31">
              <w:rPr>
                <w:rFonts w:eastAsia="Calibri"/>
                <w:b/>
                <w:sz w:val="22"/>
                <w:szCs w:val="22"/>
                <w:vertAlign w:val="superscript"/>
                <w:lang w:eastAsia="en-US"/>
              </w:rPr>
              <w:t>/</w:t>
            </w:r>
            <w:r w:rsidRPr="00E40B31">
              <w:rPr>
                <w:rFonts w:eastAsia="Calibri"/>
                <w:b/>
                <w:sz w:val="22"/>
                <w:szCs w:val="22"/>
                <w:lang w:eastAsia="en-US"/>
              </w:rPr>
              <w:t>: VARIACIÓN INTERANUAL DE LAS IMPORTACIONES, PRIMER TRIMESTRE DE 2011 A TERCER TRIMESTRE DE 2014</w:t>
            </w:r>
          </w:p>
          <w:p w14:paraId="1A7AB879" w14:textId="77777777" w:rsidR="00E40B31" w:rsidRPr="00E40B31" w:rsidRDefault="00E40B31" w:rsidP="00E40B31">
            <w:pPr>
              <w:jc w:val="center"/>
              <w:rPr>
                <w:rFonts w:eastAsia="Calibri"/>
                <w:b/>
                <w:sz w:val="22"/>
                <w:szCs w:val="22"/>
                <w:lang w:eastAsia="en-US"/>
              </w:rPr>
            </w:pPr>
            <w:r w:rsidRPr="00E40B31">
              <w:rPr>
                <w:rFonts w:eastAsia="Calibri"/>
                <w:b/>
                <w:sz w:val="22"/>
                <w:szCs w:val="22"/>
                <w:lang w:eastAsia="en-US"/>
              </w:rPr>
              <w:t>-En porcentajes-</w:t>
            </w:r>
          </w:p>
        </w:tc>
      </w:tr>
      <w:tr w:rsidR="00E40B31" w:rsidRPr="00E40B31" w14:paraId="41C8128E" w14:textId="77777777" w:rsidTr="00BA5240">
        <w:trPr>
          <w:jc w:val="center"/>
        </w:trPr>
        <w:tc>
          <w:tcPr>
            <w:tcW w:w="8840" w:type="dxa"/>
          </w:tcPr>
          <w:p w14:paraId="361E419E" w14:textId="77777777" w:rsidR="00E40B31" w:rsidRPr="00E40B31" w:rsidRDefault="00E40B31" w:rsidP="00E40B31">
            <w:pPr>
              <w:jc w:val="center"/>
              <w:rPr>
                <w:rFonts w:eastAsia="Calibri"/>
                <w:sz w:val="26"/>
                <w:szCs w:val="26"/>
                <w:lang w:eastAsia="en-US"/>
              </w:rPr>
            </w:pPr>
            <w:r w:rsidRPr="00E40B31">
              <w:rPr>
                <w:rFonts w:eastAsia="Calibri"/>
                <w:noProof/>
                <w:sz w:val="26"/>
                <w:szCs w:val="26"/>
                <w:lang w:eastAsia="es-MX"/>
              </w:rPr>
              <w:drawing>
                <wp:inline distT="0" distB="0" distL="0" distR="0" wp14:anchorId="33968F8F" wp14:editId="320E2E80">
                  <wp:extent cx="5566410" cy="2829560"/>
                  <wp:effectExtent l="0" t="0" r="0" b="8890"/>
                  <wp:docPr id="1919" name="Imagen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66410" cy="2829560"/>
                          </a:xfrm>
                          <a:prstGeom prst="rect">
                            <a:avLst/>
                          </a:prstGeom>
                          <a:noFill/>
                          <a:ln>
                            <a:noFill/>
                          </a:ln>
                        </pic:spPr>
                      </pic:pic>
                    </a:graphicData>
                  </a:graphic>
                </wp:inline>
              </w:drawing>
            </w:r>
          </w:p>
        </w:tc>
      </w:tr>
      <w:tr w:rsidR="00E40B31" w:rsidRPr="00E40B31" w14:paraId="1E729F8F" w14:textId="77777777" w:rsidTr="00BA5240">
        <w:trPr>
          <w:jc w:val="center"/>
        </w:trPr>
        <w:tc>
          <w:tcPr>
            <w:tcW w:w="8840" w:type="dxa"/>
          </w:tcPr>
          <w:p w14:paraId="337CA85B" w14:textId="77777777" w:rsidR="00E40B31" w:rsidRPr="00E40B31" w:rsidRDefault="00E40B31" w:rsidP="00E40B31">
            <w:pPr>
              <w:ind w:left="198" w:hanging="198"/>
              <w:jc w:val="both"/>
              <w:rPr>
                <w:rFonts w:eastAsia="Calibri"/>
                <w:sz w:val="20"/>
                <w:szCs w:val="20"/>
                <w:lang w:eastAsia="en-US"/>
              </w:rPr>
            </w:pPr>
            <w:r w:rsidRPr="00E40B31">
              <w:rPr>
                <w:rFonts w:eastAsia="Calibri"/>
                <w:sz w:val="20"/>
                <w:szCs w:val="20"/>
                <w:u w:val="single"/>
                <w:lang w:eastAsia="en-US"/>
              </w:rPr>
              <w:t>a</w:t>
            </w:r>
            <w:r w:rsidRPr="00E40B31">
              <w:rPr>
                <w:rFonts w:eastAsia="Calibri"/>
                <w:sz w:val="20"/>
                <w:szCs w:val="20"/>
                <w:lang w:eastAsia="en-US"/>
              </w:rPr>
              <w:t>/ Unión Europea: 28 países, comercio extrarregional.</w:t>
            </w:r>
          </w:p>
          <w:p w14:paraId="50536B92" w14:textId="77777777" w:rsidR="00E40B31" w:rsidRPr="00E40B31" w:rsidRDefault="00E40B31" w:rsidP="00E40B31">
            <w:pPr>
              <w:ind w:left="198" w:hanging="198"/>
              <w:jc w:val="both"/>
              <w:rPr>
                <w:rFonts w:eastAsia="Calibri"/>
                <w:sz w:val="20"/>
                <w:szCs w:val="20"/>
                <w:lang w:eastAsia="en-US"/>
              </w:rPr>
            </w:pPr>
            <w:r w:rsidRPr="00E40B31">
              <w:rPr>
                <w:rFonts w:eastAsia="Calibri"/>
                <w:sz w:val="20"/>
                <w:szCs w:val="20"/>
                <w:u w:val="single"/>
                <w:lang w:eastAsia="en-US"/>
              </w:rPr>
              <w:t>b</w:t>
            </w:r>
            <w:r w:rsidRPr="00E40B31">
              <w:rPr>
                <w:rFonts w:eastAsia="Calibri"/>
                <w:sz w:val="20"/>
                <w:szCs w:val="20"/>
                <w:lang w:eastAsia="en-US"/>
              </w:rPr>
              <w:t>/ Brasil, Federación de Rusia, India, China y Sudáfrica.</w:t>
            </w:r>
          </w:p>
          <w:p w14:paraId="2B52A8F1" w14:textId="77777777" w:rsidR="00E40B31" w:rsidRPr="00E40B31" w:rsidRDefault="00E40B31" w:rsidP="00E40B31">
            <w:pPr>
              <w:jc w:val="both"/>
              <w:rPr>
                <w:rFonts w:eastAsia="Calibri"/>
                <w:sz w:val="20"/>
                <w:szCs w:val="20"/>
                <w:lang w:eastAsia="en-US"/>
              </w:rPr>
            </w:pPr>
            <w:r w:rsidRPr="00E40B31">
              <w:rPr>
                <w:rFonts w:eastAsia="Calibri"/>
                <w:sz w:val="20"/>
                <w:szCs w:val="20"/>
                <w:lang w:eastAsia="en-US"/>
              </w:rPr>
              <w:t>* Estados Unidos de Norteamérica.</w:t>
            </w:r>
          </w:p>
          <w:p w14:paraId="1D27E46B" w14:textId="77777777" w:rsidR="00E40B31" w:rsidRPr="00E40B31" w:rsidRDefault="00E40B31" w:rsidP="00E40B31">
            <w:pPr>
              <w:ind w:left="907" w:hanging="907"/>
              <w:jc w:val="both"/>
              <w:rPr>
                <w:rFonts w:eastAsia="Calibri"/>
                <w:sz w:val="20"/>
                <w:szCs w:val="20"/>
                <w:lang w:eastAsia="en-US"/>
              </w:rPr>
            </w:pPr>
            <w:r w:rsidRPr="00E40B31">
              <w:rPr>
                <w:rFonts w:eastAsia="Calibri"/>
                <w:sz w:val="20"/>
                <w:szCs w:val="20"/>
                <w:lang w:eastAsia="en-US"/>
              </w:rPr>
              <w:t>FUENTE: Comisión Económica para América Latina y el Caribe (CEPAL), sobre la base de cifras de la Organización Mundial del Comercio (OMC).</w:t>
            </w:r>
          </w:p>
        </w:tc>
      </w:tr>
    </w:tbl>
    <w:p w14:paraId="2E5FFDC1" w14:textId="77777777" w:rsidR="00E40B31" w:rsidRPr="00E40B31" w:rsidRDefault="00E40B31" w:rsidP="00E40B31">
      <w:pPr>
        <w:spacing w:after="360" w:line="360" w:lineRule="auto"/>
        <w:ind w:right="-159"/>
        <w:jc w:val="both"/>
        <w:rPr>
          <w:rFonts w:eastAsia="Calibri"/>
          <w:sz w:val="26"/>
          <w:szCs w:val="26"/>
          <w:lang w:eastAsia="en-US"/>
        </w:rPr>
      </w:pPr>
    </w:p>
    <w:p w14:paraId="17DDA248" w14:textId="77777777" w:rsidR="00E40B31" w:rsidRDefault="00E40B31" w:rsidP="00CD5F12">
      <w:pPr>
        <w:spacing w:after="360" w:line="360" w:lineRule="auto"/>
        <w:ind w:right="-159"/>
        <w:jc w:val="both"/>
        <w:rPr>
          <w:rFonts w:eastAsia="Calibri"/>
          <w:sz w:val="26"/>
          <w:szCs w:val="26"/>
          <w:lang w:eastAsia="en-US"/>
        </w:rPr>
      </w:pPr>
    </w:p>
    <w:p w14:paraId="77FF7C9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La lenta evolución de la demanda externa y el incremento de la oferta en algunos mercados de productos básicos (hidrocarburos, soja y cobre) provocaron también un descenso de los precios externos (disminución de los valores unitarios de exportación del 2.8%), lo que contrarrestó el esfuerzo exportador regional e hizo que la caída del valor de las exportaciones (0.8%) fuera mayor que durante 2013 (0.2%).</w:t>
      </w:r>
    </w:p>
    <w:p w14:paraId="1F5C1EB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Subyacen a esta evolución factores diferentes según las subregiones y los mercados de destino de sus exportaciones. Como se aprecia en la gráfica siguiente, América del Sur sufrió un deterioro tanto de los volúmenes exportados como de los precios de exportación, mientras que en México predominó un aumento de los volúmenes exportados pero con una caída de los valores unitarios.</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74BF987D" w14:textId="77777777" w:rsidTr="00835D95">
        <w:trPr>
          <w:jc w:val="center"/>
        </w:trPr>
        <w:tc>
          <w:tcPr>
            <w:tcW w:w="8978" w:type="dxa"/>
          </w:tcPr>
          <w:p w14:paraId="2C1385EF"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VARIACIÓN ESTIMADA DEL VALOR DE LAS EXPORTACIONES SEGÚN CONTRIBUCIÓN DE VOLUMEN Y PRECIO, 2014</w:t>
            </w:r>
          </w:p>
          <w:p w14:paraId="0405FCCB"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2D7EA8F7" w14:textId="77777777" w:rsidTr="00835D95">
        <w:trPr>
          <w:jc w:val="center"/>
        </w:trPr>
        <w:tc>
          <w:tcPr>
            <w:tcW w:w="8978" w:type="dxa"/>
          </w:tcPr>
          <w:p w14:paraId="7549DBB5"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539246FB" wp14:editId="2DB9F476">
                  <wp:extent cx="5562378" cy="2880000"/>
                  <wp:effectExtent l="0" t="0" r="635" b="0"/>
                  <wp:docPr id="1697" name="Imagen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562378" cy="2880000"/>
                          </a:xfrm>
                          <a:prstGeom prst="rect">
                            <a:avLst/>
                          </a:prstGeom>
                        </pic:spPr>
                      </pic:pic>
                    </a:graphicData>
                  </a:graphic>
                </wp:inline>
              </w:drawing>
            </w:r>
          </w:p>
        </w:tc>
      </w:tr>
      <w:tr w:rsidR="00CD5F12" w:rsidRPr="00CD5F12" w14:paraId="714394DA" w14:textId="77777777" w:rsidTr="00835D95">
        <w:trPr>
          <w:jc w:val="center"/>
        </w:trPr>
        <w:tc>
          <w:tcPr>
            <w:tcW w:w="8978" w:type="dxa"/>
          </w:tcPr>
          <w:p w14:paraId="6F24C918"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48B26834" w14:textId="77777777" w:rsidR="00CD5F12" w:rsidRPr="00CD5F12" w:rsidRDefault="00CD5F12" w:rsidP="00CD5F12">
      <w:pPr>
        <w:spacing w:after="360" w:line="360" w:lineRule="auto"/>
        <w:ind w:right="-159"/>
        <w:jc w:val="both"/>
        <w:rPr>
          <w:rFonts w:eastAsia="Calibri"/>
          <w:sz w:val="26"/>
          <w:szCs w:val="26"/>
          <w:lang w:eastAsia="en-US"/>
        </w:rPr>
      </w:pPr>
    </w:p>
    <w:p w14:paraId="7F547A3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México, Centroamérica y los países del Caribe exportadores de servicios se beneficiaron de la sostenida recuperación exhibida por la economía de los Estados </w:t>
      </w:r>
      <w:r w:rsidRPr="00CD5F12">
        <w:rPr>
          <w:rFonts w:eastAsia="Calibri"/>
          <w:sz w:val="26"/>
          <w:szCs w:val="26"/>
          <w:lang w:eastAsia="en-US"/>
        </w:rPr>
        <w:lastRenderedPageBreak/>
        <w:t>Unidos de Norteamérica, país que en varios casos es el destino principal de sus exportaciones.</w:t>
      </w:r>
    </w:p>
    <w:p w14:paraId="66E17C53"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América del Sur, en cambio, enfrentó el bajo dinamismo de la demanda de bienes por parte de Europa y China, que se tradujo en el estancamiento de los volúmenes exportados por Brasil (0.1%) y Chile (1.8%), y en el retroceso de las exportaciones de Perú (5.9%). También las exportaciones de Argentina registraron caídas (10.0%), mientras que los volúmenes exportados por la República Bolivariana de Venezuela se estancaron (0.2%).</w:t>
      </w:r>
    </w:p>
    <w:p w14:paraId="736B6F2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Por el lado de las importaciones, también se aprecia un patrón de diferenciación según las subregiones. La fuerte reducción de la demanda interna, el consumo y la inversión que se produjo en la mayoría de los países de América del Sur se tradujo en disminuciones pronunciadas de los volúmenes importados (5.0%) (véase la gráfica siguiente).</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0EFD5D83" w14:textId="77777777" w:rsidTr="00835D95">
        <w:trPr>
          <w:jc w:val="center"/>
        </w:trPr>
        <w:tc>
          <w:tcPr>
            <w:tcW w:w="8978" w:type="dxa"/>
          </w:tcPr>
          <w:p w14:paraId="7B94977D"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VARIACIÓN ESTIMADA DEL VALOR DE LAS IMPORTACIONES SEGÚN CONTRIBUCIÓN DE VOLUMEN Y PRECIO, 2014</w:t>
            </w:r>
          </w:p>
          <w:p w14:paraId="0E8492B8"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769BF403" w14:textId="77777777" w:rsidTr="00835D95">
        <w:trPr>
          <w:jc w:val="center"/>
        </w:trPr>
        <w:tc>
          <w:tcPr>
            <w:tcW w:w="8978" w:type="dxa"/>
          </w:tcPr>
          <w:p w14:paraId="28F914B4"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51E40E36" wp14:editId="35020210">
                  <wp:extent cx="5565225" cy="2952000"/>
                  <wp:effectExtent l="0" t="0" r="0" b="1270"/>
                  <wp:docPr id="1698" name="Imagen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565225" cy="2952000"/>
                          </a:xfrm>
                          <a:prstGeom prst="rect">
                            <a:avLst/>
                          </a:prstGeom>
                        </pic:spPr>
                      </pic:pic>
                    </a:graphicData>
                  </a:graphic>
                </wp:inline>
              </w:drawing>
            </w:r>
          </w:p>
        </w:tc>
      </w:tr>
      <w:tr w:rsidR="00CD5F12" w:rsidRPr="00CD5F12" w14:paraId="3A47F096" w14:textId="77777777" w:rsidTr="00835D95">
        <w:trPr>
          <w:jc w:val="center"/>
        </w:trPr>
        <w:tc>
          <w:tcPr>
            <w:tcW w:w="8978" w:type="dxa"/>
          </w:tcPr>
          <w:p w14:paraId="57ED00E3"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4E58873" w14:textId="77777777" w:rsidR="00CD5F12" w:rsidRPr="00CD5F12" w:rsidRDefault="00CD5F12" w:rsidP="00CD5F12">
      <w:pPr>
        <w:spacing w:after="360" w:line="360" w:lineRule="auto"/>
        <w:ind w:right="-159"/>
        <w:jc w:val="both"/>
        <w:rPr>
          <w:rFonts w:eastAsia="Calibri"/>
          <w:sz w:val="26"/>
          <w:szCs w:val="26"/>
          <w:lang w:eastAsia="en-US"/>
        </w:rPr>
      </w:pPr>
    </w:p>
    <w:p w14:paraId="24B09B71" w14:textId="0E36F711"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En el caso de Chile, el volumen importado disminuyó un 7.8%, lo que abarcó tanto los rubros de bienes duraderos como de maquinar</w:t>
      </w:r>
      <w:r w:rsidR="00877DDF">
        <w:rPr>
          <w:rFonts w:eastAsia="Calibri"/>
          <w:sz w:val="26"/>
          <w:szCs w:val="26"/>
          <w:lang w:eastAsia="en-US"/>
        </w:rPr>
        <w:t>i</w:t>
      </w:r>
      <w:r w:rsidRPr="00CD5F12">
        <w:rPr>
          <w:rFonts w:eastAsia="Calibri"/>
          <w:sz w:val="26"/>
          <w:szCs w:val="26"/>
          <w:lang w:eastAsia="en-US"/>
        </w:rPr>
        <w:t xml:space="preserve">a y equipos. Cabe también mencionar la diminución de las importaciones (en términos de volumen) de Brasil (2.6%) y Perú (2.1%), como resultado de la desaceleración del gasto. El volumen de importaciones se redujo también en Argentina (10.5%) y en la República Bolivariana de Venezuela (17.7%). En contraste, en Colombia, México y la mayoría de los países de Centroamérica, el volumen de las importaciones siguió incrementándose, si bien a menores tasas que en el pasado, de manera consistente con la continuidad de sus niveles de actividad. De este modo, el valor de las importaciones de América Latina en su conjunto se contrajo un 1.1%, lo que representa la primera caída desde la crisis financiera internacional de 2008 y 2009. </w:t>
      </w:r>
    </w:p>
    <w:p w14:paraId="2647F4A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Dado que los factores que explican la menor demanda de importaciones son principalmente de carácter cíclico, es posible que una reactivación de la demanda interna, en particular del consumo, se exprese en una reanudación del deterioro de la cuenta corriente. </w:t>
      </w:r>
    </w:p>
    <w:p w14:paraId="31825449" w14:textId="6DB10D28"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Durante los ocho primeros meses de 2014</w:t>
      </w:r>
      <w:r w:rsidR="00877DDF">
        <w:rPr>
          <w:rFonts w:eastAsia="Calibri"/>
          <w:sz w:val="26"/>
          <w:szCs w:val="26"/>
          <w:lang w:eastAsia="en-US"/>
        </w:rPr>
        <w:t>,</w:t>
      </w:r>
      <w:r w:rsidRPr="00CD5F12">
        <w:rPr>
          <w:rFonts w:eastAsia="Calibri"/>
          <w:sz w:val="26"/>
          <w:szCs w:val="26"/>
          <w:lang w:eastAsia="en-US"/>
        </w:rPr>
        <w:t xml:space="preserve"> la llegada de turistas internacionales a México aumentó considerablemente (19.0%). Ese país experimentó el mayor crecimiento en el sector del turismo, fruto de la recuperación económica de los Estados Unidos de Norteamérica y de la creciente confianza de sus consumidores, lo que supuso un incremento del gasto en turismo de los estadounidenses durante 2014 con respecto a años anteriores. Por la misma razón, también los países caribeños y centroamericanos mostraron un mayor crecimiento de la llegada de turistas (5.9%, respectivamente). En el caso de América del Sur, la celebración del mundial de fútbol contribuyó al aumento de turistas (6.6%) (veáse la gráfica siguiente).</w:t>
      </w:r>
    </w:p>
    <w:p w14:paraId="6FE83A46" w14:textId="77777777" w:rsidR="00CD5F12" w:rsidRPr="00CD5F12" w:rsidRDefault="00CD5F12" w:rsidP="00CD5F12">
      <w:pPr>
        <w:spacing w:after="360" w:line="360" w:lineRule="auto"/>
        <w:ind w:right="-159"/>
        <w:jc w:val="both"/>
        <w:rPr>
          <w:rFonts w:eastAsia="Calibri"/>
          <w:sz w:val="26"/>
          <w:szCs w:val="26"/>
          <w:lang w:eastAsia="en-US"/>
        </w:rPr>
      </w:pPr>
    </w:p>
    <w:p w14:paraId="3B1093C1"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7A2EA8B2" w14:textId="77777777" w:rsidTr="00835D95">
        <w:trPr>
          <w:jc w:val="center"/>
        </w:trPr>
        <w:tc>
          <w:tcPr>
            <w:tcW w:w="8978" w:type="dxa"/>
          </w:tcPr>
          <w:p w14:paraId="0601249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VARIACIÓN INTERANUAL DE LA LLEGADA DE TURISTAS INTERNACIONALES, 2011 A 2014</w:t>
            </w:r>
          </w:p>
          <w:p w14:paraId="74E46CCB"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1284D486" w14:textId="77777777" w:rsidTr="00835D95">
        <w:trPr>
          <w:jc w:val="center"/>
        </w:trPr>
        <w:tc>
          <w:tcPr>
            <w:tcW w:w="8978" w:type="dxa"/>
          </w:tcPr>
          <w:p w14:paraId="6B0AA5BB"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915EE7D" wp14:editId="496B009C">
                  <wp:extent cx="5546899" cy="2808000"/>
                  <wp:effectExtent l="0" t="0" r="0" b="0"/>
                  <wp:docPr id="1699" name="Imagen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546899" cy="2808000"/>
                          </a:xfrm>
                          <a:prstGeom prst="rect">
                            <a:avLst/>
                          </a:prstGeom>
                          <a:noFill/>
                          <a:ln>
                            <a:noFill/>
                          </a:ln>
                        </pic:spPr>
                      </pic:pic>
                    </a:graphicData>
                  </a:graphic>
                </wp:inline>
              </w:drawing>
            </w:r>
          </w:p>
        </w:tc>
      </w:tr>
      <w:tr w:rsidR="00CD5F12" w:rsidRPr="00CD5F12" w14:paraId="6440137F" w14:textId="77777777" w:rsidTr="00835D95">
        <w:trPr>
          <w:jc w:val="center"/>
        </w:trPr>
        <w:tc>
          <w:tcPr>
            <w:tcW w:w="8978" w:type="dxa"/>
          </w:tcPr>
          <w:p w14:paraId="0CD9C73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Las cifras de 2014 corresponden al período comprendido entre enero y agosto.</w:t>
            </w:r>
          </w:p>
          <w:p w14:paraId="19BC34BE"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0938CB01"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1866EDF6" w14:textId="77777777" w:rsidTr="00835D95">
        <w:trPr>
          <w:jc w:val="center"/>
        </w:trPr>
        <w:tc>
          <w:tcPr>
            <w:tcW w:w="8978" w:type="dxa"/>
          </w:tcPr>
          <w:p w14:paraId="62D08D0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(12 PAÍSES): TASA DE VARIACIÓN DE LOS INGRESOS POR REMESAS DE EMIGRADOS, 2012-2014</w:t>
            </w:r>
          </w:p>
          <w:p w14:paraId="75BE1635"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513D8ACB" w14:textId="77777777" w:rsidTr="00835D95">
        <w:trPr>
          <w:jc w:val="center"/>
        </w:trPr>
        <w:tc>
          <w:tcPr>
            <w:tcW w:w="8978" w:type="dxa"/>
          </w:tcPr>
          <w:p w14:paraId="3FC3AFD6"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9033A4A" wp14:editId="7BDFE5A5">
                  <wp:extent cx="5607050" cy="2736850"/>
                  <wp:effectExtent l="0" t="0" r="0" b="6350"/>
                  <wp:docPr id="1700" name="Imagen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607050" cy="2736850"/>
                          </a:xfrm>
                          <a:prstGeom prst="rect">
                            <a:avLst/>
                          </a:prstGeom>
                          <a:noFill/>
                          <a:ln>
                            <a:noFill/>
                          </a:ln>
                        </pic:spPr>
                      </pic:pic>
                    </a:graphicData>
                  </a:graphic>
                </wp:inline>
              </w:drawing>
            </w:r>
          </w:p>
        </w:tc>
      </w:tr>
      <w:tr w:rsidR="00CD5F12" w:rsidRPr="00CD5F12" w14:paraId="61AB2D8F" w14:textId="77777777" w:rsidTr="00835D95">
        <w:trPr>
          <w:jc w:val="center"/>
        </w:trPr>
        <w:tc>
          <w:tcPr>
            <w:tcW w:w="8978" w:type="dxa"/>
          </w:tcPr>
          <w:p w14:paraId="410276B9" w14:textId="77777777" w:rsidR="00CD5F12" w:rsidRPr="00CD5F12" w:rsidRDefault="00CD5F12" w:rsidP="00CD5F12">
            <w:pPr>
              <w:ind w:left="198" w:hanging="198"/>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datos de 2014 de Costa Rica, Ecuador y República Dominicana corresponden al período comprendido entre enero y junio; los de Colombia y Jamaica, al período de enero a julio; los del Estado Plurinacional de Bolivia, al período de enero a agosto; los de El Salvador, Honduras, Nicaragua y Perú al período de enero a septiembre, y los de Guatemala y México, al período de enero a octubre.</w:t>
            </w:r>
          </w:p>
          <w:p w14:paraId="16915D0B"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EFFBA7C" w14:textId="77777777" w:rsidR="00CD5F12" w:rsidRPr="00CD5F12" w:rsidRDefault="00CD5F12" w:rsidP="00CD5F12">
      <w:pPr>
        <w:spacing w:after="360" w:line="360" w:lineRule="auto"/>
        <w:ind w:right="-159"/>
        <w:jc w:val="both"/>
        <w:rPr>
          <w:rFonts w:eastAsia="Calibri"/>
          <w:sz w:val="26"/>
          <w:szCs w:val="26"/>
          <w:lang w:eastAsia="en-US"/>
        </w:rPr>
      </w:pPr>
    </w:p>
    <w:p w14:paraId="33A22AB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 xml:space="preserve">La mejora del mercado laboral de los Estados Unidos de Norteamérica se expresó en un aumento significativo de las remesas hacia México (7.2% durante los primeros           10 meses con respecto al mismo período del año anterior) y Centroamérica, incluida la República Dominicana (8.7% durante el primer semestre) y con excepción de Costa Rica, dónde se produjo una disminución interanual del 1.0% durante el primer semestre. La elevada tasa de desempleo de España durante los últimos años forzó el retorno de muchos emigrantes a sus países de origen y repercutió negativamente en la recepción de remesas. Como consecuencia, los países de América del Sur que reciben la mayor cantidad de remesas desde España (Bolivia (Estado Plurinacional de), Colombia, Ecuador y Paraguay) mostraron caídas significativos en esos flujos (5.5% durante el primer semestre). Debido a esas diferencias subregionales, la balanza de transferencias permaneció inalterada. </w:t>
      </w:r>
    </w:p>
    <w:p w14:paraId="6F4CCE0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saldo de la balanza de rentas arroja un déficit del 2.5% con relación al PIB, prácticamente igual que el del año anterior (2.6%). Los egresos bajaron un 9% en Brasil y México, debido fundamentalmente a la disminución del precio de algunos productos básicos de exportación, lo que redujo los beneficios de las empresas extranjeras que operan en esos países. En consecuencia, las balanzas de rentas de Brasil y México mejoraron levemente.</w:t>
      </w:r>
    </w:p>
    <w:p w14:paraId="708984F6"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Durante 2014, el acceso de la región al financiamiento externo continuó siendo en general expedito. El flujo neto de recursos financieros hacia la región fue más que suficiente para cubrir el decreciente déficit en cuenta corriente, con lo que las reservas internacionales volvieron a expandirse. </w:t>
      </w:r>
    </w:p>
    <w:p w14:paraId="66BED31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Como se aprecia en el cuadro siguiente, la cuenta financiera exhibe en 2014, un leve aumento del flujo neto de recursos financieros hacia la región, pero con un marcado cambio de su composición. La inversión extranjera directa (IED) neta del conjunto de la región se contrajo un 23% en el curso del año, debido a diversos factores. Parte de </w:t>
      </w:r>
      <w:r w:rsidRPr="00CD5F12">
        <w:rPr>
          <w:rFonts w:eastAsia="Calibri"/>
          <w:sz w:val="26"/>
          <w:szCs w:val="26"/>
          <w:lang w:eastAsia="en-US"/>
        </w:rPr>
        <w:lastRenderedPageBreak/>
        <w:t>esa reducción se explica por el fin del ciclo de auge de los productos básicos (Chile y Perú), operaciones de adquisición de empresas nacionales que elevaron los niveles de IED el año previo pero que se anticipaba serían por una sola vez (México), o desinversiones por una única vez (Argentina).</w:t>
      </w:r>
    </w:p>
    <w:tbl>
      <w:tblPr>
        <w:tblW w:w="9875" w:type="dxa"/>
        <w:jc w:val="center"/>
        <w:tblLook w:val="01E0" w:firstRow="1" w:lastRow="1" w:firstColumn="1" w:lastColumn="1" w:noHBand="0" w:noVBand="0"/>
      </w:tblPr>
      <w:tblGrid>
        <w:gridCol w:w="1212"/>
        <w:gridCol w:w="605"/>
        <w:gridCol w:w="678"/>
        <w:gridCol w:w="576"/>
        <w:gridCol w:w="567"/>
        <w:gridCol w:w="583"/>
        <w:gridCol w:w="563"/>
        <w:gridCol w:w="541"/>
        <w:gridCol w:w="534"/>
        <w:gridCol w:w="549"/>
        <w:gridCol w:w="624"/>
        <w:gridCol w:w="642"/>
        <w:gridCol w:w="551"/>
        <w:gridCol w:w="569"/>
        <w:gridCol w:w="552"/>
        <w:gridCol w:w="529"/>
      </w:tblGrid>
      <w:tr w:rsidR="00CD5F12" w:rsidRPr="00CD5F12" w14:paraId="7B8C4879" w14:textId="77777777" w:rsidTr="00835D95">
        <w:trPr>
          <w:jc w:val="center"/>
        </w:trPr>
        <w:tc>
          <w:tcPr>
            <w:tcW w:w="9875" w:type="dxa"/>
            <w:gridSpan w:val="16"/>
            <w:tcBorders>
              <w:bottom w:val="single" w:sz="4" w:space="0" w:color="auto"/>
            </w:tcBorders>
          </w:tcPr>
          <w:p w14:paraId="41B41D33" w14:textId="77777777" w:rsidR="00CD5F12" w:rsidRPr="00CD5F12" w:rsidRDefault="00CD5F12" w:rsidP="00CD5F12">
            <w:pPr>
              <w:spacing w:before="40" w:after="40"/>
              <w:jc w:val="center"/>
              <w:rPr>
                <w:rFonts w:eastAsia="Times New Roman"/>
                <w:b/>
                <w:sz w:val="14"/>
                <w:szCs w:val="12"/>
                <w:lang w:val="es-ES"/>
              </w:rPr>
            </w:pPr>
            <w:r w:rsidRPr="00CD5F12">
              <w:rPr>
                <w:rFonts w:eastAsia="Times New Roman"/>
                <w:b/>
                <w:sz w:val="14"/>
                <w:szCs w:val="12"/>
                <w:lang w:val="es-ES"/>
              </w:rPr>
              <w:t>AMÉRICA LATINA (18 PAÍSES): SALDO DE LA CUENTA CORRIENTE Y COMPONENTES</w:t>
            </w:r>
          </w:p>
          <w:p w14:paraId="35D10831" w14:textId="77777777" w:rsidR="00CD5F12" w:rsidRPr="00CD5F12" w:rsidRDefault="00CD5F12" w:rsidP="00CD5F12">
            <w:pPr>
              <w:spacing w:before="40" w:after="40"/>
              <w:jc w:val="center"/>
              <w:rPr>
                <w:rFonts w:eastAsia="Times New Roman"/>
                <w:b/>
                <w:sz w:val="14"/>
                <w:szCs w:val="12"/>
                <w:lang w:val="es-ES"/>
              </w:rPr>
            </w:pPr>
            <w:r w:rsidRPr="00CD5F12">
              <w:rPr>
                <w:rFonts w:eastAsia="Times New Roman"/>
                <w:b/>
                <w:sz w:val="14"/>
                <w:szCs w:val="12"/>
                <w:lang w:val="es-ES"/>
              </w:rPr>
              <w:t>DE LA CUENTA FINANCIERA DE LA BALANZA DE PAGOS, 2012 A 2014</w:t>
            </w:r>
          </w:p>
          <w:p w14:paraId="2F341166" w14:textId="77777777" w:rsidR="00CD5F12" w:rsidRPr="00CD5F12" w:rsidRDefault="00CD5F12" w:rsidP="00CD5F12">
            <w:pPr>
              <w:jc w:val="center"/>
              <w:rPr>
                <w:rFonts w:eastAsia="Times New Roman"/>
                <w:sz w:val="12"/>
                <w:szCs w:val="12"/>
                <w:lang w:val="es-ES"/>
              </w:rPr>
            </w:pPr>
            <w:r w:rsidRPr="00CD5F12">
              <w:rPr>
                <w:rFonts w:eastAsia="Times New Roman"/>
                <w:b/>
                <w:sz w:val="14"/>
                <w:szCs w:val="12"/>
                <w:lang w:val="es-ES"/>
              </w:rPr>
              <w:t>-En millones de dólares-</w:t>
            </w:r>
          </w:p>
        </w:tc>
      </w:tr>
      <w:tr w:rsidR="00CD5F12" w:rsidRPr="00CD5F12" w14:paraId="29F0C9B6" w14:textId="77777777" w:rsidTr="00835D95">
        <w:trPr>
          <w:jc w:val="center"/>
        </w:trPr>
        <w:tc>
          <w:tcPr>
            <w:tcW w:w="1212" w:type="dxa"/>
            <w:vMerge w:val="restart"/>
            <w:tcBorders>
              <w:top w:val="single" w:sz="4" w:space="0" w:color="auto"/>
              <w:left w:val="single" w:sz="4" w:space="0" w:color="auto"/>
              <w:right w:val="single" w:sz="4" w:space="0" w:color="auto"/>
            </w:tcBorders>
          </w:tcPr>
          <w:p w14:paraId="4FC542AA" w14:textId="77777777" w:rsidR="00CD5F12" w:rsidRPr="00CD5F12" w:rsidRDefault="00CD5F12" w:rsidP="00CD5F12">
            <w:pPr>
              <w:spacing w:before="40" w:after="40"/>
              <w:jc w:val="center"/>
              <w:rPr>
                <w:rFonts w:eastAsia="Times New Roman"/>
                <w:b/>
                <w:sz w:val="12"/>
                <w:szCs w:val="12"/>
                <w:lang w:val="es-ES"/>
              </w:rPr>
            </w:pPr>
          </w:p>
        </w:tc>
        <w:tc>
          <w:tcPr>
            <w:tcW w:w="1859" w:type="dxa"/>
            <w:gridSpan w:val="3"/>
            <w:tcBorders>
              <w:top w:val="single" w:sz="4" w:space="0" w:color="auto"/>
              <w:left w:val="single" w:sz="4" w:space="0" w:color="auto"/>
              <w:bottom w:val="single" w:sz="4" w:space="0" w:color="auto"/>
              <w:right w:val="single" w:sz="4" w:space="0" w:color="auto"/>
            </w:tcBorders>
            <w:vAlign w:val="center"/>
          </w:tcPr>
          <w:p w14:paraId="5D9B6593"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Balanza de cuenta corriente</w:t>
            </w:r>
          </w:p>
        </w:tc>
        <w:tc>
          <w:tcPr>
            <w:tcW w:w="1713" w:type="dxa"/>
            <w:gridSpan w:val="3"/>
            <w:tcBorders>
              <w:top w:val="single" w:sz="4" w:space="0" w:color="auto"/>
              <w:left w:val="single" w:sz="4" w:space="0" w:color="auto"/>
              <w:bottom w:val="single" w:sz="4" w:space="0" w:color="auto"/>
              <w:right w:val="single" w:sz="4" w:space="0" w:color="auto"/>
            </w:tcBorders>
            <w:vAlign w:val="center"/>
          </w:tcPr>
          <w:p w14:paraId="2D948EDF"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Cuenta de capital, financiera, errores y omisiones</w:t>
            </w:r>
          </w:p>
        </w:tc>
        <w:tc>
          <w:tcPr>
            <w:tcW w:w="1624" w:type="dxa"/>
            <w:gridSpan w:val="3"/>
            <w:tcBorders>
              <w:top w:val="single" w:sz="4" w:space="0" w:color="auto"/>
              <w:left w:val="single" w:sz="4" w:space="0" w:color="auto"/>
              <w:bottom w:val="single" w:sz="4" w:space="0" w:color="auto"/>
              <w:right w:val="single" w:sz="4" w:space="0" w:color="auto"/>
            </w:tcBorders>
            <w:vAlign w:val="center"/>
          </w:tcPr>
          <w:p w14:paraId="3739CC04"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Inversión extranjera directa neta</w:t>
            </w:r>
          </w:p>
        </w:tc>
        <w:tc>
          <w:tcPr>
            <w:tcW w:w="1817" w:type="dxa"/>
            <w:gridSpan w:val="3"/>
            <w:tcBorders>
              <w:top w:val="single" w:sz="4" w:space="0" w:color="auto"/>
              <w:left w:val="single" w:sz="4" w:space="0" w:color="auto"/>
              <w:bottom w:val="single" w:sz="4" w:space="0" w:color="auto"/>
              <w:right w:val="single" w:sz="4" w:space="0" w:color="auto"/>
            </w:tcBorders>
            <w:vAlign w:val="center"/>
          </w:tcPr>
          <w:p w14:paraId="3F548879"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Resto de flujos financieros netos</w:t>
            </w:r>
          </w:p>
        </w:tc>
        <w:tc>
          <w:tcPr>
            <w:tcW w:w="1650" w:type="dxa"/>
            <w:gridSpan w:val="3"/>
            <w:tcBorders>
              <w:top w:val="single" w:sz="4" w:space="0" w:color="auto"/>
              <w:left w:val="single" w:sz="4" w:space="0" w:color="auto"/>
              <w:bottom w:val="single" w:sz="4" w:space="0" w:color="auto"/>
              <w:right w:val="single" w:sz="4" w:space="0" w:color="auto"/>
            </w:tcBorders>
            <w:vAlign w:val="center"/>
          </w:tcPr>
          <w:p w14:paraId="29046DB0"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Reservas y partidas conexas</w:t>
            </w:r>
          </w:p>
        </w:tc>
      </w:tr>
      <w:tr w:rsidR="00CD5F12" w:rsidRPr="00CD5F12" w14:paraId="063343B7" w14:textId="77777777" w:rsidTr="00835D95">
        <w:trPr>
          <w:jc w:val="center"/>
        </w:trPr>
        <w:tc>
          <w:tcPr>
            <w:tcW w:w="1212" w:type="dxa"/>
            <w:vMerge/>
            <w:tcBorders>
              <w:left w:val="single" w:sz="4" w:space="0" w:color="auto"/>
              <w:bottom w:val="single" w:sz="4" w:space="0" w:color="auto"/>
              <w:right w:val="single" w:sz="4" w:space="0" w:color="auto"/>
            </w:tcBorders>
          </w:tcPr>
          <w:p w14:paraId="15771D9E" w14:textId="77777777" w:rsidR="00CD5F12" w:rsidRPr="00CD5F12" w:rsidRDefault="00CD5F12" w:rsidP="00CD5F12">
            <w:pPr>
              <w:spacing w:before="40" w:after="40"/>
              <w:jc w:val="center"/>
              <w:rPr>
                <w:rFonts w:eastAsia="Times New Roman"/>
                <w:b/>
                <w:sz w:val="12"/>
                <w:szCs w:val="12"/>
                <w:lang w:val="es-ES"/>
              </w:rPr>
            </w:pPr>
          </w:p>
        </w:tc>
        <w:tc>
          <w:tcPr>
            <w:tcW w:w="605" w:type="dxa"/>
            <w:tcBorders>
              <w:top w:val="single" w:sz="4" w:space="0" w:color="auto"/>
              <w:left w:val="single" w:sz="4" w:space="0" w:color="auto"/>
              <w:bottom w:val="single" w:sz="4" w:space="0" w:color="auto"/>
              <w:right w:val="single" w:sz="4" w:space="0" w:color="auto"/>
            </w:tcBorders>
            <w:vAlign w:val="center"/>
          </w:tcPr>
          <w:p w14:paraId="15B7E95A"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2012</w:t>
            </w:r>
          </w:p>
        </w:tc>
        <w:tc>
          <w:tcPr>
            <w:tcW w:w="678" w:type="dxa"/>
            <w:tcBorders>
              <w:top w:val="single" w:sz="4" w:space="0" w:color="auto"/>
              <w:left w:val="single" w:sz="4" w:space="0" w:color="auto"/>
              <w:bottom w:val="single" w:sz="4" w:space="0" w:color="auto"/>
              <w:right w:val="single" w:sz="4" w:space="0" w:color="auto"/>
            </w:tcBorders>
            <w:vAlign w:val="center"/>
          </w:tcPr>
          <w:p w14:paraId="4B7FE8F4"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2013</w:t>
            </w:r>
          </w:p>
        </w:tc>
        <w:tc>
          <w:tcPr>
            <w:tcW w:w="576" w:type="dxa"/>
            <w:tcBorders>
              <w:top w:val="single" w:sz="4" w:space="0" w:color="auto"/>
              <w:left w:val="single" w:sz="4" w:space="0" w:color="auto"/>
              <w:bottom w:val="single" w:sz="4" w:space="0" w:color="auto"/>
              <w:right w:val="single" w:sz="4" w:space="0" w:color="auto"/>
            </w:tcBorders>
            <w:vAlign w:val="center"/>
          </w:tcPr>
          <w:p w14:paraId="0518A885"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2014</w:t>
            </w:r>
            <w:r w:rsidRPr="00CD5F12">
              <w:rPr>
                <w:rFonts w:eastAsia="Times New Roman"/>
                <w:sz w:val="12"/>
                <w:szCs w:val="10"/>
                <w:u w:val="single"/>
                <w:vertAlign w:val="superscript"/>
                <w:lang w:val="es-ES"/>
              </w:rPr>
              <w:t>a</w:t>
            </w:r>
            <w:r w:rsidRPr="00CD5F12">
              <w:rPr>
                <w:rFonts w:eastAsia="Times New Roman"/>
                <w:sz w:val="12"/>
                <w:szCs w:val="10"/>
                <w:vertAlign w:val="superscript"/>
                <w:lang w:val="es-ES"/>
              </w:rPr>
              <w:t>/</w:t>
            </w:r>
          </w:p>
        </w:tc>
        <w:tc>
          <w:tcPr>
            <w:tcW w:w="567" w:type="dxa"/>
            <w:tcBorders>
              <w:top w:val="single" w:sz="4" w:space="0" w:color="auto"/>
              <w:left w:val="single" w:sz="4" w:space="0" w:color="auto"/>
              <w:bottom w:val="single" w:sz="4" w:space="0" w:color="auto"/>
              <w:right w:val="single" w:sz="4" w:space="0" w:color="auto"/>
            </w:tcBorders>
            <w:vAlign w:val="center"/>
          </w:tcPr>
          <w:p w14:paraId="1E059B8F"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2012</w:t>
            </w:r>
          </w:p>
        </w:tc>
        <w:tc>
          <w:tcPr>
            <w:tcW w:w="583" w:type="dxa"/>
            <w:tcBorders>
              <w:top w:val="single" w:sz="4" w:space="0" w:color="auto"/>
              <w:left w:val="single" w:sz="4" w:space="0" w:color="auto"/>
              <w:bottom w:val="single" w:sz="4" w:space="0" w:color="auto"/>
              <w:right w:val="single" w:sz="4" w:space="0" w:color="auto"/>
            </w:tcBorders>
            <w:vAlign w:val="center"/>
          </w:tcPr>
          <w:p w14:paraId="582D7AFD"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2013</w:t>
            </w:r>
          </w:p>
        </w:tc>
        <w:tc>
          <w:tcPr>
            <w:tcW w:w="563" w:type="dxa"/>
            <w:tcBorders>
              <w:top w:val="single" w:sz="4" w:space="0" w:color="auto"/>
              <w:left w:val="single" w:sz="4" w:space="0" w:color="auto"/>
              <w:bottom w:val="single" w:sz="4" w:space="0" w:color="auto"/>
              <w:right w:val="single" w:sz="4" w:space="0" w:color="auto"/>
            </w:tcBorders>
            <w:vAlign w:val="center"/>
          </w:tcPr>
          <w:p w14:paraId="63D42508"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2014</w:t>
            </w:r>
            <w:r w:rsidRPr="00CD5F12">
              <w:rPr>
                <w:rFonts w:eastAsia="Times New Roman"/>
                <w:sz w:val="12"/>
                <w:szCs w:val="10"/>
                <w:u w:val="single"/>
                <w:vertAlign w:val="superscript"/>
                <w:lang w:val="es-ES"/>
              </w:rPr>
              <w:t>a</w:t>
            </w:r>
            <w:r w:rsidRPr="00CD5F12">
              <w:rPr>
                <w:rFonts w:eastAsia="Times New Roman"/>
                <w:sz w:val="12"/>
                <w:szCs w:val="10"/>
                <w:vertAlign w:val="superscript"/>
                <w:lang w:val="es-ES"/>
              </w:rPr>
              <w:t>/</w:t>
            </w:r>
          </w:p>
        </w:tc>
        <w:tc>
          <w:tcPr>
            <w:tcW w:w="541" w:type="dxa"/>
            <w:tcBorders>
              <w:top w:val="single" w:sz="4" w:space="0" w:color="auto"/>
              <w:left w:val="single" w:sz="4" w:space="0" w:color="auto"/>
              <w:bottom w:val="single" w:sz="4" w:space="0" w:color="auto"/>
              <w:right w:val="single" w:sz="4" w:space="0" w:color="auto"/>
            </w:tcBorders>
            <w:vAlign w:val="center"/>
          </w:tcPr>
          <w:p w14:paraId="5C9D9E0A"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2012</w:t>
            </w:r>
          </w:p>
        </w:tc>
        <w:tc>
          <w:tcPr>
            <w:tcW w:w="534" w:type="dxa"/>
            <w:tcBorders>
              <w:top w:val="single" w:sz="4" w:space="0" w:color="auto"/>
              <w:left w:val="single" w:sz="4" w:space="0" w:color="auto"/>
              <w:bottom w:val="single" w:sz="4" w:space="0" w:color="auto"/>
              <w:right w:val="single" w:sz="4" w:space="0" w:color="auto"/>
            </w:tcBorders>
            <w:vAlign w:val="center"/>
          </w:tcPr>
          <w:p w14:paraId="25C4C252"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2013</w:t>
            </w:r>
          </w:p>
        </w:tc>
        <w:tc>
          <w:tcPr>
            <w:tcW w:w="549" w:type="dxa"/>
            <w:tcBorders>
              <w:top w:val="single" w:sz="4" w:space="0" w:color="auto"/>
              <w:left w:val="single" w:sz="4" w:space="0" w:color="auto"/>
              <w:bottom w:val="single" w:sz="4" w:space="0" w:color="auto"/>
              <w:right w:val="single" w:sz="4" w:space="0" w:color="auto"/>
            </w:tcBorders>
            <w:vAlign w:val="center"/>
          </w:tcPr>
          <w:p w14:paraId="085F91B8"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2014</w:t>
            </w:r>
            <w:r w:rsidRPr="00CD5F12">
              <w:rPr>
                <w:rFonts w:eastAsia="Times New Roman"/>
                <w:sz w:val="12"/>
                <w:szCs w:val="10"/>
                <w:u w:val="single"/>
                <w:vertAlign w:val="superscript"/>
                <w:lang w:val="es-ES"/>
              </w:rPr>
              <w:t>a</w:t>
            </w:r>
            <w:r w:rsidRPr="00CD5F12">
              <w:rPr>
                <w:rFonts w:eastAsia="Times New Roman"/>
                <w:sz w:val="12"/>
                <w:szCs w:val="10"/>
                <w:vertAlign w:val="superscript"/>
                <w:lang w:val="es-ES"/>
              </w:rPr>
              <w:t>/</w:t>
            </w:r>
          </w:p>
        </w:tc>
        <w:tc>
          <w:tcPr>
            <w:tcW w:w="624" w:type="dxa"/>
            <w:tcBorders>
              <w:top w:val="single" w:sz="4" w:space="0" w:color="auto"/>
              <w:left w:val="single" w:sz="4" w:space="0" w:color="auto"/>
              <w:bottom w:val="single" w:sz="4" w:space="0" w:color="auto"/>
              <w:right w:val="single" w:sz="4" w:space="0" w:color="auto"/>
            </w:tcBorders>
            <w:vAlign w:val="center"/>
          </w:tcPr>
          <w:p w14:paraId="5565EFB9"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2012</w:t>
            </w:r>
          </w:p>
        </w:tc>
        <w:tc>
          <w:tcPr>
            <w:tcW w:w="642" w:type="dxa"/>
            <w:tcBorders>
              <w:top w:val="single" w:sz="4" w:space="0" w:color="auto"/>
              <w:left w:val="single" w:sz="4" w:space="0" w:color="auto"/>
              <w:bottom w:val="single" w:sz="4" w:space="0" w:color="auto"/>
              <w:right w:val="single" w:sz="4" w:space="0" w:color="auto"/>
            </w:tcBorders>
            <w:vAlign w:val="center"/>
          </w:tcPr>
          <w:p w14:paraId="42AA68AB"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2013</w:t>
            </w:r>
          </w:p>
        </w:tc>
        <w:tc>
          <w:tcPr>
            <w:tcW w:w="551" w:type="dxa"/>
            <w:tcBorders>
              <w:top w:val="single" w:sz="4" w:space="0" w:color="auto"/>
              <w:left w:val="single" w:sz="4" w:space="0" w:color="auto"/>
              <w:bottom w:val="single" w:sz="4" w:space="0" w:color="auto"/>
              <w:right w:val="single" w:sz="4" w:space="0" w:color="auto"/>
            </w:tcBorders>
            <w:vAlign w:val="center"/>
          </w:tcPr>
          <w:p w14:paraId="1E7E4782"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2014</w:t>
            </w:r>
            <w:r w:rsidRPr="00CD5F12">
              <w:rPr>
                <w:rFonts w:eastAsia="Times New Roman"/>
                <w:sz w:val="12"/>
                <w:szCs w:val="10"/>
                <w:u w:val="single"/>
                <w:vertAlign w:val="superscript"/>
                <w:lang w:val="es-ES"/>
              </w:rPr>
              <w:t>a</w:t>
            </w:r>
            <w:r w:rsidRPr="00CD5F12">
              <w:rPr>
                <w:rFonts w:eastAsia="Times New Roman"/>
                <w:sz w:val="12"/>
                <w:szCs w:val="10"/>
                <w:vertAlign w:val="superscript"/>
                <w:lang w:val="es-ES"/>
              </w:rPr>
              <w:t>/</w:t>
            </w:r>
          </w:p>
        </w:tc>
        <w:tc>
          <w:tcPr>
            <w:tcW w:w="569" w:type="dxa"/>
            <w:tcBorders>
              <w:top w:val="single" w:sz="4" w:space="0" w:color="auto"/>
              <w:left w:val="single" w:sz="4" w:space="0" w:color="auto"/>
              <w:bottom w:val="single" w:sz="4" w:space="0" w:color="auto"/>
              <w:right w:val="single" w:sz="4" w:space="0" w:color="auto"/>
            </w:tcBorders>
            <w:vAlign w:val="center"/>
          </w:tcPr>
          <w:p w14:paraId="6D8A0277"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2012</w:t>
            </w:r>
          </w:p>
        </w:tc>
        <w:tc>
          <w:tcPr>
            <w:tcW w:w="552" w:type="dxa"/>
            <w:tcBorders>
              <w:top w:val="single" w:sz="4" w:space="0" w:color="auto"/>
              <w:left w:val="single" w:sz="4" w:space="0" w:color="auto"/>
              <w:bottom w:val="single" w:sz="4" w:space="0" w:color="auto"/>
              <w:right w:val="single" w:sz="4" w:space="0" w:color="auto"/>
            </w:tcBorders>
            <w:vAlign w:val="center"/>
          </w:tcPr>
          <w:p w14:paraId="628D90EE"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2013</w:t>
            </w:r>
          </w:p>
        </w:tc>
        <w:tc>
          <w:tcPr>
            <w:tcW w:w="529" w:type="dxa"/>
            <w:tcBorders>
              <w:top w:val="single" w:sz="4" w:space="0" w:color="auto"/>
              <w:left w:val="single" w:sz="4" w:space="0" w:color="auto"/>
              <w:bottom w:val="single" w:sz="4" w:space="0" w:color="auto"/>
              <w:right w:val="single" w:sz="4" w:space="0" w:color="auto"/>
            </w:tcBorders>
            <w:vAlign w:val="center"/>
          </w:tcPr>
          <w:p w14:paraId="6BFDE47B" w14:textId="77777777" w:rsidR="00CD5F12" w:rsidRPr="00CD5F12" w:rsidRDefault="00CD5F12" w:rsidP="00CD5F12">
            <w:pPr>
              <w:spacing w:before="40" w:after="40"/>
              <w:jc w:val="center"/>
              <w:rPr>
                <w:rFonts w:eastAsia="Times New Roman"/>
                <w:b/>
                <w:sz w:val="12"/>
                <w:szCs w:val="10"/>
                <w:lang w:val="es-ES"/>
              </w:rPr>
            </w:pPr>
            <w:r w:rsidRPr="00CD5F12">
              <w:rPr>
                <w:rFonts w:eastAsia="Times New Roman"/>
                <w:b/>
                <w:sz w:val="12"/>
                <w:szCs w:val="10"/>
                <w:lang w:val="es-ES"/>
              </w:rPr>
              <w:t>2014</w:t>
            </w:r>
            <w:r w:rsidRPr="00CD5F12">
              <w:rPr>
                <w:rFonts w:eastAsia="Times New Roman"/>
                <w:sz w:val="12"/>
                <w:szCs w:val="10"/>
                <w:u w:val="single"/>
                <w:vertAlign w:val="superscript"/>
                <w:lang w:val="es-ES"/>
              </w:rPr>
              <w:t>a</w:t>
            </w:r>
            <w:r w:rsidRPr="00CD5F12">
              <w:rPr>
                <w:rFonts w:eastAsia="Times New Roman"/>
                <w:sz w:val="12"/>
                <w:szCs w:val="10"/>
                <w:vertAlign w:val="superscript"/>
                <w:lang w:val="es-ES"/>
              </w:rPr>
              <w:t>/</w:t>
            </w:r>
          </w:p>
        </w:tc>
      </w:tr>
      <w:tr w:rsidR="00CD5F12" w:rsidRPr="00CD5F12" w14:paraId="047AFC48" w14:textId="77777777" w:rsidTr="00835D95">
        <w:trPr>
          <w:jc w:val="center"/>
        </w:trPr>
        <w:tc>
          <w:tcPr>
            <w:tcW w:w="1212" w:type="dxa"/>
            <w:tcBorders>
              <w:top w:val="single" w:sz="4" w:space="0" w:color="auto"/>
              <w:left w:val="single" w:sz="4" w:space="0" w:color="auto"/>
              <w:right w:val="single" w:sz="4" w:space="0" w:color="auto"/>
            </w:tcBorders>
            <w:vAlign w:val="bottom"/>
          </w:tcPr>
          <w:p w14:paraId="77B96EDC"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Argentina</w:t>
            </w:r>
          </w:p>
        </w:tc>
        <w:tc>
          <w:tcPr>
            <w:tcW w:w="605" w:type="dxa"/>
            <w:tcBorders>
              <w:top w:val="single" w:sz="4" w:space="0" w:color="auto"/>
              <w:left w:val="single" w:sz="4" w:space="0" w:color="auto"/>
              <w:right w:val="single" w:sz="4" w:space="0" w:color="auto"/>
            </w:tcBorders>
          </w:tcPr>
          <w:p w14:paraId="1FDEF4A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-1 167</w:t>
            </w:r>
          </w:p>
        </w:tc>
        <w:tc>
          <w:tcPr>
            <w:tcW w:w="678" w:type="dxa"/>
            <w:tcBorders>
              <w:top w:val="single" w:sz="4" w:space="0" w:color="auto"/>
              <w:left w:val="single" w:sz="4" w:space="0" w:color="auto"/>
              <w:right w:val="single" w:sz="4" w:space="0" w:color="auto"/>
            </w:tcBorders>
          </w:tcPr>
          <w:p w14:paraId="475C2832"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-4 813</w:t>
            </w:r>
          </w:p>
        </w:tc>
        <w:tc>
          <w:tcPr>
            <w:tcW w:w="576" w:type="dxa"/>
            <w:tcBorders>
              <w:top w:val="single" w:sz="4" w:space="0" w:color="auto"/>
              <w:left w:val="single" w:sz="4" w:space="0" w:color="auto"/>
              <w:right w:val="single" w:sz="4" w:space="0" w:color="auto"/>
            </w:tcBorders>
          </w:tcPr>
          <w:p w14:paraId="357EE03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-4 827</w:t>
            </w:r>
          </w:p>
        </w:tc>
        <w:tc>
          <w:tcPr>
            <w:tcW w:w="567" w:type="dxa"/>
            <w:tcBorders>
              <w:top w:val="single" w:sz="4" w:space="0" w:color="auto"/>
              <w:left w:val="single" w:sz="4" w:space="0" w:color="auto"/>
              <w:right w:val="single" w:sz="4" w:space="0" w:color="auto"/>
            </w:tcBorders>
          </w:tcPr>
          <w:p w14:paraId="5F6CF7A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-2 138</w:t>
            </w:r>
          </w:p>
        </w:tc>
        <w:tc>
          <w:tcPr>
            <w:tcW w:w="583" w:type="dxa"/>
            <w:tcBorders>
              <w:top w:val="single" w:sz="4" w:space="0" w:color="auto"/>
              <w:left w:val="single" w:sz="4" w:space="0" w:color="auto"/>
              <w:right w:val="single" w:sz="4" w:space="0" w:color="auto"/>
            </w:tcBorders>
          </w:tcPr>
          <w:p w14:paraId="7265685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-7 010</w:t>
            </w:r>
          </w:p>
        </w:tc>
        <w:tc>
          <w:tcPr>
            <w:tcW w:w="563" w:type="dxa"/>
            <w:tcBorders>
              <w:top w:val="single" w:sz="4" w:space="0" w:color="auto"/>
              <w:left w:val="single" w:sz="4" w:space="0" w:color="auto"/>
              <w:right w:val="single" w:sz="4" w:space="0" w:color="auto"/>
            </w:tcBorders>
          </w:tcPr>
          <w:p w14:paraId="3760543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2 327</w:t>
            </w:r>
          </w:p>
        </w:tc>
        <w:tc>
          <w:tcPr>
            <w:tcW w:w="541" w:type="dxa"/>
            <w:tcBorders>
              <w:top w:val="single" w:sz="4" w:space="0" w:color="auto"/>
              <w:left w:val="single" w:sz="4" w:space="0" w:color="auto"/>
              <w:right w:val="single" w:sz="4" w:space="0" w:color="auto"/>
            </w:tcBorders>
          </w:tcPr>
          <w:p w14:paraId="058C1CB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13 889</w:t>
            </w:r>
          </w:p>
        </w:tc>
        <w:tc>
          <w:tcPr>
            <w:tcW w:w="534" w:type="dxa"/>
            <w:tcBorders>
              <w:top w:val="single" w:sz="4" w:space="0" w:color="auto"/>
              <w:left w:val="single" w:sz="4" w:space="0" w:color="auto"/>
              <w:right w:val="single" w:sz="4" w:space="0" w:color="auto"/>
            </w:tcBorders>
          </w:tcPr>
          <w:p w14:paraId="6B35BA8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10 256</w:t>
            </w:r>
          </w:p>
        </w:tc>
        <w:tc>
          <w:tcPr>
            <w:tcW w:w="549" w:type="dxa"/>
            <w:tcBorders>
              <w:top w:val="single" w:sz="4" w:space="0" w:color="auto"/>
              <w:left w:val="single" w:sz="4" w:space="0" w:color="auto"/>
              <w:right w:val="single" w:sz="4" w:space="0" w:color="auto"/>
            </w:tcBorders>
          </w:tcPr>
          <w:p w14:paraId="074162B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2 945</w:t>
            </w:r>
          </w:p>
        </w:tc>
        <w:tc>
          <w:tcPr>
            <w:tcW w:w="624" w:type="dxa"/>
            <w:tcBorders>
              <w:top w:val="single" w:sz="4" w:space="0" w:color="auto"/>
              <w:left w:val="single" w:sz="4" w:space="0" w:color="auto"/>
              <w:right w:val="single" w:sz="4" w:space="0" w:color="auto"/>
            </w:tcBorders>
          </w:tcPr>
          <w:p w14:paraId="72743388"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-16 027</w:t>
            </w:r>
          </w:p>
        </w:tc>
        <w:tc>
          <w:tcPr>
            <w:tcW w:w="642" w:type="dxa"/>
            <w:tcBorders>
              <w:top w:val="single" w:sz="4" w:space="0" w:color="auto"/>
              <w:left w:val="single" w:sz="4" w:space="0" w:color="auto"/>
              <w:right w:val="single" w:sz="4" w:space="0" w:color="auto"/>
            </w:tcBorders>
          </w:tcPr>
          <w:p w14:paraId="6EE9E5AF"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-17 267</w:t>
            </w:r>
          </w:p>
        </w:tc>
        <w:tc>
          <w:tcPr>
            <w:tcW w:w="551" w:type="dxa"/>
            <w:tcBorders>
              <w:top w:val="single" w:sz="4" w:space="0" w:color="auto"/>
              <w:left w:val="single" w:sz="4" w:space="0" w:color="auto"/>
              <w:right w:val="single" w:sz="4" w:space="0" w:color="auto"/>
            </w:tcBorders>
          </w:tcPr>
          <w:p w14:paraId="1E1D5F6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-618</w:t>
            </w:r>
          </w:p>
        </w:tc>
        <w:tc>
          <w:tcPr>
            <w:tcW w:w="569" w:type="dxa"/>
            <w:tcBorders>
              <w:top w:val="single" w:sz="4" w:space="0" w:color="auto"/>
              <w:left w:val="single" w:sz="4" w:space="0" w:color="auto"/>
              <w:right w:val="single" w:sz="4" w:space="0" w:color="auto"/>
            </w:tcBorders>
          </w:tcPr>
          <w:p w14:paraId="67E139B2"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3 305</w:t>
            </w:r>
          </w:p>
        </w:tc>
        <w:tc>
          <w:tcPr>
            <w:tcW w:w="552" w:type="dxa"/>
            <w:tcBorders>
              <w:top w:val="single" w:sz="4" w:space="0" w:color="auto"/>
              <w:left w:val="single" w:sz="4" w:space="0" w:color="auto"/>
              <w:right w:val="single" w:sz="4" w:space="0" w:color="auto"/>
            </w:tcBorders>
          </w:tcPr>
          <w:p w14:paraId="466F4E9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11 824</w:t>
            </w:r>
          </w:p>
        </w:tc>
        <w:tc>
          <w:tcPr>
            <w:tcW w:w="529" w:type="dxa"/>
            <w:tcBorders>
              <w:top w:val="single" w:sz="4" w:space="0" w:color="auto"/>
              <w:left w:val="single" w:sz="4" w:space="0" w:color="auto"/>
              <w:right w:val="single" w:sz="4" w:space="0" w:color="auto"/>
            </w:tcBorders>
          </w:tcPr>
          <w:p w14:paraId="3727948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2 500</w:t>
            </w:r>
          </w:p>
        </w:tc>
      </w:tr>
      <w:tr w:rsidR="00CD5F12" w:rsidRPr="00CD5F12" w14:paraId="5A08B6FE" w14:textId="77777777" w:rsidTr="00835D95">
        <w:trPr>
          <w:jc w:val="center"/>
        </w:trPr>
        <w:tc>
          <w:tcPr>
            <w:tcW w:w="1212" w:type="dxa"/>
            <w:tcBorders>
              <w:left w:val="single" w:sz="4" w:space="0" w:color="auto"/>
              <w:right w:val="single" w:sz="4" w:space="0" w:color="auto"/>
            </w:tcBorders>
            <w:vAlign w:val="bottom"/>
          </w:tcPr>
          <w:p w14:paraId="7D2D10D2"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Bolivia (Estado Plurinacional de)</w:t>
            </w:r>
          </w:p>
        </w:tc>
        <w:tc>
          <w:tcPr>
            <w:tcW w:w="605" w:type="dxa"/>
            <w:tcBorders>
              <w:left w:val="single" w:sz="4" w:space="0" w:color="auto"/>
              <w:right w:val="single" w:sz="4" w:space="0" w:color="auto"/>
            </w:tcBorders>
          </w:tcPr>
          <w:p w14:paraId="44EB511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1 970</w:t>
            </w:r>
          </w:p>
        </w:tc>
        <w:tc>
          <w:tcPr>
            <w:tcW w:w="678" w:type="dxa"/>
            <w:tcBorders>
              <w:left w:val="single" w:sz="4" w:space="0" w:color="auto"/>
              <w:right w:val="single" w:sz="4" w:space="0" w:color="auto"/>
            </w:tcBorders>
          </w:tcPr>
          <w:p w14:paraId="12936CBA"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1 173</w:t>
            </w:r>
          </w:p>
        </w:tc>
        <w:tc>
          <w:tcPr>
            <w:tcW w:w="576" w:type="dxa"/>
            <w:tcBorders>
              <w:left w:val="single" w:sz="4" w:space="0" w:color="auto"/>
              <w:right w:val="single" w:sz="4" w:space="0" w:color="auto"/>
            </w:tcBorders>
          </w:tcPr>
          <w:p w14:paraId="3CBECEF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820</w:t>
            </w:r>
          </w:p>
        </w:tc>
        <w:tc>
          <w:tcPr>
            <w:tcW w:w="567" w:type="dxa"/>
            <w:tcBorders>
              <w:left w:val="single" w:sz="4" w:space="0" w:color="auto"/>
              <w:right w:val="single" w:sz="4" w:space="0" w:color="auto"/>
            </w:tcBorders>
          </w:tcPr>
          <w:p w14:paraId="7F16F12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-258</w:t>
            </w:r>
          </w:p>
        </w:tc>
        <w:tc>
          <w:tcPr>
            <w:tcW w:w="583" w:type="dxa"/>
            <w:tcBorders>
              <w:left w:val="single" w:sz="4" w:space="0" w:color="auto"/>
              <w:right w:val="single" w:sz="4" w:space="0" w:color="auto"/>
            </w:tcBorders>
          </w:tcPr>
          <w:p w14:paraId="2E2E8F6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-51</w:t>
            </w:r>
          </w:p>
        </w:tc>
        <w:tc>
          <w:tcPr>
            <w:tcW w:w="563" w:type="dxa"/>
            <w:tcBorders>
              <w:left w:val="single" w:sz="4" w:space="0" w:color="auto"/>
              <w:right w:val="single" w:sz="4" w:space="0" w:color="auto"/>
            </w:tcBorders>
          </w:tcPr>
          <w:p w14:paraId="4B4056A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227</w:t>
            </w:r>
          </w:p>
        </w:tc>
        <w:tc>
          <w:tcPr>
            <w:tcW w:w="541" w:type="dxa"/>
            <w:tcBorders>
              <w:left w:val="single" w:sz="4" w:space="0" w:color="auto"/>
              <w:right w:val="single" w:sz="4" w:space="0" w:color="auto"/>
            </w:tcBorders>
          </w:tcPr>
          <w:p w14:paraId="7E48541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1 060</w:t>
            </w:r>
          </w:p>
        </w:tc>
        <w:tc>
          <w:tcPr>
            <w:tcW w:w="534" w:type="dxa"/>
            <w:tcBorders>
              <w:left w:val="single" w:sz="4" w:space="0" w:color="auto"/>
              <w:right w:val="single" w:sz="4" w:space="0" w:color="auto"/>
            </w:tcBorders>
          </w:tcPr>
          <w:p w14:paraId="37D0303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1 750</w:t>
            </w:r>
          </w:p>
        </w:tc>
        <w:tc>
          <w:tcPr>
            <w:tcW w:w="549" w:type="dxa"/>
            <w:tcBorders>
              <w:left w:val="single" w:sz="4" w:space="0" w:color="auto"/>
              <w:right w:val="single" w:sz="4" w:space="0" w:color="auto"/>
            </w:tcBorders>
          </w:tcPr>
          <w:p w14:paraId="48D6405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950</w:t>
            </w:r>
          </w:p>
        </w:tc>
        <w:tc>
          <w:tcPr>
            <w:tcW w:w="624" w:type="dxa"/>
            <w:tcBorders>
              <w:left w:val="single" w:sz="4" w:space="0" w:color="auto"/>
              <w:right w:val="single" w:sz="4" w:space="0" w:color="auto"/>
            </w:tcBorders>
          </w:tcPr>
          <w:p w14:paraId="5E6F1056"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-1 318</w:t>
            </w:r>
          </w:p>
        </w:tc>
        <w:tc>
          <w:tcPr>
            <w:tcW w:w="642" w:type="dxa"/>
            <w:tcBorders>
              <w:left w:val="single" w:sz="4" w:space="0" w:color="auto"/>
              <w:right w:val="single" w:sz="4" w:space="0" w:color="auto"/>
            </w:tcBorders>
          </w:tcPr>
          <w:p w14:paraId="65D29F10"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-1 801</w:t>
            </w:r>
          </w:p>
        </w:tc>
        <w:tc>
          <w:tcPr>
            <w:tcW w:w="551" w:type="dxa"/>
            <w:tcBorders>
              <w:left w:val="single" w:sz="4" w:space="0" w:color="auto"/>
              <w:right w:val="single" w:sz="4" w:space="0" w:color="auto"/>
            </w:tcBorders>
          </w:tcPr>
          <w:p w14:paraId="5C2D114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-723</w:t>
            </w:r>
          </w:p>
        </w:tc>
        <w:tc>
          <w:tcPr>
            <w:tcW w:w="569" w:type="dxa"/>
            <w:tcBorders>
              <w:left w:val="single" w:sz="4" w:space="0" w:color="auto"/>
              <w:right w:val="single" w:sz="4" w:space="0" w:color="auto"/>
            </w:tcBorders>
          </w:tcPr>
          <w:p w14:paraId="47FC191F"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-1 712</w:t>
            </w:r>
          </w:p>
        </w:tc>
        <w:tc>
          <w:tcPr>
            <w:tcW w:w="552" w:type="dxa"/>
            <w:tcBorders>
              <w:left w:val="single" w:sz="4" w:space="0" w:color="auto"/>
              <w:right w:val="single" w:sz="4" w:space="0" w:color="auto"/>
            </w:tcBorders>
          </w:tcPr>
          <w:p w14:paraId="2D5C95A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-1 122</w:t>
            </w:r>
          </w:p>
        </w:tc>
        <w:tc>
          <w:tcPr>
            <w:tcW w:w="529" w:type="dxa"/>
            <w:tcBorders>
              <w:left w:val="single" w:sz="4" w:space="0" w:color="auto"/>
              <w:right w:val="single" w:sz="4" w:space="0" w:color="auto"/>
            </w:tcBorders>
          </w:tcPr>
          <w:p w14:paraId="53E6D86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-1 047</w:t>
            </w:r>
          </w:p>
        </w:tc>
      </w:tr>
      <w:tr w:rsidR="00CD5F12" w:rsidRPr="00CD5F12" w14:paraId="3199D6A6" w14:textId="77777777" w:rsidTr="00835D95">
        <w:trPr>
          <w:jc w:val="center"/>
        </w:trPr>
        <w:tc>
          <w:tcPr>
            <w:tcW w:w="1212" w:type="dxa"/>
            <w:tcBorders>
              <w:left w:val="single" w:sz="4" w:space="0" w:color="auto"/>
              <w:right w:val="single" w:sz="4" w:space="0" w:color="auto"/>
            </w:tcBorders>
            <w:vAlign w:val="bottom"/>
          </w:tcPr>
          <w:p w14:paraId="1B61045E"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Brasil</w:t>
            </w:r>
          </w:p>
        </w:tc>
        <w:tc>
          <w:tcPr>
            <w:tcW w:w="605" w:type="dxa"/>
            <w:tcBorders>
              <w:left w:val="single" w:sz="4" w:space="0" w:color="auto"/>
              <w:right w:val="single" w:sz="4" w:space="0" w:color="auto"/>
            </w:tcBorders>
          </w:tcPr>
          <w:p w14:paraId="73F158A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-54 249</w:t>
            </w:r>
          </w:p>
        </w:tc>
        <w:tc>
          <w:tcPr>
            <w:tcW w:w="678" w:type="dxa"/>
            <w:tcBorders>
              <w:left w:val="single" w:sz="4" w:space="0" w:color="auto"/>
              <w:right w:val="single" w:sz="4" w:space="0" w:color="auto"/>
            </w:tcBorders>
          </w:tcPr>
          <w:p w14:paraId="0CE3A61D"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-81 108</w:t>
            </w:r>
          </w:p>
        </w:tc>
        <w:tc>
          <w:tcPr>
            <w:tcW w:w="576" w:type="dxa"/>
            <w:tcBorders>
              <w:left w:val="single" w:sz="4" w:space="0" w:color="auto"/>
              <w:right w:val="single" w:sz="4" w:space="0" w:color="auto"/>
            </w:tcBorders>
          </w:tcPr>
          <w:p w14:paraId="1468621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-83 404</w:t>
            </w:r>
          </w:p>
        </w:tc>
        <w:tc>
          <w:tcPr>
            <w:tcW w:w="567" w:type="dxa"/>
            <w:tcBorders>
              <w:left w:val="single" w:sz="4" w:space="0" w:color="auto"/>
              <w:right w:val="single" w:sz="4" w:space="0" w:color="auto"/>
            </w:tcBorders>
          </w:tcPr>
          <w:p w14:paraId="038868C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73 148</w:t>
            </w:r>
          </w:p>
        </w:tc>
        <w:tc>
          <w:tcPr>
            <w:tcW w:w="583" w:type="dxa"/>
            <w:tcBorders>
              <w:left w:val="single" w:sz="4" w:space="0" w:color="auto"/>
              <w:right w:val="single" w:sz="4" w:space="0" w:color="auto"/>
            </w:tcBorders>
          </w:tcPr>
          <w:p w14:paraId="23291C6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75 182</w:t>
            </w:r>
          </w:p>
        </w:tc>
        <w:tc>
          <w:tcPr>
            <w:tcW w:w="563" w:type="dxa"/>
            <w:tcBorders>
              <w:left w:val="single" w:sz="4" w:space="0" w:color="auto"/>
              <w:right w:val="single" w:sz="4" w:space="0" w:color="auto"/>
            </w:tcBorders>
          </w:tcPr>
          <w:p w14:paraId="7B342B8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97 580</w:t>
            </w:r>
          </w:p>
        </w:tc>
        <w:tc>
          <w:tcPr>
            <w:tcW w:w="541" w:type="dxa"/>
            <w:tcBorders>
              <w:left w:val="single" w:sz="4" w:space="0" w:color="auto"/>
              <w:right w:val="single" w:sz="4" w:space="0" w:color="auto"/>
            </w:tcBorders>
          </w:tcPr>
          <w:p w14:paraId="1B77DC0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68 093</w:t>
            </w:r>
          </w:p>
        </w:tc>
        <w:tc>
          <w:tcPr>
            <w:tcW w:w="534" w:type="dxa"/>
            <w:tcBorders>
              <w:left w:val="single" w:sz="4" w:space="0" w:color="auto"/>
              <w:right w:val="single" w:sz="4" w:space="0" w:color="auto"/>
            </w:tcBorders>
          </w:tcPr>
          <w:p w14:paraId="603FB7C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67 491</w:t>
            </w:r>
          </w:p>
        </w:tc>
        <w:tc>
          <w:tcPr>
            <w:tcW w:w="549" w:type="dxa"/>
            <w:tcBorders>
              <w:left w:val="single" w:sz="4" w:space="0" w:color="auto"/>
              <w:right w:val="single" w:sz="4" w:space="0" w:color="auto"/>
            </w:tcBorders>
          </w:tcPr>
          <w:p w14:paraId="0779331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64 000</w:t>
            </w:r>
          </w:p>
        </w:tc>
        <w:tc>
          <w:tcPr>
            <w:tcW w:w="624" w:type="dxa"/>
            <w:tcBorders>
              <w:left w:val="single" w:sz="4" w:space="0" w:color="auto"/>
              <w:right w:val="single" w:sz="4" w:space="0" w:color="auto"/>
            </w:tcBorders>
          </w:tcPr>
          <w:p w14:paraId="4FA9DA3D"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5 055</w:t>
            </w:r>
          </w:p>
        </w:tc>
        <w:tc>
          <w:tcPr>
            <w:tcW w:w="642" w:type="dxa"/>
            <w:tcBorders>
              <w:left w:val="single" w:sz="4" w:space="0" w:color="auto"/>
              <w:right w:val="single" w:sz="4" w:space="0" w:color="auto"/>
            </w:tcBorders>
          </w:tcPr>
          <w:p w14:paraId="42262AAE"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7 691</w:t>
            </w:r>
          </w:p>
        </w:tc>
        <w:tc>
          <w:tcPr>
            <w:tcW w:w="551" w:type="dxa"/>
            <w:tcBorders>
              <w:left w:val="single" w:sz="4" w:space="0" w:color="auto"/>
              <w:right w:val="single" w:sz="4" w:space="0" w:color="auto"/>
            </w:tcBorders>
          </w:tcPr>
          <w:p w14:paraId="4D402AD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33 580</w:t>
            </w:r>
          </w:p>
        </w:tc>
        <w:tc>
          <w:tcPr>
            <w:tcW w:w="569" w:type="dxa"/>
            <w:tcBorders>
              <w:left w:val="single" w:sz="4" w:space="0" w:color="auto"/>
              <w:right w:val="single" w:sz="4" w:space="0" w:color="auto"/>
            </w:tcBorders>
          </w:tcPr>
          <w:p w14:paraId="31B8DEA3"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-18 900</w:t>
            </w:r>
          </w:p>
        </w:tc>
        <w:tc>
          <w:tcPr>
            <w:tcW w:w="552" w:type="dxa"/>
            <w:tcBorders>
              <w:left w:val="single" w:sz="4" w:space="0" w:color="auto"/>
              <w:right w:val="single" w:sz="4" w:space="0" w:color="auto"/>
            </w:tcBorders>
          </w:tcPr>
          <w:p w14:paraId="1C41ED3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5 926</w:t>
            </w:r>
          </w:p>
        </w:tc>
        <w:tc>
          <w:tcPr>
            <w:tcW w:w="529" w:type="dxa"/>
            <w:tcBorders>
              <w:left w:val="single" w:sz="4" w:space="0" w:color="auto"/>
              <w:right w:val="single" w:sz="4" w:space="0" w:color="auto"/>
            </w:tcBorders>
          </w:tcPr>
          <w:p w14:paraId="2835C38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-14 177</w:t>
            </w:r>
          </w:p>
        </w:tc>
      </w:tr>
      <w:tr w:rsidR="00CD5F12" w:rsidRPr="00CD5F12" w14:paraId="724BB21D" w14:textId="77777777" w:rsidTr="00835D95">
        <w:trPr>
          <w:jc w:val="center"/>
        </w:trPr>
        <w:tc>
          <w:tcPr>
            <w:tcW w:w="1212" w:type="dxa"/>
            <w:tcBorders>
              <w:left w:val="single" w:sz="4" w:space="0" w:color="auto"/>
              <w:right w:val="single" w:sz="4" w:space="0" w:color="auto"/>
            </w:tcBorders>
            <w:vAlign w:val="bottom"/>
          </w:tcPr>
          <w:p w14:paraId="75CC6D47"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Chile</w:t>
            </w:r>
          </w:p>
        </w:tc>
        <w:tc>
          <w:tcPr>
            <w:tcW w:w="605" w:type="dxa"/>
            <w:tcBorders>
              <w:left w:val="single" w:sz="4" w:space="0" w:color="auto"/>
              <w:right w:val="single" w:sz="4" w:space="0" w:color="auto"/>
            </w:tcBorders>
          </w:tcPr>
          <w:p w14:paraId="3E8927D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-9 081</w:t>
            </w:r>
          </w:p>
        </w:tc>
        <w:tc>
          <w:tcPr>
            <w:tcW w:w="678" w:type="dxa"/>
            <w:tcBorders>
              <w:left w:val="single" w:sz="4" w:space="0" w:color="auto"/>
              <w:right w:val="single" w:sz="4" w:space="0" w:color="auto"/>
            </w:tcBorders>
          </w:tcPr>
          <w:p w14:paraId="2ECB38DB"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-9 485</w:t>
            </w:r>
          </w:p>
        </w:tc>
        <w:tc>
          <w:tcPr>
            <w:tcW w:w="576" w:type="dxa"/>
            <w:tcBorders>
              <w:left w:val="single" w:sz="4" w:space="0" w:color="auto"/>
              <w:right w:val="single" w:sz="4" w:space="0" w:color="auto"/>
            </w:tcBorders>
          </w:tcPr>
          <w:p w14:paraId="4550EEC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-2 739</w:t>
            </w:r>
          </w:p>
        </w:tc>
        <w:tc>
          <w:tcPr>
            <w:tcW w:w="567" w:type="dxa"/>
            <w:tcBorders>
              <w:left w:val="single" w:sz="4" w:space="0" w:color="auto"/>
              <w:right w:val="single" w:sz="4" w:space="0" w:color="auto"/>
            </w:tcBorders>
          </w:tcPr>
          <w:p w14:paraId="4CE5B54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8 714</w:t>
            </w:r>
          </w:p>
        </w:tc>
        <w:tc>
          <w:tcPr>
            <w:tcW w:w="583" w:type="dxa"/>
            <w:tcBorders>
              <w:left w:val="single" w:sz="4" w:space="0" w:color="auto"/>
              <w:right w:val="single" w:sz="4" w:space="0" w:color="auto"/>
            </w:tcBorders>
          </w:tcPr>
          <w:p w14:paraId="2368C60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9 796</w:t>
            </w:r>
          </w:p>
        </w:tc>
        <w:tc>
          <w:tcPr>
            <w:tcW w:w="563" w:type="dxa"/>
            <w:tcBorders>
              <w:left w:val="single" w:sz="4" w:space="0" w:color="auto"/>
              <w:right w:val="single" w:sz="4" w:space="0" w:color="auto"/>
            </w:tcBorders>
          </w:tcPr>
          <w:p w14:paraId="0581D4D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1 626</w:t>
            </w:r>
          </w:p>
        </w:tc>
        <w:tc>
          <w:tcPr>
            <w:tcW w:w="541" w:type="dxa"/>
            <w:tcBorders>
              <w:left w:val="single" w:sz="4" w:space="0" w:color="auto"/>
              <w:right w:val="single" w:sz="4" w:space="0" w:color="auto"/>
            </w:tcBorders>
          </w:tcPr>
          <w:p w14:paraId="60CEC47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6 212</w:t>
            </w:r>
          </w:p>
        </w:tc>
        <w:tc>
          <w:tcPr>
            <w:tcW w:w="534" w:type="dxa"/>
            <w:tcBorders>
              <w:left w:val="single" w:sz="4" w:space="0" w:color="auto"/>
              <w:right w:val="single" w:sz="4" w:space="0" w:color="auto"/>
            </w:tcBorders>
          </w:tcPr>
          <w:p w14:paraId="7755232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9 335</w:t>
            </w:r>
          </w:p>
        </w:tc>
        <w:tc>
          <w:tcPr>
            <w:tcW w:w="549" w:type="dxa"/>
            <w:tcBorders>
              <w:left w:val="single" w:sz="4" w:space="0" w:color="auto"/>
              <w:right w:val="single" w:sz="4" w:space="0" w:color="auto"/>
            </w:tcBorders>
          </w:tcPr>
          <w:p w14:paraId="1832D2B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5 500</w:t>
            </w:r>
          </w:p>
        </w:tc>
        <w:tc>
          <w:tcPr>
            <w:tcW w:w="624" w:type="dxa"/>
            <w:tcBorders>
              <w:left w:val="single" w:sz="4" w:space="0" w:color="auto"/>
              <w:right w:val="single" w:sz="4" w:space="0" w:color="auto"/>
            </w:tcBorders>
          </w:tcPr>
          <w:p w14:paraId="70CB2D11"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2 503</w:t>
            </w:r>
          </w:p>
        </w:tc>
        <w:tc>
          <w:tcPr>
            <w:tcW w:w="642" w:type="dxa"/>
            <w:tcBorders>
              <w:left w:val="single" w:sz="4" w:space="0" w:color="auto"/>
              <w:right w:val="single" w:sz="4" w:space="0" w:color="auto"/>
            </w:tcBorders>
          </w:tcPr>
          <w:p w14:paraId="3D8CDCE9"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461</w:t>
            </w:r>
          </w:p>
        </w:tc>
        <w:tc>
          <w:tcPr>
            <w:tcW w:w="551" w:type="dxa"/>
            <w:tcBorders>
              <w:left w:val="single" w:sz="4" w:space="0" w:color="auto"/>
              <w:right w:val="single" w:sz="4" w:space="0" w:color="auto"/>
            </w:tcBorders>
          </w:tcPr>
          <w:p w14:paraId="6003BAA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-3 874</w:t>
            </w:r>
          </w:p>
        </w:tc>
        <w:tc>
          <w:tcPr>
            <w:tcW w:w="569" w:type="dxa"/>
            <w:tcBorders>
              <w:left w:val="single" w:sz="4" w:space="0" w:color="auto"/>
              <w:right w:val="single" w:sz="4" w:space="0" w:color="auto"/>
            </w:tcBorders>
          </w:tcPr>
          <w:p w14:paraId="0A1D4522"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367</w:t>
            </w:r>
          </w:p>
        </w:tc>
        <w:tc>
          <w:tcPr>
            <w:tcW w:w="552" w:type="dxa"/>
            <w:tcBorders>
              <w:left w:val="single" w:sz="4" w:space="0" w:color="auto"/>
              <w:right w:val="single" w:sz="4" w:space="0" w:color="auto"/>
            </w:tcBorders>
          </w:tcPr>
          <w:p w14:paraId="1FF1EB5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-311</w:t>
            </w:r>
          </w:p>
        </w:tc>
        <w:tc>
          <w:tcPr>
            <w:tcW w:w="529" w:type="dxa"/>
            <w:tcBorders>
              <w:left w:val="single" w:sz="4" w:space="0" w:color="auto"/>
              <w:right w:val="single" w:sz="4" w:space="0" w:color="auto"/>
            </w:tcBorders>
          </w:tcPr>
          <w:p w14:paraId="1EDF299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1 113</w:t>
            </w:r>
          </w:p>
        </w:tc>
      </w:tr>
      <w:tr w:rsidR="00CD5F12" w:rsidRPr="00CD5F12" w14:paraId="412E6972" w14:textId="77777777" w:rsidTr="00835D95">
        <w:trPr>
          <w:jc w:val="center"/>
        </w:trPr>
        <w:tc>
          <w:tcPr>
            <w:tcW w:w="1212" w:type="dxa"/>
            <w:tcBorders>
              <w:left w:val="single" w:sz="4" w:space="0" w:color="auto"/>
              <w:right w:val="single" w:sz="4" w:space="0" w:color="auto"/>
            </w:tcBorders>
            <w:vAlign w:val="bottom"/>
          </w:tcPr>
          <w:p w14:paraId="5CFCF313"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Colombia</w:t>
            </w:r>
          </w:p>
        </w:tc>
        <w:tc>
          <w:tcPr>
            <w:tcW w:w="605" w:type="dxa"/>
            <w:tcBorders>
              <w:left w:val="single" w:sz="4" w:space="0" w:color="auto"/>
              <w:right w:val="single" w:sz="4" w:space="0" w:color="auto"/>
            </w:tcBorders>
          </w:tcPr>
          <w:p w14:paraId="6F06198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-11 834</w:t>
            </w:r>
          </w:p>
        </w:tc>
        <w:tc>
          <w:tcPr>
            <w:tcW w:w="678" w:type="dxa"/>
            <w:tcBorders>
              <w:left w:val="single" w:sz="4" w:space="0" w:color="auto"/>
              <w:right w:val="single" w:sz="4" w:space="0" w:color="auto"/>
            </w:tcBorders>
          </w:tcPr>
          <w:p w14:paraId="580D88DC"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-12 276</w:t>
            </w:r>
          </w:p>
        </w:tc>
        <w:tc>
          <w:tcPr>
            <w:tcW w:w="576" w:type="dxa"/>
            <w:tcBorders>
              <w:left w:val="single" w:sz="4" w:space="0" w:color="auto"/>
              <w:right w:val="single" w:sz="4" w:space="0" w:color="auto"/>
            </w:tcBorders>
          </w:tcPr>
          <w:p w14:paraId="1A484AD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-18 379</w:t>
            </w:r>
          </w:p>
        </w:tc>
        <w:tc>
          <w:tcPr>
            <w:tcW w:w="567" w:type="dxa"/>
            <w:tcBorders>
              <w:left w:val="single" w:sz="4" w:space="0" w:color="auto"/>
              <w:right w:val="single" w:sz="4" w:space="0" w:color="auto"/>
            </w:tcBorders>
          </w:tcPr>
          <w:p w14:paraId="626C220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17 257</w:t>
            </w:r>
          </w:p>
        </w:tc>
        <w:tc>
          <w:tcPr>
            <w:tcW w:w="583" w:type="dxa"/>
            <w:tcBorders>
              <w:left w:val="single" w:sz="4" w:space="0" w:color="auto"/>
              <w:right w:val="single" w:sz="4" w:space="0" w:color="auto"/>
            </w:tcBorders>
          </w:tcPr>
          <w:p w14:paraId="69622D0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19 223</w:t>
            </w:r>
          </w:p>
        </w:tc>
        <w:tc>
          <w:tcPr>
            <w:tcW w:w="563" w:type="dxa"/>
            <w:tcBorders>
              <w:left w:val="single" w:sz="4" w:space="0" w:color="auto"/>
              <w:right w:val="single" w:sz="4" w:space="0" w:color="auto"/>
            </w:tcBorders>
          </w:tcPr>
          <w:p w14:paraId="766722A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22 284</w:t>
            </w:r>
          </w:p>
        </w:tc>
        <w:tc>
          <w:tcPr>
            <w:tcW w:w="541" w:type="dxa"/>
            <w:tcBorders>
              <w:left w:val="single" w:sz="4" w:space="0" w:color="auto"/>
              <w:right w:val="single" w:sz="4" w:space="0" w:color="auto"/>
            </w:tcBorders>
          </w:tcPr>
          <w:p w14:paraId="6DA8BC0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16 135</w:t>
            </w:r>
          </w:p>
        </w:tc>
        <w:tc>
          <w:tcPr>
            <w:tcW w:w="534" w:type="dxa"/>
            <w:tcBorders>
              <w:left w:val="single" w:sz="4" w:space="0" w:color="auto"/>
              <w:right w:val="single" w:sz="4" w:space="0" w:color="auto"/>
            </w:tcBorders>
          </w:tcPr>
          <w:p w14:paraId="7D42394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8 546</w:t>
            </w:r>
          </w:p>
        </w:tc>
        <w:tc>
          <w:tcPr>
            <w:tcW w:w="549" w:type="dxa"/>
            <w:tcBorders>
              <w:left w:val="single" w:sz="4" w:space="0" w:color="auto"/>
              <w:right w:val="single" w:sz="4" w:space="0" w:color="auto"/>
            </w:tcBorders>
          </w:tcPr>
          <w:p w14:paraId="709C1F7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12 818</w:t>
            </w:r>
          </w:p>
        </w:tc>
        <w:tc>
          <w:tcPr>
            <w:tcW w:w="624" w:type="dxa"/>
            <w:tcBorders>
              <w:left w:val="single" w:sz="4" w:space="0" w:color="auto"/>
              <w:right w:val="single" w:sz="4" w:space="0" w:color="auto"/>
            </w:tcBorders>
          </w:tcPr>
          <w:p w14:paraId="306F63B5"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1 122</w:t>
            </w:r>
          </w:p>
        </w:tc>
        <w:tc>
          <w:tcPr>
            <w:tcW w:w="642" w:type="dxa"/>
            <w:tcBorders>
              <w:left w:val="single" w:sz="4" w:space="0" w:color="auto"/>
              <w:right w:val="single" w:sz="4" w:space="0" w:color="auto"/>
            </w:tcBorders>
          </w:tcPr>
          <w:p w14:paraId="3C50E401"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10 676</w:t>
            </w:r>
          </w:p>
        </w:tc>
        <w:tc>
          <w:tcPr>
            <w:tcW w:w="551" w:type="dxa"/>
            <w:tcBorders>
              <w:left w:val="single" w:sz="4" w:space="0" w:color="auto"/>
              <w:right w:val="single" w:sz="4" w:space="0" w:color="auto"/>
            </w:tcBorders>
          </w:tcPr>
          <w:p w14:paraId="0647DE9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9 465</w:t>
            </w:r>
          </w:p>
        </w:tc>
        <w:tc>
          <w:tcPr>
            <w:tcW w:w="569" w:type="dxa"/>
            <w:tcBorders>
              <w:left w:val="single" w:sz="4" w:space="0" w:color="auto"/>
              <w:right w:val="single" w:sz="4" w:space="0" w:color="auto"/>
            </w:tcBorders>
          </w:tcPr>
          <w:p w14:paraId="0E342E97"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-5 423</w:t>
            </w:r>
          </w:p>
        </w:tc>
        <w:tc>
          <w:tcPr>
            <w:tcW w:w="552" w:type="dxa"/>
            <w:tcBorders>
              <w:left w:val="single" w:sz="4" w:space="0" w:color="auto"/>
              <w:right w:val="single" w:sz="4" w:space="0" w:color="auto"/>
            </w:tcBorders>
          </w:tcPr>
          <w:p w14:paraId="02EC0C8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-6 946</w:t>
            </w:r>
          </w:p>
        </w:tc>
        <w:tc>
          <w:tcPr>
            <w:tcW w:w="529" w:type="dxa"/>
            <w:tcBorders>
              <w:left w:val="single" w:sz="4" w:space="0" w:color="auto"/>
              <w:right w:val="single" w:sz="4" w:space="0" w:color="auto"/>
            </w:tcBorders>
          </w:tcPr>
          <w:p w14:paraId="34A88CC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-3 904</w:t>
            </w:r>
          </w:p>
        </w:tc>
      </w:tr>
      <w:tr w:rsidR="00CD5F12" w:rsidRPr="00CD5F12" w14:paraId="716EFFBB" w14:textId="77777777" w:rsidTr="00835D95">
        <w:trPr>
          <w:jc w:val="center"/>
        </w:trPr>
        <w:tc>
          <w:tcPr>
            <w:tcW w:w="1212" w:type="dxa"/>
            <w:tcBorders>
              <w:left w:val="single" w:sz="4" w:space="0" w:color="auto"/>
              <w:right w:val="single" w:sz="4" w:space="0" w:color="auto"/>
            </w:tcBorders>
            <w:vAlign w:val="bottom"/>
          </w:tcPr>
          <w:p w14:paraId="2C900425"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Costa Rica</w:t>
            </w:r>
          </w:p>
        </w:tc>
        <w:tc>
          <w:tcPr>
            <w:tcW w:w="605" w:type="dxa"/>
            <w:tcBorders>
              <w:left w:val="single" w:sz="4" w:space="0" w:color="auto"/>
              <w:right w:val="single" w:sz="4" w:space="0" w:color="auto"/>
            </w:tcBorders>
          </w:tcPr>
          <w:p w14:paraId="2BFBCF1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-2 422</w:t>
            </w:r>
          </w:p>
        </w:tc>
        <w:tc>
          <w:tcPr>
            <w:tcW w:w="678" w:type="dxa"/>
            <w:tcBorders>
              <w:left w:val="single" w:sz="4" w:space="0" w:color="auto"/>
              <w:right w:val="single" w:sz="4" w:space="0" w:color="auto"/>
            </w:tcBorders>
          </w:tcPr>
          <w:p w14:paraId="7644826A"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-2 452</w:t>
            </w:r>
          </w:p>
        </w:tc>
        <w:tc>
          <w:tcPr>
            <w:tcW w:w="576" w:type="dxa"/>
            <w:tcBorders>
              <w:left w:val="single" w:sz="4" w:space="0" w:color="auto"/>
              <w:right w:val="single" w:sz="4" w:space="0" w:color="auto"/>
            </w:tcBorders>
          </w:tcPr>
          <w:p w14:paraId="3D4C0D4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-1 823</w:t>
            </w:r>
          </w:p>
        </w:tc>
        <w:tc>
          <w:tcPr>
            <w:tcW w:w="567" w:type="dxa"/>
            <w:tcBorders>
              <w:left w:val="single" w:sz="4" w:space="0" w:color="auto"/>
              <w:right w:val="single" w:sz="4" w:space="0" w:color="auto"/>
            </w:tcBorders>
          </w:tcPr>
          <w:p w14:paraId="29A61E8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4 532</w:t>
            </w:r>
          </w:p>
        </w:tc>
        <w:tc>
          <w:tcPr>
            <w:tcW w:w="583" w:type="dxa"/>
            <w:tcBorders>
              <w:left w:val="single" w:sz="4" w:space="0" w:color="auto"/>
              <w:right w:val="single" w:sz="4" w:space="0" w:color="auto"/>
            </w:tcBorders>
          </w:tcPr>
          <w:p w14:paraId="64ED202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2 913</w:t>
            </w:r>
          </w:p>
        </w:tc>
        <w:tc>
          <w:tcPr>
            <w:tcW w:w="563" w:type="dxa"/>
            <w:tcBorders>
              <w:left w:val="single" w:sz="4" w:space="0" w:color="auto"/>
              <w:right w:val="single" w:sz="4" w:space="0" w:color="auto"/>
            </w:tcBorders>
          </w:tcPr>
          <w:p w14:paraId="77F7DB4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1 519</w:t>
            </w:r>
          </w:p>
        </w:tc>
        <w:tc>
          <w:tcPr>
            <w:tcW w:w="541" w:type="dxa"/>
            <w:tcBorders>
              <w:left w:val="single" w:sz="4" w:space="0" w:color="auto"/>
              <w:right w:val="single" w:sz="4" w:space="0" w:color="auto"/>
            </w:tcBorders>
          </w:tcPr>
          <w:p w14:paraId="7AA3FB7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1 904</w:t>
            </w:r>
          </w:p>
        </w:tc>
        <w:tc>
          <w:tcPr>
            <w:tcW w:w="534" w:type="dxa"/>
            <w:tcBorders>
              <w:left w:val="single" w:sz="4" w:space="0" w:color="auto"/>
              <w:right w:val="single" w:sz="4" w:space="0" w:color="auto"/>
            </w:tcBorders>
          </w:tcPr>
          <w:p w14:paraId="7FF3324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2 424</w:t>
            </w:r>
          </w:p>
        </w:tc>
        <w:tc>
          <w:tcPr>
            <w:tcW w:w="549" w:type="dxa"/>
            <w:tcBorders>
              <w:left w:val="single" w:sz="4" w:space="0" w:color="auto"/>
              <w:right w:val="single" w:sz="4" w:space="0" w:color="auto"/>
            </w:tcBorders>
          </w:tcPr>
          <w:p w14:paraId="2FDD18E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1 881</w:t>
            </w:r>
          </w:p>
        </w:tc>
        <w:tc>
          <w:tcPr>
            <w:tcW w:w="624" w:type="dxa"/>
            <w:tcBorders>
              <w:left w:val="single" w:sz="4" w:space="0" w:color="auto"/>
              <w:right w:val="single" w:sz="4" w:space="0" w:color="auto"/>
            </w:tcBorders>
          </w:tcPr>
          <w:p w14:paraId="5012000F"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2 628</w:t>
            </w:r>
          </w:p>
        </w:tc>
        <w:tc>
          <w:tcPr>
            <w:tcW w:w="642" w:type="dxa"/>
            <w:tcBorders>
              <w:left w:val="single" w:sz="4" w:space="0" w:color="auto"/>
              <w:right w:val="single" w:sz="4" w:space="0" w:color="auto"/>
            </w:tcBorders>
          </w:tcPr>
          <w:p w14:paraId="5D990F9F"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489</w:t>
            </w:r>
          </w:p>
        </w:tc>
        <w:tc>
          <w:tcPr>
            <w:tcW w:w="551" w:type="dxa"/>
            <w:tcBorders>
              <w:left w:val="single" w:sz="4" w:space="0" w:color="auto"/>
              <w:right w:val="single" w:sz="4" w:space="0" w:color="auto"/>
            </w:tcBorders>
          </w:tcPr>
          <w:p w14:paraId="53F92E3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-362</w:t>
            </w:r>
          </w:p>
        </w:tc>
        <w:tc>
          <w:tcPr>
            <w:tcW w:w="569" w:type="dxa"/>
            <w:tcBorders>
              <w:left w:val="single" w:sz="4" w:space="0" w:color="auto"/>
              <w:right w:val="single" w:sz="4" w:space="0" w:color="auto"/>
            </w:tcBorders>
          </w:tcPr>
          <w:p w14:paraId="196FAE15"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-2 110</w:t>
            </w:r>
          </w:p>
        </w:tc>
        <w:tc>
          <w:tcPr>
            <w:tcW w:w="552" w:type="dxa"/>
            <w:tcBorders>
              <w:left w:val="single" w:sz="4" w:space="0" w:color="auto"/>
              <w:right w:val="single" w:sz="4" w:space="0" w:color="auto"/>
            </w:tcBorders>
          </w:tcPr>
          <w:p w14:paraId="6C761FE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-461</w:t>
            </w:r>
          </w:p>
        </w:tc>
        <w:tc>
          <w:tcPr>
            <w:tcW w:w="529" w:type="dxa"/>
            <w:tcBorders>
              <w:left w:val="single" w:sz="4" w:space="0" w:color="auto"/>
              <w:right w:val="single" w:sz="4" w:space="0" w:color="auto"/>
            </w:tcBorders>
          </w:tcPr>
          <w:p w14:paraId="0AB2338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304</w:t>
            </w:r>
          </w:p>
        </w:tc>
      </w:tr>
      <w:tr w:rsidR="00CD5F12" w:rsidRPr="00CD5F12" w14:paraId="0B15A3F7" w14:textId="77777777" w:rsidTr="00835D95">
        <w:trPr>
          <w:jc w:val="center"/>
        </w:trPr>
        <w:tc>
          <w:tcPr>
            <w:tcW w:w="1212" w:type="dxa"/>
            <w:tcBorders>
              <w:left w:val="single" w:sz="4" w:space="0" w:color="auto"/>
              <w:right w:val="single" w:sz="4" w:space="0" w:color="auto"/>
            </w:tcBorders>
            <w:vAlign w:val="bottom"/>
          </w:tcPr>
          <w:p w14:paraId="4A558C4A"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Ecuador</w:t>
            </w:r>
            <w:r w:rsidRPr="00CD5F12">
              <w:rPr>
                <w:rFonts w:eastAsia="Times New Roman"/>
                <w:sz w:val="12"/>
                <w:szCs w:val="10"/>
                <w:u w:val="single"/>
                <w:vertAlign w:val="superscript"/>
                <w:lang w:val="es-ES"/>
              </w:rPr>
              <w:t xml:space="preserve"> </w:t>
            </w:r>
          </w:p>
        </w:tc>
        <w:tc>
          <w:tcPr>
            <w:tcW w:w="605" w:type="dxa"/>
            <w:tcBorders>
              <w:left w:val="single" w:sz="4" w:space="0" w:color="auto"/>
              <w:right w:val="single" w:sz="4" w:space="0" w:color="auto"/>
            </w:tcBorders>
          </w:tcPr>
          <w:p w14:paraId="4EF3C75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-182</w:t>
            </w:r>
          </w:p>
        </w:tc>
        <w:tc>
          <w:tcPr>
            <w:tcW w:w="678" w:type="dxa"/>
            <w:tcBorders>
              <w:left w:val="single" w:sz="4" w:space="0" w:color="auto"/>
              <w:right w:val="single" w:sz="4" w:space="0" w:color="auto"/>
            </w:tcBorders>
          </w:tcPr>
          <w:p w14:paraId="7932B030"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-1 177</w:t>
            </w:r>
          </w:p>
        </w:tc>
        <w:tc>
          <w:tcPr>
            <w:tcW w:w="576" w:type="dxa"/>
            <w:tcBorders>
              <w:left w:val="single" w:sz="4" w:space="0" w:color="auto"/>
              <w:right w:val="single" w:sz="4" w:space="0" w:color="auto"/>
            </w:tcBorders>
          </w:tcPr>
          <w:p w14:paraId="289E170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146</w:t>
            </w:r>
          </w:p>
        </w:tc>
        <w:tc>
          <w:tcPr>
            <w:tcW w:w="567" w:type="dxa"/>
            <w:tcBorders>
              <w:left w:val="single" w:sz="4" w:space="0" w:color="auto"/>
              <w:right w:val="single" w:sz="4" w:space="0" w:color="auto"/>
            </w:tcBorders>
          </w:tcPr>
          <w:p w14:paraId="53E534B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-399</w:t>
            </w:r>
          </w:p>
        </w:tc>
        <w:tc>
          <w:tcPr>
            <w:tcW w:w="583" w:type="dxa"/>
            <w:tcBorders>
              <w:left w:val="single" w:sz="4" w:space="0" w:color="auto"/>
              <w:right w:val="single" w:sz="4" w:space="0" w:color="auto"/>
            </w:tcBorders>
          </w:tcPr>
          <w:p w14:paraId="1B232E0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3 023</w:t>
            </w:r>
          </w:p>
        </w:tc>
        <w:tc>
          <w:tcPr>
            <w:tcW w:w="563" w:type="dxa"/>
            <w:tcBorders>
              <w:left w:val="single" w:sz="4" w:space="0" w:color="auto"/>
              <w:right w:val="single" w:sz="4" w:space="0" w:color="auto"/>
            </w:tcBorders>
          </w:tcPr>
          <w:p w14:paraId="2FA9F0E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1 574</w:t>
            </w:r>
          </w:p>
        </w:tc>
        <w:tc>
          <w:tcPr>
            <w:tcW w:w="541" w:type="dxa"/>
            <w:tcBorders>
              <w:left w:val="single" w:sz="4" w:space="0" w:color="auto"/>
              <w:right w:val="single" w:sz="4" w:space="0" w:color="auto"/>
            </w:tcBorders>
          </w:tcPr>
          <w:p w14:paraId="258B9B6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585</w:t>
            </w:r>
          </w:p>
        </w:tc>
        <w:tc>
          <w:tcPr>
            <w:tcW w:w="534" w:type="dxa"/>
            <w:tcBorders>
              <w:left w:val="single" w:sz="4" w:space="0" w:color="auto"/>
              <w:right w:val="single" w:sz="4" w:space="0" w:color="auto"/>
            </w:tcBorders>
          </w:tcPr>
          <w:p w14:paraId="77D5447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728</w:t>
            </w:r>
          </w:p>
        </w:tc>
        <w:tc>
          <w:tcPr>
            <w:tcW w:w="549" w:type="dxa"/>
            <w:tcBorders>
              <w:left w:val="single" w:sz="4" w:space="0" w:color="auto"/>
              <w:right w:val="single" w:sz="4" w:space="0" w:color="auto"/>
            </w:tcBorders>
          </w:tcPr>
          <w:p w14:paraId="4BB13E3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600</w:t>
            </w:r>
          </w:p>
        </w:tc>
        <w:tc>
          <w:tcPr>
            <w:tcW w:w="624" w:type="dxa"/>
            <w:tcBorders>
              <w:left w:val="single" w:sz="4" w:space="0" w:color="auto"/>
              <w:right w:val="single" w:sz="4" w:space="0" w:color="auto"/>
            </w:tcBorders>
          </w:tcPr>
          <w:p w14:paraId="69AD60EE"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-984</w:t>
            </w:r>
          </w:p>
        </w:tc>
        <w:tc>
          <w:tcPr>
            <w:tcW w:w="642" w:type="dxa"/>
            <w:tcBorders>
              <w:left w:val="single" w:sz="4" w:space="0" w:color="auto"/>
              <w:right w:val="single" w:sz="4" w:space="0" w:color="auto"/>
            </w:tcBorders>
          </w:tcPr>
          <w:p w14:paraId="3B6C8232"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2 295</w:t>
            </w:r>
          </w:p>
        </w:tc>
        <w:tc>
          <w:tcPr>
            <w:tcW w:w="551" w:type="dxa"/>
            <w:tcBorders>
              <w:left w:val="single" w:sz="4" w:space="0" w:color="auto"/>
              <w:right w:val="single" w:sz="4" w:space="0" w:color="auto"/>
            </w:tcBorders>
          </w:tcPr>
          <w:p w14:paraId="4CCB9C0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974</w:t>
            </w:r>
          </w:p>
        </w:tc>
        <w:tc>
          <w:tcPr>
            <w:tcW w:w="569" w:type="dxa"/>
            <w:tcBorders>
              <w:left w:val="single" w:sz="4" w:space="0" w:color="auto"/>
              <w:right w:val="single" w:sz="4" w:space="0" w:color="auto"/>
            </w:tcBorders>
          </w:tcPr>
          <w:p w14:paraId="3A2E30B5"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582</w:t>
            </w:r>
          </w:p>
        </w:tc>
        <w:tc>
          <w:tcPr>
            <w:tcW w:w="552" w:type="dxa"/>
            <w:tcBorders>
              <w:left w:val="single" w:sz="4" w:space="0" w:color="auto"/>
              <w:right w:val="single" w:sz="4" w:space="0" w:color="auto"/>
            </w:tcBorders>
          </w:tcPr>
          <w:p w14:paraId="190F5A0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-1 846</w:t>
            </w:r>
          </w:p>
        </w:tc>
        <w:tc>
          <w:tcPr>
            <w:tcW w:w="529" w:type="dxa"/>
            <w:tcBorders>
              <w:left w:val="single" w:sz="4" w:space="0" w:color="auto"/>
              <w:right w:val="single" w:sz="4" w:space="0" w:color="auto"/>
            </w:tcBorders>
          </w:tcPr>
          <w:p w14:paraId="7CFCD8C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-1 719</w:t>
            </w:r>
          </w:p>
        </w:tc>
      </w:tr>
      <w:tr w:rsidR="00CD5F12" w:rsidRPr="00CD5F12" w14:paraId="6CEE178F" w14:textId="77777777" w:rsidTr="00835D95">
        <w:trPr>
          <w:jc w:val="center"/>
        </w:trPr>
        <w:tc>
          <w:tcPr>
            <w:tcW w:w="1212" w:type="dxa"/>
            <w:tcBorders>
              <w:left w:val="single" w:sz="4" w:space="0" w:color="auto"/>
              <w:right w:val="single" w:sz="4" w:space="0" w:color="auto"/>
            </w:tcBorders>
            <w:vAlign w:val="bottom"/>
          </w:tcPr>
          <w:p w14:paraId="583FE178"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El Salvador</w:t>
            </w:r>
          </w:p>
        </w:tc>
        <w:tc>
          <w:tcPr>
            <w:tcW w:w="605" w:type="dxa"/>
            <w:tcBorders>
              <w:left w:val="single" w:sz="4" w:space="0" w:color="auto"/>
              <w:right w:val="single" w:sz="4" w:space="0" w:color="auto"/>
            </w:tcBorders>
          </w:tcPr>
          <w:p w14:paraId="25B98EE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-1 288</w:t>
            </w:r>
          </w:p>
        </w:tc>
        <w:tc>
          <w:tcPr>
            <w:tcW w:w="678" w:type="dxa"/>
            <w:tcBorders>
              <w:left w:val="single" w:sz="4" w:space="0" w:color="auto"/>
              <w:right w:val="single" w:sz="4" w:space="0" w:color="auto"/>
            </w:tcBorders>
          </w:tcPr>
          <w:p w14:paraId="5AAC6413"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-1 577</w:t>
            </w:r>
          </w:p>
        </w:tc>
        <w:tc>
          <w:tcPr>
            <w:tcW w:w="576" w:type="dxa"/>
            <w:tcBorders>
              <w:left w:val="single" w:sz="4" w:space="0" w:color="auto"/>
              <w:right w:val="single" w:sz="4" w:space="0" w:color="auto"/>
            </w:tcBorders>
          </w:tcPr>
          <w:p w14:paraId="2288082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-1 030</w:t>
            </w:r>
          </w:p>
        </w:tc>
        <w:tc>
          <w:tcPr>
            <w:tcW w:w="567" w:type="dxa"/>
            <w:tcBorders>
              <w:left w:val="single" w:sz="4" w:space="0" w:color="auto"/>
              <w:right w:val="single" w:sz="4" w:space="0" w:color="auto"/>
            </w:tcBorders>
          </w:tcPr>
          <w:p w14:paraId="57AE163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1 939</w:t>
            </w:r>
          </w:p>
        </w:tc>
        <w:tc>
          <w:tcPr>
            <w:tcW w:w="583" w:type="dxa"/>
            <w:tcBorders>
              <w:left w:val="single" w:sz="4" w:space="0" w:color="auto"/>
              <w:right w:val="single" w:sz="4" w:space="0" w:color="auto"/>
            </w:tcBorders>
          </w:tcPr>
          <w:p w14:paraId="4C97F9F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1 250</w:t>
            </w:r>
          </w:p>
        </w:tc>
        <w:tc>
          <w:tcPr>
            <w:tcW w:w="563" w:type="dxa"/>
            <w:tcBorders>
              <w:left w:val="single" w:sz="4" w:space="0" w:color="auto"/>
              <w:right w:val="single" w:sz="4" w:space="0" w:color="auto"/>
            </w:tcBorders>
          </w:tcPr>
          <w:p w14:paraId="7D5DC12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1 279</w:t>
            </w:r>
          </w:p>
        </w:tc>
        <w:tc>
          <w:tcPr>
            <w:tcW w:w="541" w:type="dxa"/>
            <w:tcBorders>
              <w:left w:val="single" w:sz="4" w:space="0" w:color="auto"/>
              <w:right w:val="single" w:sz="4" w:space="0" w:color="auto"/>
            </w:tcBorders>
          </w:tcPr>
          <w:p w14:paraId="10C83DD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484</w:t>
            </w:r>
          </w:p>
        </w:tc>
        <w:tc>
          <w:tcPr>
            <w:tcW w:w="534" w:type="dxa"/>
            <w:tcBorders>
              <w:left w:val="single" w:sz="4" w:space="0" w:color="auto"/>
              <w:right w:val="single" w:sz="4" w:space="0" w:color="auto"/>
            </w:tcBorders>
          </w:tcPr>
          <w:p w14:paraId="6CF8B24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137</w:t>
            </w:r>
          </w:p>
        </w:tc>
        <w:tc>
          <w:tcPr>
            <w:tcW w:w="549" w:type="dxa"/>
            <w:tcBorders>
              <w:left w:val="single" w:sz="4" w:space="0" w:color="auto"/>
              <w:right w:val="single" w:sz="4" w:space="0" w:color="auto"/>
            </w:tcBorders>
          </w:tcPr>
          <w:p w14:paraId="1BDC137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90</w:t>
            </w:r>
          </w:p>
        </w:tc>
        <w:tc>
          <w:tcPr>
            <w:tcW w:w="624" w:type="dxa"/>
            <w:tcBorders>
              <w:left w:val="single" w:sz="4" w:space="0" w:color="auto"/>
              <w:right w:val="single" w:sz="4" w:space="0" w:color="auto"/>
            </w:tcBorders>
          </w:tcPr>
          <w:p w14:paraId="64E40676"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1 455</w:t>
            </w:r>
          </w:p>
        </w:tc>
        <w:tc>
          <w:tcPr>
            <w:tcW w:w="642" w:type="dxa"/>
            <w:tcBorders>
              <w:left w:val="single" w:sz="4" w:space="0" w:color="auto"/>
              <w:right w:val="single" w:sz="4" w:space="0" w:color="auto"/>
            </w:tcBorders>
          </w:tcPr>
          <w:p w14:paraId="1AD8C03A"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1 113</w:t>
            </w:r>
          </w:p>
        </w:tc>
        <w:tc>
          <w:tcPr>
            <w:tcW w:w="551" w:type="dxa"/>
            <w:tcBorders>
              <w:left w:val="single" w:sz="4" w:space="0" w:color="auto"/>
              <w:right w:val="single" w:sz="4" w:space="0" w:color="auto"/>
            </w:tcBorders>
          </w:tcPr>
          <w:p w14:paraId="08531F01"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1 188</w:t>
            </w:r>
          </w:p>
        </w:tc>
        <w:tc>
          <w:tcPr>
            <w:tcW w:w="569" w:type="dxa"/>
            <w:tcBorders>
              <w:left w:val="single" w:sz="4" w:space="0" w:color="auto"/>
              <w:right w:val="single" w:sz="4" w:space="0" w:color="auto"/>
            </w:tcBorders>
          </w:tcPr>
          <w:p w14:paraId="77D92A19"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-651</w:t>
            </w:r>
          </w:p>
        </w:tc>
        <w:tc>
          <w:tcPr>
            <w:tcW w:w="552" w:type="dxa"/>
            <w:tcBorders>
              <w:left w:val="single" w:sz="4" w:space="0" w:color="auto"/>
              <w:right w:val="single" w:sz="4" w:space="0" w:color="auto"/>
            </w:tcBorders>
          </w:tcPr>
          <w:p w14:paraId="6130FEE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327</w:t>
            </w:r>
          </w:p>
        </w:tc>
        <w:tc>
          <w:tcPr>
            <w:tcW w:w="529" w:type="dxa"/>
            <w:tcBorders>
              <w:left w:val="single" w:sz="4" w:space="0" w:color="auto"/>
              <w:right w:val="single" w:sz="4" w:space="0" w:color="auto"/>
            </w:tcBorders>
          </w:tcPr>
          <w:p w14:paraId="2FAF236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-248</w:t>
            </w:r>
          </w:p>
        </w:tc>
      </w:tr>
      <w:tr w:rsidR="00CD5F12" w:rsidRPr="00CD5F12" w14:paraId="2134244C" w14:textId="77777777" w:rsidTr="00835D95">
        <w:trPr>
          <w:jc w:val="center"/>
        </w:trPr>
        <w:tc>
          <w:tcPr>
            <w:tcW w:w="1212" w:type="dxa"/>
            <w:tcBorders>
              <w:left w:val="single" w:sz="4" w:space="0" w:color="auto"/>
              <w:right w:val="single" w:sz="4" w:space="0" w:color="auto"/>
            </w:tcBorders>
            <w:vAlign w:val="bottom"/>
          </w:tcPr>
          <w:p w14:paraId="050AAD6F"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Guatemala</w:t>
            </w:r>
          </w:p>
        </w:tc>
        <w:tc>
          <w:tcPr>
            <w:tcW w:w="605" w:type="dxa"/>
            <w:tcBorders>
              <w:left w:val="single" w:sz="4" w:space="0" w:color="auto"/>
              <w:right w:val="single" w:sz="4" w:space="0" w:color="auto"/>
            </w:tcBorders>
          </w:tcPr>
          <w:p w14:paraId="05AC1EC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-1 309</w:t>
            </w:r>
          </w:p>
        </w:tc>
        <w:tc>
          <w:tcPr>
            <w:tcW w:w="678" w:type="dxa"/>
            <w:tcBorders>
              <w:left w:val="single" w:sz="4" w:space="0" w:color="auto"/>
              <w:right w:val="single" w:sz="4" w:space="0" w:color="auto"/>
            </w:tcBorders>
          </w:tcPr>
          <w:p w14:paraId="37251BD2"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-1 465</w:t>
            </w:r>
          </w:p>
        </w:tc>
        <w:tc>
          <w:tcPr>
            <w:tcW w:w="576" w:type="dxa"/>
            <w:tcBorders>
              <w:left w:val="single" w:sz="4" w:space="0" w:color="auto"/>
              <w:right w:val="single" w:sz="4" w:space="0" w:color="auto"/>
            </w:tcBorders>
          </w:tcPr>
          <w:p w14:paraId="25A9203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-976</w:t>
            </w:r>
          </w:p>
        </w:tc>
        <w:tc>
          <w:tcPr>
            <w:tcW w:w="567" w:type="dxa"/>
            <w:tcBorders>
              <w:left w:val="single" w:sz="4" w:space="0" w:color="auto"/>
              <w:right w:val="single" w:sz="4" w:space="0" w:color="auto"/>
            </w:tcBorders>
          </w:tcPr>
          <w:p w14:paraId="6446423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1 808</w:t>
            </w:r>
          </w:p>
        </w:tc>
        <w:tc>
          <w:tcPr>
            <w:tcW w:w="583" w:type="dxa"/>
            <w:tcBorders>
              <w:left w:val="single" w:sz="4" w:space="0" w:color="auto"/>
              <w:right w:val="single" w:sz="4" w:space="0" w:color="auto"/>
            </w:tcBorders>
          </w:tcPr>
          <w:p w14:paraId="7666F61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2 168</w:t>
            </w:r>
          </w:p>
        </w:tc>
        <w:tc>
          <w:tcPr>
            <w:tcW w:w="563" w:type="dxa"/>
            <w:tcBorders>
              <w:left w:val="single" w:sz="4" w:space="0" w:color="auto"/>
              <w:right w:val="single" w:sz="4" w:space="0" w:color="auto"/>
            </w:tcBorders>
          </w:tcPr>
          <w:p w14:paraId="66FBE6C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1 109</w:t>
            </w:r>
          </w:p>
        </w:tc>
        <w:tc>
          <w:tcPr>
            <w:tcW w:w="541" w:type="dxa"/>
            <w:tcBorders>
              <w:left w:val="single" w:sz="4" w:space="0" w:color="auto"/>
              <w:right w:val="single" w:sz="4" w:space="0" w:color="auto"/>
            </w:tcBorders>
          </w:tcPr>
          <w:p w14:paraId="68D2893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1 205</w:t>
            </w:r>
          </w:p>
        </w:tc>
        <w:tc>
          <w:tcPr>
            <w:tcW w:w="534" w:type="dxa"/>
            <w:tcBorders>
              <w:left w:val="single" w:sz="4" w:space="0" w:color="auto"/>
              <w:right w:val="single" w:sz="4" w:space="0" w:color="auto"/>
            </w:tcBorders>
          </w:tcPr>
          <w:p w14:paraId="6FE6B9A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1 275</w:t>
            </w:r>
          </w:p>
        </w:tc>
        <w:tc>
          <w:tcPr>
            <w:tcW w:w="549" w:type="dxa"/>
            <w:tcBorders>
              <w:left w:val="single" w:sz="4" w:space="0" w:color="auto"/>
              <w:right w:val="single" w:sz="4" w:space="0" w:color="auto"/>
            </w:tcBorders>
          </w:tcPr>
          <w:p w14:paraId="016E129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2 294</w:t>
            </w:r>
          </w:p>
        </w:tc>
        <w:tc>
          <w:tcPr>
            <w:tcW w:w="624" w:type="dxa"/>
            <w:tcBorders>
              <w:left w:val="single" w:sz="4" w:space="0" w:color="auto"/>
              <w:right w:val="single" w:sz="4" w:space="0" w:color="auto"/>
            </w:tcBorders>
          </w:tcPr>
          <w:p w14:paraId="76CCF91C"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603</w:t>
            </w:r>
          </w:p>
        </w:tc>
        <w:tc>
          <w:tcPr>
            <w:tcW w:w="642" w:type="dxa"/>
            <w:tcBorders>
              <w:left w:val="single" w:sz="4" w:space="0" w:color="auto"/>
              <w:right w:val="single" w:sz="4" w:space="0" w:color="auto"/>
            </w:tcBorders>
          </w:tcPr>
          <w:p w14:paraId="307D8C7A"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893</w:t>
            </w:r>
          </w:p>
        </w:tc>
        <w:tc>
          <w:tcPr>
            <w:tcW w:w="551" w:type="dxa"/>
            <w:tcBorders>
              <w:left w:val="single" w:sz="4" w:space="0" w:color="auto"/>
              <w:right w:val="single" w:sz="4" w:space="0" w:color="auto"/>
            </w:tcBorders>
          </w:tcPr>
          <w:p w14:paraId="5B82F98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-1 185</w:t>
            </w:r>
          </w:p>
        </w:tc>
        <w:tc>
          <w:tcPr>
            <w:tcW w:w="569" w:type="dxa"/>
            <w:tcBorders>
              <w:left w:val="single" w:sz="4" w:space="0" w:color="auto"/>
              <w:right w:val="single" w:sz="4" w:space="0" w:color="auto"/>
            </w:tcBorders>
          </w:tcPr>
          <w:p w14:paraId="4AAB0496"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-499</w:t>
            </w:r>
          </w:p>
        </w:tc>
        <w:tc>
          <w:tcPr>
            <w:tcW w:w="552" w:type="dxa"/>
            <w:tcBorders>
              <w:left w:val="single" w:sz="4" w:space="0" w:color="auto"/>
              <w:right w:val="single" w:sz="4" w:space="0" w:color="auto"/>
            </w:tcBorders>
          </w:tcPr>
          <w:p w14:paraId="1DDBBAD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-702</w:t>
            </w:r>
          </w:p>
        </w:tc>
        <w:tc>
          <w:tcPr>
            <w:tcW w:w="529" w:type="dxa"/>
            <w:tcBorders>
              <w:left w:val="single" w:sz="4" w:space="0" w:color="auto"/>
              <w:right w:val="single" w:sz="4" w:space="0" w:color="auto"/>
            </w:tcBorders>
          </w:tcPr>
          <w:p w14:paraId="119BCDD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-132</w:t>
            </w:r>
          </w:p>
        </w:tc>
      </w:tr>
      <w:tr w:rsidR="00CD5F12" w:rsidRPr="00CD5F12" w14:paraId="09390B99" w14:textId="77777777" w:rsidTr="00835D95">
        <w:trPr>
          <w:jc w:val="center"/>
        </w:trPr>
        <w:tc>
          <w:tcPr>
            <w:tcW w:w="1212" w:type="dxa"/>
            <w:tcBorders>
              <w:left w:val="single" w:sz="4" w:space="0" w:color="auto"/>
              <w:right w:val="single" w:sz="4" w:space="0" w:color="auto"/>
            </w:tcBorders>
            <w:vAlign w:val="bottom"/>
          </w:tcPr>
          <w:p w14:paraId="686128C3"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Honduras</w:t>
            </w:r>
          </w:p>
        </w:tc>
        <w:tc>
          <w:tcPr>
            <w:tcW w:w="605" w:type="dxa"/>
            <w:tcBorders>
              <w:left w:val="single" w:sz="4" w:space="0" w:color="auto"/>
              <w:right w:val="single" w:sz="4" w:space="0" w:color="auto"/>
            </w:tcBorders>
          </w:tcPr>
          <w:p w14:paraId="7265A0A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-1 581</w:t>
            </w:r>
          </w:p>
        </w:tc>
        <w:tc>
          <w:tcPr>
            <w:tcW w:w="678" w:type="dxa"/>
            <w:tcBorders>
              <w:left w:val="single" w:sz="4" w:space="0" w:color="auto"/>
              <w:right w:val="single" w:sz="4" w:space="0" w:color="auto"/>
            </w:tcBorders>
          </w:tcPr>
          <w:p w14:paraId="3FD1CC89"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-1 764</w:t>
            </w:r>
          </w:p>
        </w:tc>
        <w:tc>
          <w:tcPr>
            <w:tcW w:w="576" w:type="dxa"/>
            <w:tcBorders>
              <w:left w:val="single" w:sz="4" w:space="0" w:color="auto"/>
              <w:right w:val="single" w:sz="4" w:space="0" w:color="auto"/>
            </w:tcBorders>
          </w:tcPr>
          <w:p w14:paraId="6EA08CE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-1 475</w:t>
            </w:r>
          </w:p>
        </w:tc>
        <w:tc>
          <w:tcPr>
            <w:tcW w:w="567" w:type="dxa"/>
            <w:tcBorders>
              <w:left w:val="single" w:sz="4" w:space="0" w:color="auto"/>
              <w:right w:val="single" w:sz="4" w:space="0" w:color="auto"/>
            </w:tcBorders>
          </w:tcPr>
          <w:p w14:paraId="204A00F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1 290</w:t>
            </w:r>
          </w:p>
        </w:tc>
        <w:tc>
          <w:tcPr>
            <w:tcW w:w="583" w:type="dxa"/>
            <w:tcBorders>
              <w:left w:val="single" w:sz="4" w:space="0" w:color="auto"/>
              <w:right w:val="single" w:sz="4" w:space="0" w:color="auto"/>
            </w:tcBorders>
          </w:tcPr>
          <w:p w14:paraId="5213BA3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2 243</w:t>
            </w:r>
          </w:p>
        </w:tc>
        <w:tc>
          <w:tcPr>
            <w:tcW w:w="563" w:type="dxa"/>
            <w:tcBorders>
              <w:left w:val="single" w:sz="4" w:space="0" w:color="auto"/>
              <w:right w:val="single" w:sz="4" w:space="0" w:color="auto"/>
            </w:tcBorders>
          </w:tcPr>
          <w:p w14:paraId="59DB38C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1 723</w:t>
            </w:r>
          </w:p>
        </w:tc>
        <w:tc>
          <w:tcPr>
            <w:tcW w:w="541" w:type="dxa"/>
            <w:tcBorders>
              <w:left w:val="single" w:sz="4" w:space="0" w:color="auto"/>
              <w:right w:val="single" w:sz="4" w:space="0" w:color="auto"/>
            </w:tcBorders>
          </w:tcPr>
          <w:p w14:paraId="4A1D121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851</w:t>
            </w:r>
          </w:p>
        </w:tc>
        <w:tc>
          <w:tcPr>
            <w:tcW w:w="534" w:type="dxa"/>
            <w:tcBorders>
              <w:left w:val="single" w:sz="4" w:space="0" w:color="auto"/>
              <w:right w:val="single" w:sz="4" w:space="0" w:color="auto"/>
            </w:tcBorders>
          </w:tcPr>
          <w:p w14:paraId="584CBFB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992</w:t>
            </w:r>
          </w:p>
        </w:tc>
        <w:tc>
          <w:tcPr>
            <w:tcW w:w="549" w:type="dxa"/>
            <w:tcBorders>
              <w:left w:val="single" w:sz="4" w:space="0" w:color="auto"/>
              <w:right w:val="single" w:sz="4" w:space="0" w:color="auto"/>
            </w:tcBorders>
          </w:tcPr>
          <w:p w14:paraId="1364DAB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1 049</w:t>
            </w:r>
          </w:p>
        </w:tc>
        <w:tc>
          <w:tcPr>
            <w:tcW w:w="624" w:type="dxa"/>
            <w:tcBorders>
              <w:left w:val="single" w:sz="4" w:space="0" w:color="auto"/>
              <w:right w:val="single" w:sz="4" w:space="0" w:color="auto"/>
            </w:tcBorders>
          </w:tcPr>
          <w:p w14:paraId="1F27F155"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439</w:t>
            </w:r>
          </w:p>
        </w:tc>
        <w:tc>
          <w:tcPr>
            <w:tcW w:w="642" w:type="dxa"/>
            <w:tcBorders>
              <w:left w:val="single" w:sz="4" w:space="0" w:color="auto"/>
              <w:right w:val="single" w:sz="4" w:space="0" w:color="auto"/>
            </w:tcBorders>
          </w:tcPr>
          <w:p w14:paraId="5A620299"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1 251</w:t>
            </w:r>
          </w:p>
        </w:tc>
        <w:tc>
          <w:tcPr>
            <w:tcW w:w="551" w:type="dxa"/>
            <w:tcBorders>
              <w:left w:val="single" w:sz="4" w:space="0" w:color="auto"/>
              <w:right w:val="single" w:sz="4" w:space="0" w:color="auto"/>
            </w:tcBorders>
          </w:tcPr>
          <w:p w14:paraId="7D0A94A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674</w:t>
            </w:r>
          </w:p>
        </w:tc>
        <w:tc>
          <w:tcPr>
            <w:tcW w:w="569" w:type="dxa"/>
            <w:tcBorders>
              <w:left w:val="single" w:sz="4" w:space="0" w:color="auto"/>
              <w:right w:val="single" w:sz="4" w:space="0" w:color="auto"/>
            </w:tcBorders>
          </w:tcPr>
          <w:p w14:paraId="19F69CAC"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291</w:t>
            </w:r>
          </w:p>
        </w:tc>
        <w:tc>
          <w:tcPr>
            <w:tcW w:w="552" w:type="dxa"/>
            <w:tcBorders>
              <w:left w:val="single" w:sz="4" w:space="0" w:color="auto"/>
              <w:right w:val="single" w:sz="4" w:space="0" w:color="auto"/>
            </w:tcBorders>
          </w:tcPr>
          <w:p w14:paraId="24E534A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-479</w:t>
            </w:r>
          </w:p>
        </w:tc>
        <w:tc>
          <w:tcPr>
            <w:tcW w:w="529" w:type="dxa"/>
            <w:tcBorders>
              <w:left w:val="single" w:sz="4" w:space="0" w:color="auto"/>
              <w:right w:val="single" w:sz="4" w:space="0" w:color="auto"/>
            </w:tcBorders>
          </w:tcPr>
          <w:p w14:paraId="082186B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-248</w:t>
            </w:r>
          </w:p>
        </w:tc>
      </w:tr>
      <w:tr w:rsidR="00CD5F12" w:rsidRPr="00CD5F12" w14:paraId="2840F39C" w14:textId="77777777" w:rsidTr="00835D95">
        <w:trPr>
          <w:jc w:val="center"/>
        </w:trPr>
        <w:tc>
          <w:tcPr>
            <w:tcW w:w="1212" w:type="dxa"/>
            <w:tcBorders>
              <w:left w:val="single" w:sz="4" w:space="0" w:color="auto"/>
              <w:right w:val="single" w:sz="4" w:space="0" w:color="auto"/>
            </w:tcBorders>
            <w:vAlign w:val="bottom"/>
          </w:tcPr>
          <w:p w14:paraId="6C7E9125"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México</w:t>
            </w:r>
          </w:p>
        </w:tc>
        <w:tc>
          <w:tcPr>
            <w:tcW w:w="605" w:type="dxa"/>
            <w:tcBorders>
              <w:left w:val="single" w:sz="4" w:space="0" w:color="auto"/>
              <w:right w:val="single" w:sz="4" w:space="0" w:color="auto"/>
            </w:tcBorders>
          </w:tcPr>
          <w:p w14:paraId="4E932AD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-15 431</w:t>
            </w:r>
          </w:p>
        </w:tc>
        <w:tc>
          <w:tcPr>
            <w:tcW w:w="678" w:type="dxa"/>
            <w:tcBorders>
              <w:left w:val="single" w:sz="4" w:space="0" w:color="auto"/>
              <w:right w:val="single" w:sz="4" w:space="0" w:color="auto"/>
            </w:tcBorders>
          </w:tcPr>
          <w:p w14:paraId="7EDFFB7B"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-26 485</w:t>
            </w:r>
          </w:p>
        </w:tc>
        <w:tc>
          <w:tcPr>
            <w:tcW w:w="576" w:type="dxa"/>
            <w:tcBorders>
              <w:left w:val="single" w:sz="4" w:space="0" w:color="auto"/>
              <w:right w:val="single" w:sz="4" w:space="0" w:color="auto"/>
            </w:tcBorders>
          </w:tcPr>
          <w:p w14:paraId="71BF9B6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-23 161</w:t>
            </w:r>
          </w:p>
        </w:tc>
        <w:tc>
          <w:tcPr>
            <w:tcW w:w="567" w:type="dxa"/>
            <w:tcBorders>
              <w:left w:val="single" w:sz="4" w:space="0" w:color="auto"/>
              <w:right w:val="single" w:sz="4" w:space="0" w:color="auto"/>
            </w:tcBorders>
          </w:tcPr>
          <w:p w14:paraId="5EBA038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32 955</w:t>
            </w:r>
          </w:p>
        </w:tc>
        <w:tc>
          <w:tcPr>
            <w:tcW w:w="583" w:type="dxa"/>
            <w:tcBorders>
              <w:left w:val="single" w:sz="4" w:space="0" w:color="auto"/>
              <w:right w:val="single" w:sz="4" w:space="0" w:color="auto"/>
            </w:tcBorders>
          </w:tcPr>
          <w:p w14:paraId="2127348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44 274</w:t>
            </w:r>
          </w:p>
        </w:tc>
        <w:tc>
          <w:tcPr>
            <w:tcW w:w="563" w:type="dxa"/>
            <w:tcBorders>
              <w:left w:val="single" w:sz="4" w:space="0" w:color="auto"/>
              <w:right w:val="single" w:sz="4" w:space="0" w:color="auto"/>
            </w:tcBorders>
          </w:tcPr>
          <w:p w14:paraId="781705F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37 812</w:t>
            </w:r>
          </w:p>
        </w:tc>
        <w:tc>
          <w:tcPr>
            <w:tcW w:w="541" w:type="dxa"/>
            <w:tcBorders>
              <w:left w:val="single" w:sz="4" w:space="0" w:color="auto"/>
              <w:right w:val="single" w:sz="4" w:space="0" w:color="auto"/>
            </w:tcBorders>
          </w:tcPr>
          <w:p w14:paraId="264DD12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-4 339</w:t>
            </w:r>
          </w:p>
        </w:tc>
        <w:tc>
          <w:tcPr>
            <w:tcW w:w="534" w:type="dxa"/>
            <w:tcBorders>
              <w:left w:val="single" w:sz="4" w:space="0" w:color="auto"/>
              <w:right w:val="single" w:sz="4" w:space="0" w:color="auto"/>
            </w:tcBorders>
          </w:tcPr>
          <w:p w14:paraId="125D334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28 955</w:t>
            </w:r>
          </w:p>
        </w:tc>
        <w:tc>
          <w:tcPr>
            <w:tcW w:w="549" w:type="dxa"/>
            <w:tcBorders>
              <w:left w:val="single" w:sz="4" w:space="0" w:color="auto"/>
              <w:right w:val="single" w:sz="4" w:space="0" w:color="auto"/>
            </w:tcBorders>
          </w:tcPr>
          <w:p w14:paraId="1C845B5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9 310</w:t>
            </w:r>
          </w:p>
        </w:tc>
        <w:tc>
          <w:tcPr>
            <w:tcW w:w="624" w:type="dxa"/>
            <w:tcBorders>
              <w:left w:val="single" w:sz="4" w:space="0" w:color="auto"/>
              <w:right w:val="single" w:sz="4" w:space="0" w:color="auto"/>
            </w:tcBorders>
          </w:tcPr>
          <w:p w14:paraId="1CB210AC"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37 294</w:t>
            </w:r>
          </w:p>
        </w:tc>
        <w:tc>
          <w:tcPr>
            <w:tcW w:w="642" w:type="dxa"/>
            <w:tcBorders>
              <w:left w:val="single" w:sz="4" w:space="0" w:color="auto"/>
              <w:right w:val="single" w:sz="4" w:space="0" w:color="auto"/>
            </w:tcBorders>
          </w:tcPr>
          <w:p w14:paraId="7636630F"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15 318</w:t>
            </w:r>
          </w:p>
        </w:tc>
        <w:tc>
          <w:tcPr>
            <w:tcW w:w="551" w:type="dxa"/>
            <w:tcBorders>
              <w:left w:val="single" w:sz="4" w:space="0" w:color="auto"/>
              <w:right w:val="single" w:sz="4" w:space="0" w:color="auto"/>
            </w:tcBorders>
          </w:tcPr>
          <w:p w14:paraId="1F8328B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28 502</w:t>
            </w:r>
          </w:p>
        </w:tc>
        <w:tc>
          <w:tcPr>
            <w:tcW w:w="569" w:type="dxa"/>
            <w:tcBorders>
              <w:left w:val="single" w:sz="4" w:space="0" w:color="auto"/>
              <w:right w:val="single" w:sz="4" w:space="0" w:color="auto"/>
            </w:tcBorders>
          </w:tcPr>
          <w:p w14:paraId="05BDCE79"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-17 524</w:t>
            </w:r>
          </w:p>
        </w:tc>
        <w:tc>
          <w:tcPr>
            <w:tcW w:w="552" w:type="dxa"/>
            <w:tcBorders>
              <w:left w:val="single" w:sz="4" w:space="0" w:color="auto"/>
              <w:right w:val="single" w:sz="4" w:space="0" w:color="auto"/>
            </w:tcBorders>
          </w:tcPr>
          <w:p w14:paraId="5DA6B13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-17 789</w:t>
            </w:r>
          </w:p>
        </w:tc>
        <w:tc>
          <w:tcPr>
            <w:tcW w:w="529" w:type="dxa"/>
            <w:tcBorders>
              <w:left w:val="single" w:sz="4" w:space="0" w:color="auto"/>
              <w:right w:val="single" w:sz="4" w:space="0" w:color="auto"/>
            </w:tcBorders>
          </w:tcPr>
          <w:p w14:paraId="5EE8E90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-14 651</w:t>
            </w:r>
          </w:p>
        </w:tc>
      </w:tr>
      <w:tr w:rsidR="00CD5F12" w:rsidRPr="00CD5F12" w14:paraId="3819747E" w14:textId="77777777" w:rsidTr="00835D95">
        <w:trPr>
          <w:jc w:val="center"/>
        </w:trPr>
        <w:tc>
          <w:tcPr>
            <w:tcW w:w="1212" w:type="dxa"/>
            <w:tcBorders>
              <w:left w:val="single" w:sz="4" w:space="0" w:color="auto"/>
              <w:right w:val="single" w:sz="4" w:space="0" w:color="auto"/>
            </w:tcBorders>
            <w:vAlign w:val="bottom"/>
          </w:tcPr>
          <w:p w14:paraId="5ECE6C61"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Nicaragua</w:t>
            </w:r>
          </w:p>
        </w:tc>
        <w:tc>
          <w:tcPr>
            <w:tcW w:w="605" w:type="dxa"/>
            <w:tcBorders>
              <w:left w:val="single" w:sz="4" w:space="0" w:color="auto"/>
              <w:right w:val="single" w:sz="4" w:space="0" w:color="auto"/>
            </w:tcBorders>
          </w:tcPr>
          <w:p w14:paraId="3020B4B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-1 347</w:t>
            </w:r>
          </w:p>
        </w:tc>
        <w:tc>
          <w:tcPr>
            <w:tcW w:w="678" w:type="dxa"/>
            <w:tcBorders>
              <w:left w:val="single" w:sz="4" w:space="0" w:color="auto"/>
              <w:right w:val="single" w:sz="4" w:space="0" w:color="auto"/>
            </w:tcBorders>
          </w:tcPr>
          <w:p w14:paraId="71C24E8F"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-1 280</w:t>
            </w:r>
          </w:p>
        </w:tc>
        <w:tc>
          <w:tcPr>
            <w:tcW w:w="576" w:type="dxa"/>
            <w:tcBorders>
              <w:left w:val="single" w:sz="4" w:space="0" w:color="auto"/>
              <w:right w:val="single" w:sz="4" w:space="0" w:color="auto"/>
            </w:tcBorders>
          </w:tcPr>
          <w:p w14:paraId="464CC1F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-837</w:t>
            </w:r>
          </w:p>
        </w:tc>
        <w:tc>
          <w:tcPr>
            <w:tcW w:w="567" w:type="dxa"/>
            <w:tcBorders>
              <w:left w:val="single" w:sz="4" w:space="0" w:color="auto"/>
              <w:right w:val="single" w:sz="4" w:space="0" w:color="auto"/>
            </w:tcBorders>
          </w:tcPr>
          <w:p w14:paraId="09BA81B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1 332</w:t>
            </w:r>
          </w:p>
        </w:tc>
        <w:tc>
          <w:tcPr>
            <w:tcW w:w="583" w:type="dxa"/>
            <w:tcBorders>
              <w:left w:val="single" w:sz="4" w:space="0" w:color="auto"/>
              <w:right w:val="single" w:sz="4" w:space="0" w:color="auto"/>
            </w:tcBorders>
          </w:tcPr>
          <w:p w14:paraId="53101B6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1 375</w:t>
            </w:r>
          </w:p>
        </w:tc>
        <w:tc>
          <w:tcPr>
            <w:tcW w:w="563" w:type="dxa"/>
            <w:tcBorders>
              <w:left w:val="single" w:sz="4" w:space="0" w:color="auto"/>
              <w:right w:val="single" w:sz="4" w:space="0" w:color="auto"/>
            </w:tcBorders>
          </w:tcPr>
          <w:p w14:paraId="2BF8464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1 049</w:t>
            </w:r>
          </w:p>
        </w:tc>
        <w:tc>
          <w:tcPr>
            <w:tcW w:w="541" w:type="dxa"/>
            <w:tcBorders>
              <w:left w:val="single" w:sz="4" w:space="0" w:color="auto"/>
              <w:right w:val="single" w:sz="4" w:space="0" w:color="auto"/>
            </w:tcBorders>
          </w:tcPr>
          <w:p w14:paraId="6EAC5E3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761</w:t>
            </w:r>
          </w:p>
        </w:tc>
        <w:tc>
          <w:tcPr>
            <w:tcW w:w="534" w:type="dxa"/>
            <w:tcBorders>
              <w:left w:val="single" w:sz="4" w:space="0" w:color="auto"/>
              <w:right w:val="single" w:sz="4" w:space="0" w:color="auto"/>
            </w:tcBorders>
          </w:tcPr>
          <w:p w14:paraId="65A84B8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741</w:t>
            </w:r>
          </w:p>
        </w:tc>
        <w:tc>
          <w:tcPr>
            <w:tcW w:w="549" w:type="dxa"/>
            <w:tcBorders>
              <w:left w:val="single" w:sz="4" w:space="0" w:color="auto"/>
              <w:right w:val="single" w:sz="4" w:space="0" w:color="auto"/>
            </w:tcBorders>
          </w:tcPr>
          <w:p w14:paraId="0467A17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775</w:t>
            </w:r>
          </w:p>
        </w:tc>
        <w:tc>
          <w:tcPr>
            <w:tcW w:w="624" w:type="dxa"/>
            <w:tcBorders>
              <w:left w:val="single" w:sz="4" w:space="0" w:color="auto"/>
              <w:right w:val="single" w:sz="4" w:space="0" w:color="auto"/>
            </w:tcBorders>
          </w:tcPr>
          <w:p w14:paraId="16AA1704"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571</w:t>
            </w:r>
          </w:p>
        </w:tc>
        <w:tc>
          <w:tcPr>
            <w:tcW w:w="642" w:type="dxa"/>
            <w:tcBorders>
              <w:left w:val="single" w:sz="4" w:space="0" w:color="auto"/>
              <w:right w:val="single" w:sz="4" w:space="0" w:color="auto"/>
            </w:tcBorders>
          </w:tcPr>
          <w:p w14:paraId="1641C48E"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634</w:t>
            </w:r>
          </w:p>
        </w:tc>
        <w:tc>
          <w:tcPr>
            <w:tcW w:w="551" w:type="dxa"/>
            <w:tcBorders>
              <w:left w:val="single" w:sz="4" w:space="0" w:color="auto"/>
              <w:right w:val="single" w:sz="4" w:space="0" w:color="auto"/>
            </w:tcBorders>
          </w:tcPr>
          <w:p w14:paraId="741E35B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274</w:t>
            </w:r>
          </w:p>
        </w:tc>
        <w:tc>
          <w:tcPr>
            <w:tcW w:w="569" w:type="dxa"/>
            <w:tcBorders>
              <w:left w:val="single" w:sz="4" w:space="0" w:color="auto"/>
              <w:right w:val="single" w:sz="4" w:space="0" w:color="auto"/>
            </w:tcBorders>
          </w:tcPr>
          <w:p w14:paraId="46001EF9"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15</w:t>
            </w:r>
          </w:p>
        </w:tc>
        <w:tc>
          <w:tcPr>
            <w:tcW w:w="552" w:type="dxa"/>
            <w:tcBorders>
              <w:left w:val="single" w:sz="4" w:space="0" w:color="auto"/>
              <w:right w:val="single" w:sz="4" w:space="0" w:color="auto"/>
            </w:tcBorders>
          </w:tcPr>
          <w:p w14:paraId="0DB120C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-96</w:t>
            </w:r>
          </w:p>
        </w:tc>
        <w:tc>
          <w:tcPr>
            <w:tcW w:w="529" w:type="dxa"/>
            <w:tcBorders>
              <w:left w:val="single" w:sz="4" w:space="0" w:color="auto"/>
              <w:right w:val="single" w:sz="4" w:space="0" w:color="auto"/>
            </w:tcBorders>
          </w:tcPr>
          <w:p w14:paraId="5F4368D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-212</w:t>
            </w:r>
          </w:p>
        </w:tc>
      </w:tr>
      <w:tr w:rsidR="00CD5F12" w:rsidRPr="00CD5F12" w14:paraId="22AC1F50" w14:textId="77777777" w:rsidTr="00835D95">
        <w:trPr>
          <w:jc w:val="center"/>
        </w:trPr>
        <w:tc>
          <w:tcPr>
            <w:tcW w:w="1212" w:type="dxa"/>
            <w:tcBorders>
              <w:left w:val="single" w:sz="4" w:space="0" w:color="auto"/>
              <w:right w:val="single" w:sz="4" w:space="0" w:color="auto"/>
            </w:tcBorders>
            <w:vAlign w:val="bottom"/>
          </w:tcPr>
          <w:p w14:paraId="4396D9B1"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Panamá</w:t>
            </w:r>
          </w:p>
        </w:tc>
        <w:tc>
          <w:tcPr>
            <w:tcW w:w="605" w:type="dxa"/>
            <w:tcBorders>
              <w:left w:val="single" w:sz="4" w:space="0" w:color="auto"/>
              <w:right w:val="single" w:sz="4" w:space="0" w:color="auto"/>
            </w:tcBorders>
          </w:tcPr>
          <w:p w14:paraId="0D2A45E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-3 816</w:t>
            </w:r>
          </w:p>
        </w:tc>
        <w:tc>
          <w:tcPr>
            <w:tcW w:w="678" w:type="dxa"/>
            <w:tcBorders>
              <w:left w:val="single" w:sz="4" w:space="0" w:color="auto"/>
              <w:right w:val="single" w:sz="4" w:space="0" w:color="auto"/>
            </w:tcBorders>
          </w:tcPr>
          <w:p w14:paraId="29C95AC8"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-4 806</w:t>
            </w:r>
          </w:p>
        </w:tc>
        <w:tc>
          <w:tcPr>
            <w:tcW w:w="576" w:type="dxa"/>
            <w:tcBorders>
              <w:left w:val="single" w:sz="4" w:space="0" w:color="auto"/>
              <w:right w:val="single" w:sz="4" w:space="0" w:color="auto"/>
            </w:tcBorders>
          </w:tcPr>
          <w:p w14:paraId="2CAC81A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-4 138</w:t>
            </w:r>
          </w:p>
        </w:tc>
        <w:tc>
          <w:tcPr>
            <w:tcW w:w="567" w:type="dxa"/>
            <w:tcBorders>
              <w:left w:val="single" w:sz="4" w:space="0" w:color="auto"/>
              <w:right w:val="single" w:sz="4" w:space="0" w:color="auto"/>
            </w:tcBorders>
          </w:tcPr>
          <w:p w14:paraId="70F692B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3 841</w:t>
            </w:r>
          </w:p>
        </w:tc>
        <w:tc>
          <w:tcPr>
            <w:tcW w:w="583" w:type="dxa"/>
            <w:tcBorders>
              <w:left w:val="single" w:sz="4" w:space="0" w:color="auto"/>
              <w:right w:val="single" w:sz="4" w:space="0" w:color="auto"/>
            </w:tcBorders>
          </w:tcPr>
          <w:p w14:paraId="3E679FB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5 428</w:t>
            </w:r>
          </w:p>
        </w:tc>
        <w:tc>
          <w:tcPr>
            <w:tcW w:w="563" w:type="dxa"/>
            <w:tcBorders>
              <w:left w:val="single" w:sz="4" w:space="0" w:color="auto"/>
              <w:right w:val="single" w:sz="4" w:space="0" w:color="auto"/>
            </w:tcBorders>
          </w:tcPr>
          <w:p w14:paraId="2868227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4 821</w:t>
            </w:r>
          </w:p>
        </w:tc>
        <w:tc>
          <w:tcPr>
            <w:tcW w:w="541" w:type="dxa"/>
            <w:tcBorders>
              <w:left w:val="single" w:sz="4" w:space="0" w:color="auto"/>
              <w:right w:val="single" w:sz="4" w:space="0" w:color="auto"/>
            </w:tcBorders>
          </w:tcPr>
          <w:p w14:paraId="3DFE7B3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3 162</w:t>
            </w:r>
          </w:p>
        </w:tc>
        <w:tc>
          <w:tcPr>
            <w:tcW w:w="534" w:type="dxa"/>
            <w:tcBorders>
              <w:left w:val="single" w:sz="4" w:space="0" w:color="auto"/>
              <w:right w:val="single" w:sz="4" w:space="0" w:color="auto"/>
            </w:tcBorders>
          </w:tcPr>
          <w:p w14:paraId="66CA5E0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4 371</w:t>
            </w:r>
          </w:p>
        </w:tc>
        <w:tc>
          <w:tcPr>
            <w:tcW w:w="549" w:type="dxa"/>
            <w:tcBorders>
              <w:left w:val="single" w:sz="4" w:space="0" w:color="auto"/>
              <w:right w:val="single" w:sz="4" w:space="0" w:color="auto"/>
            </w:tcBorders>
          </w:tcPr>
          <w:p w14:paraId="7C85F2F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2 325</w:t>
            </w:r>
          </w:p>
        </w:tc>
        <w:tc>
          <w:tcPr>
            <w:tcW w:w="624" w:type="dxa"/>
            <w:tcBorders>
              <w:left w:val="single" w:sz="4" w:space="0" w:color="auto"/>
              <w:right w:val="single" w:sz="4" w:space="0" w:color="auto"/>
            </w:tcBorders>
          </w:tcPr>
          <w:p w14:paraId="39C7691E"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679</w:t>
            </w:r>
          </w:p>
        </w:tc>
        <w:tc>
          <w:tcPr>
            <w:tcW w:w="642" w:type="dxa"/>
            <w:tcBorders>
              <w:left w:val="single" w:sz="4" w:space="0" w:color="auto"/>
              <w:right w:val="single" w:sz="4" w:space="0" w:color="auto"/>
            </w:tcBorders>
          </w:tcPr>
          <w:p w14:paraId="321866F6"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1 058</w:t>
            </w:r>
          </w:p>
        </w:tc>
        <w:tc>
          <w:tcPr>
            <w:tcW w:w="551" w:type="dxa"/>
            <w:tcBorders>
              <w:left w:val="single" w:sz="4" w:space="0" w:color="auto"/>
              <w:right w:val="single" w:sz="4" w:space="0" w:color="auto"/>
            </w:tcBorders>
          </w:tcPr>
          <w:p w14:paraId="6D32B4A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2 496</w:t>
            </w:r>
          </w:p>
        </w:tc>
        <w:tc>
          <w:tcPr>
            <w:tcW w:w="569" w:type="dxa"/>
            <w:tcBorders>
              <w:left w:val="single" w:sz="4" w:space="0" w:color="auto"/>
              <w:right w:val="single" w:sz="4" w:space="0" w:color="auto"/>
            </w:tcBorders>
          </w:tcPr>
          <w:p w14:paraId="4D491082"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-24</w:t>
            </w:r>
          </w:p>
        </w:tc>
        <w:tc>
          <w:tcPr>
            <w:tcW w:w="552" w:type="dxa"/>
            <w:tcBorders>
              <w:left w:val="single" w:sz="4" w:space="0" w:color="auto"/>
              <w:right w:val="single" w:sz="4" w:space="0" w:color="auto"/>
            </w:tcBorders>
          </w:tcPr>
          <w:p w14:paraId="070B1AB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-622</w:t>
            </w:r>
          </w:p>
        </w:tc>
        <w:tc>
          <w:tcPr>
            <w:tcW w:w="529" w:type="dxa"/>
            <w:tcBorders>
              <w:left w:val="single" w:sz="4" w:space="0" w:color="auto"/>
              <w:right w:val="single" w:sz="4" w:space="0" w:color="auto"/>
            </w:tcBorders>
          </w:tcPr>
          <w:p w14:paraId="500D20B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-683</w:t>
            </w:r>
          </w:p>
        </w:tc>
      </w:tr>
      <w:tr w:rsidR="00CD5F12" w:rsidRPr="00CD5F12" w14:paraId="68CD725B" w14:textId="77777777" w:rsidTr="00835D95">
        <w:trPr>
          <w:jc w:val="center"/>
        </w:trPr>
        <w:tc>
          <w:tcPr>
            <w:tcW w:w="1212" w:type="dxa"/>
            <w:tcBorders>
              <w:left w:val="single" w:sz="4" w:space="0" w:color="auto"/>
              <w:right w:val="single" w:sz="4" w:space="0" w:color="auto"/>
            </w:tcBorders>
            <w:vAlign w:val="bottom"/>
          </w:tcPr>
          <w:p w14:paraId="403A00F3"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Paraguay</w:t>
            </w:r>
          </w:p>
        </w:tc>
        <w:tc>
          <w:tcPr>
            <w:tcW w:w="605" w:type="dxa"/>
            <w:tcBorders>
              <w:left w:val="single" w:sz="4" w:space="0" w:color="auto"/>
              <w:right w:val="single" w:sz="4" w:space="0" w:color="auto"/>
            </w:tcBorders>
          </w:tcPr>
          <w:p w14:paraId="0C434FA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-231</w:t>
            </w:r>
          </w:p>
        </w:tc>
        <w:tc>
          <w:tcPr>
            <w:tcW w:w="678" w:type="dxa"/>
            <w:tcBorders>
              <w:left w:val="single" w:sz="4" w:space="0" w:color="auto"/>
              <w:right w:val="single" w:sz="4" w:space="0" w:color="auto"/>
            </w:tcBorders>
          </w:tcPr>
          <w:p w14:paraId="0D53B0A8"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621</w:t>
            </w:r>
          </w:p>
        </w:tc>
        <w:tc>
          <w:tcPr>
            <w:tcW w:w="576" w:type="dxa"/>
            <w:tcBorders>
              <w:left w:val="single" w:sz="4" w:space="0" w:color="auto"/>
              <w:right w:val="single" w:sz="4" w:space="0" w:color="auto"/>
            </w:tcBorders>
          </w:tcPr>
          <w:p w14:paraId="5EACE19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1 334</w:t>
            </w:r>
          </w:p>
        </w:tc>
        <w:tc>
          <w:tcPr>
            <w:tcW w:w="567" w:type="dxa"/>
            <w:tcBorders>
              <w:left w:val="single" w:sz="4" w:space="0" w:color="auto"/>
              <w:right w:val="single" w:sz="4" w:space="0" w:color="auto"/>
            </w:tcBorders>
          </w:tcPr>
          <w:p w14:paraId="29573F6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207</w:t>
            </w:r>
          </w:p>
        </w:tc>
        <w:tc>
          <w:tcPr>
            <w:tcW w:w="583" w:type="dxa"/>
            <w:tcBorders>
              <w:left w:val="single" w:sz="4" w:space="0" w:color="auto"/>
              <w:right w:val="single" w:sz="4" w:space="0" w:color="auto"/>
            </w:tcBorders>
          </w:tcPr>
          <w:p w14:paraId="13288C0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415</w:t>
            </w:r>
          </w:p>
        </w:tc>
        <w:tc>
          <w:tcPr>
            <w:tcW w:w="563" w:type="dxa"/>
            <w:tcBorders>
              <w:left w:val="single" w:sz="4" w:space="0" w:color="auto"/>
              <w:right w:val="single" w:sz="4" w:space="0" w:color="auto"/>
            </w:tcBorders>
          </w:tcPr>
          <w:p w14:paraId="15904C5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-187</w:t>
            </w:r>
          </w:p>
        </w:tc>
        <w:tc>
          <w:tcPr>
            <w:tcW w:w="541" w:type="dxa"/>
            <w:tcBorders>
              <w:left w:val="single" w:sz="4" w:space="0" w:color="auto"/>
              <w:right w:val="single" w:sz="4" w:space="0" w:color="auto"/>
            </w:tcBorders>
          </w:tcPr>
          <w:p w14:paraId="5BCEA6F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480</w:t>
            </w:r>
          </w:p>
        </w:tc>
        <w:tc>
          <w:tcPr>
            <w:tcW w:w="534" w:type="dxa"/>
            <w:tcBorders>
              <w:left w:val="single" w:sz="4" w:space="0" w:color="auto"/>
              <w:right w:val="single" w:sz="4" w:space="0" w:color="auto"/>
            </w:tcBorders>
          </w:tcPr>
          <w:p w14:paraId="21E80C0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382</w:t>
            </w:r>
          </w:p>
        </w:tc>
        <w:tc>
          <w:tcPr>
            <w:tcW w:w="549" w:type="dxa"/>
            <w:tcBorders>
              <w:left w:val="single" w:sz="4" w:space="0" w:color="auto"/>
              <w:right w:val="single" w:sz="4" w:space="0" w:color="auto"/>
            </w:tcBorders>
          </w:tcPr>
          <w:p w14:paraId="5E22282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670</w:t>
            </w:r>
          </w:p>
        </w:tc>
        <w:tc>
          <w:tcPr>
            <w:tcW w:w="624" w:type="dxa"/>
            <w:tcBorders>
              <w:left w:val="single" w:sz="4" w:space="0" w:color="auto"/>
              <w:right w:val="single" w:sz="4" w:space="0" w:color="auto"/>
            </w:tcBorders>
          </w:tcPr>
          <w:p w14:paraId="5F6B6889"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-272</w:t>
            </w:r>
          </w:p>
        </w:tc>
        <w:tc>
          <w:tcPr>
            <w:tcW w:w="642" w:type="dxa"/>
            <w:tcBorders>
              <w:left w:val="single" w:sz="4" w:space="0" w:color="auto"/>
              <w:right w:val="single" w:sz="4" w:space="0" w:color="auto"/>
            </w:tcBorders>
          </w:tcPr>
          <w:p w14:paraId="36964017"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33</w:t>
            </w:r>
          </w:p>
        </w:tc>
        <w:tc>
          <w:tcPr>
            <w:tcW w:w="551" w:type="dxa"/>
            <w:tcBorders>
              <w:left w:val="single" w:sz="4" w:space="0" w:color="auto"/>
              <w:right w:val="single" w:sz="4" w:space="0" w:color="auto"/>
            </w:tcBorders>
          </w:tcPr>
          <w:p w14:paraId="3D25708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-857</w:t>
            </w:r>
          </w:p>
        </w:tc>
        <w:tc>
          <w:tcPr>
            <w:tcW w:w="569" w:type="dxa"/>
            <w:tcBorders>
              <w:left w:val="single" w:sz="4" w:space="0" w:color="auto"/>
              <w:right w:val="single" w:sz="4" w:space="0" w:color="auto"/>
            </w:tcBorders>
          </w:tcPr>
          <w:p w14:paraId="605B7B8E"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24</w:t>
            </w:r>
          </w:p>
        </w:tc>
        <w:tc>
          <w:tcPr>
            <w:tcW w:w="552" w:type="dxa"/>
            <w:tcBorders>
              <w:left w:val="single" w:sz="4" w:space="0" w:color="auto"/>
              <w:right w:val="single" w:sz="4" w:space="0" w:color="auto"/>
            </w:tcBorders>
          </w:tcPr>
          <w:p w14:paraId="309FE87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-1 036</w:t>
            </w:r>
          </w:p>
        </w:tc>
        <w:tc>
          <w:tcPr>
            <w:tcW w:w="529" w:type="dxa"/>
            <w:tcBorders>
              <w:left w:val="single" w:sz="4" w:space="0" w:color="auto"/>
              <w:right w:val="single" w:sz="4" w:space="0" w:color="auto"/>
            </w:tcBorders>
          </w:tcPr>
          <w:p w14:paraId="01A66DC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-1 147</w:t>
            </w:r>
          </w:p>
        </w:tc>
      </w:tr>
      <w:tr w:rsidR="00CD5F12" w:rsidRPr="00CD5F12" w14:paraId="7F0ED686" w14:textId="77777777" w:rsidTr="00835D95">
        <w:trPr>
          <w:jc w:val="center"/>
        </w:trPr>
        <w:tc>
          <w:tcPr>
            <w:tcW w:w="1212" w:type="dxa"/>
            <w:tcBorders>
              <w:left w:val="single" w:sz="4" w:space="0" w:color="auto"/>
              <w:right w:val="single" w:sz="4" w:space="0" w:color="auto"/>
            </w:tcBorders>
            <w:vAlign w:val="bottom"/>
          </w:tcPr>
          <w:p w14:paraId="2CA906D2"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Perú</w:t>
            </w:r>
          </w:p>
        </w:tc>
        <w:tc>
          <w:tcPr>
            <w:tcW w:w="605" w:type="dxa"/>
            <w:tcBorders>
              <w:left w:val="single" w:sz="4" w:space="0" w:color="auto"/>
              <w:right w:val="single" w:sz="4" w:space="0" w:color="auto"/>
            </w:tcBorders>
          </w:tcPr>
          <w:p w14:paraId="6B776B9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-6 281</w:t>
            </w:r>
          </w:p>
        </w:tc>
        <w:tc>
          <w:tcPr>
            <w:tcW w:w="678" w:type="dxa"/>
            <w:tcBorders>
              <w:left w:val="single" w:sz="4" w:space="0" w:color="auto"/>
              <w:right w:val="single" w:sz="4" w:space="0" w:color="auto"/>
            </w:tcBorders>
          </w:tcPr>
          <w:p w14:paraId="5F67A718"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-9 126</w:t>
            </w:r>
          </w:p>
        </w:tc>
        <w:tc>
          <w:tcPr>
            <w:tcW w:w="576" w:type="dxa"/>
            <w:tcBorders>
              <w:left w:val="single" w:sz="4" w:space="0" w:color="auto"/>
              <w:right w:val="single" w:sz="4" w:space="0" w:color="auto"/>
            </w:tcBorders>
          </w:tcPr>
          <w:p w14:paraId="26822DB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-12 401</w:t>
            </w:r>
          </w:p>
        </w:tc>
        <w:tc>
          <w:tcPr>
            <w:tcW w:w="567" w:type="dxa"/>
            <w:tcBorders>
              <w:left w:val="single" w:sz="4" w:space="0" w:color="auto"/>
              <w:right w:val="single" w:sz="4" w:space="0" w:color="auto"/>
            </w:tcBorders>
          </w:tcPr>
          <w:p w14:paraId="6B21ACA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21 069</w:t>
            </w:r>
          </w:p>
        </w:tc>
        <w:tc>
          <w:tcPr>
            <w:tcW w:w="583" w:type="dxa"/>
            <w:tcBorders>
              <w:left w:val="single" w:sz="4" w:space="0" w:color="auto"/>
              <w:right w:val="single" w:sz="4" w:space="0" w:color="auto"/>
            </w:tcBorders>
          </w:tcPr>
          <w:p w14:paraId="05EAAD8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12 028</w:t>
            </w:r>
          </w:p>
        </w:tc>
        <w:tc>
          <w:tcPr>
            <w:tcW w:w="563" w:type="dxa"/>
            <w:tcBorders>
              <w:left w:val="single" w:sz="4" w:space="0" w:color="auto"/>
              <w:right w:val="single" w:sz="4" w:space="0" w:color="auto"/>
            </w:tcBorders>
          </w:tcPr>
          <w:p w14:paraId="1710334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9 896</w:t>
            </w:r>
          </w:p>
        </w:tc>
        <w:tc>
          <w:tcPr>
            <w:tcW w:w="541" w:type="dxa"/>
            <w:tcBorders>
              <w:left w:val="single" w:sz="4" w:space="0" w:color="auto"/>
              <w:right w:val="single" w:sz="4" w:space="0" w:color="auto"/>
            </w:tcBorders>
          </w:tcPr>
          <w:p w14:paraId="638B910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11 840</w:t>
            </w:r>
          </w:p>
        </w:tc>
        <w:tc>
          <w:tcPr>
            <w:tcW w:w="534" w:type="dxa"/>
            <w:tcBorders>
              <w:left w:val="single" w:sz="4" w:space="0" w:color="auto"/>
              <w:right w:val="single" w:sz="4" w:space="0" w:color="auto"/>
            </w:tcBorders>
          </w:tcPr>
          <w:p w14:paraId="7C47341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9 161</w:t>
            </w:r>
          </w:p>
        </w:tc>
        <w:tc>
          <w:tcPr>
            <w:tcW w:w="549" w:type="dxa"/>
            <w:tcBorders>
              <w:left w:val="single" w:sz="4" w:space="0" w:color="auto"/>
              <w:right w:val="single" w:sz="4" w:space="0" w:color="auto"/>
            </w:tcBorders>
          </w:tcPr>
          <w:p w14:paraId="52A58CC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6 860</w:t>
            </w:r>
          </w:p>
        </w:tc>
        <w:tc>
          <w:tcPr>
            <w:tcW w:w="624" w:type="dxa"/>
            <w:tcBorders>
              <w:left w:val="single" w:sz="4" w:space="0" w:color="auto"/>
              <w:right w:val="single" w:sz="4" w:space="0" w:color="auto"/>
            </w:tcBorders>
          </w:tcPr>
          <w:p w14:paraId="34167A0C"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9 229</w:t>
            </w:r>
          </w:p>
        </w:tc>
        <w:tc>
          <w:tcPr>
            <w:tcW w:w="642" w:type="dxa"/>
            <w:tcBorders>
              <w:left w:val="single" w:sz="4" w:space="0" w:color="auto"/>
              <w:right w:val="single" w:sz="4" w:space="0" w:color="auto"/>
            </w:tcBorders>
          </w:tcPr>
          <w:p w14:paraId="5D54EA56"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2 867</w:t>
            </w:r>
          </w:p>
        </w:tc>
        <w:tc>
          <w:tcPr>
            <w:tcW w:w="551" w:type="dxa"/>
            <w:tcBorders>
              <w:left w:val="single" w:sz="4" w:space="0" w:color="auto"/>
              <w:right w:val="single" w:sz="4" w:space="0" w:color="auto"/>
            </w:tcBorders>
          </w:tcPr>
          <w:p w14:paraId="1DAEC62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3 036</w:t>
            </w:r>
          </w:p>
        </w:tc>
        <w:tc>
          <w:tcPr>
            <w:tcW w:w="569" w:type="dxa"/>
            <w:tcBorders>
              <w:left w:val="single" w:sz="4" w:space="0" w:color="auto"/>
              <w:right w:val="single" w:sz="4" w:space="0" w:color="auto"/>
            </w:tcBorders>
          </w:tcPr>
          <w:p w14:paraId="54F38E25"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-14 788</w:t>
            </w:r>
          </w:p>
        </w:tc>
        <w:tc>
          <w:tcPr>
            <w:tcW w:w="552" w:type="dxa"/>
            <w:tcBorders>
              <w:left w:val="single" w:sz="4" w:space="0" w:color="auto"/>
              <w:right w:val="single" w:sz="4" w:space="0" w:color="auto"/>
            </w:tcBorders>
          </w:tcPr>
          <w:p w14:paraId="1EA0F716"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-2 902</w:t>
            </w:r>
          </w:p>
        </w:tc>
        <w:tc>
          <w:tcPr>
            <w:tcW w:w="529" w:type="dxa"/>
            <w:tcBorders>
              <w:left w:val="single" w:sz="4" w:space="0" w:color="auto"/>
              <w:right w:val="single" w:sz="4" w:space="0" w:color="auto"/>
            </w:tcBorders>
          </w:tcPr>
          <w:p w14:paraId="2033D21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2 505</w:t>
            </w:r>
          </w:p>
        </w:tc>
      </w:tr>
      <w:tr w:rsidR="00CD5F12" w:rsidRPr="00CD5F12" w14:paraId="27468F66" w14:textId="77777777" w:rsidTr="00835D95">
        <w:trPr>
          <w:jc w:val="center"/>
        </w:trPr>
        <w:tc>
          <w:tcPr>
            <w:tcW w:w="1212" w:type="dxa"/>
            <w:tcBorders>
              <w:left w:val="single" w:sz="4" w:space="0" w:color="auto"/>
              <w:right w:val="single" w:sz="4" w:space="0" w:color="auto"/>
            </w:tcBorders>
            <w:vAlign w:val="bottom"/>
          </w:tcPr>
          <w:p w14:paraId="7748D8A6"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República Dominicana</w:t>
            </w:r>
          </w:p>
        </w:tc>
        <w:tc>
          <w:tcPr>
            <w:tcW w:w="605" w:type="dxa"/>
            <w:tcBorders>
              <w:left w:val="single" w:sz="4" w:space="0" w:color="auto"/>
              <w:right w:val="single" w:sz="4" w:space="0" w:color="auto"/>
            </w:tcBorders>
          </w:tcPr>
          <w:p w14:paraId="40AC4FD1"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-4 224</w:t>
            </w:r>
          </w:p>
        </w:tc>
        <w:tc>
          <w:tcPr>
            <w:tcW w:w="678" w:type="dxa"/>
            <w:tcBorders>
              <w:left w:val="single" w:sz="4" w:space="0" w:color="auto"/>
              <w:right w:val="single" w:sz="4" w:space="0" w:color="auto"/>
            </w:tcBorders>
          </w:tcPr>
          <w:p w14:paraId="2D7ED3FA"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-2 467</w:t>
            </w:r>
          </w:p>
        </w:tc>
        <w:tc>
          <w:tcPr>
            <w:tcW w:w="576" w:type="dxa"/>
            <w:tcBorders>
              <w:left w:val="single" w:sz="4" w:space="0" w:color="auto"/>
              <w:right w:val="single" w:sz="4" w:space="0" w:color="auto"/>
            </w:tcBorders>
          </w:tcPr>
          <w:p w14:paraId="7596E97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-1 592</w:t>
            </w:r>
          </w:p>
        </w:tc>
        <w:tc>
          <w:tcPr>
            <w:tcW w:w="567" w:type="dxa"/>
            <w:tcBorders>
              <w:left w:val="single" w:sz="4" w:space="0" w:color="auto"/>
              <w:right w:val="single" w:sz="4" w:space="0" w:color="auto"/>
            </w:tcBorders>
          </w:tcPr>
          <w:p w14:paraId="3988988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3 784</w:t>
            </w:r>
          </w:p>
        </w:tc>
        <w:tc>
          <w:tcPr>
            <w:tcW w:w="583" w:type="dxa"/>
            <w:tcBorders>
              <w:left w:val="single" w:sz="4" w:space="0" w:color="auto"/>
              <w:right w:val="single" w:sz="4" w:space="0" w:color="auto"/>
            </w:tcBorders>
          </w:tcPr>
          <w:p w14:paraId="484F984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3 807</w:t>
            </w:r>
          </w:p>
        </w:tc>
        <w:tc>
          <w:tcPr>
            <w:tcW w:w="563" w:type="dxa"/>
            <w:tcBorders>
              <w:left w:val="single" w:sz="4" w:space="0" w:color="auto"/>
              <w:right w:val="single" w:sz="4" w:space="0" w:color="auto"/>
            </w:tcBorders>
          </w:tcPr>
          <w:p w14:paraId="3092C37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1 698</w:t>
            </w:r>
          </w:p>
        </w:tc>
        <w:tc>
          <w:tcPr>
            <w:tcW w:w="541" w:type="dxa"/>
            <w:tcBorders>
              <w:left w:val="single" w:sz="4" w:space="0" w:color="auto"/>
              <w:right w:val="single" w:sz="4" w:space="0" w:color="auto"/>
            </w:tcBorders>
          </w:tcPr>
          <w:p w14:paraId="0960E7D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3 142</w:t>
            </w:r>
          </w:p>
        </w:tc>
        <w:tc>
          <w:tcPr>
            <w:tcW w:w="534" w:type="dxa"/>
            <w:tcBorders>
              <w:left w:val="single" w:sz="4" w:space="0" w:color="auto"/>
              <w:right w:val="single" w:sz="4" w:space="0" w:color="auto"/>
            </w:tcBorders>
          </w:tcPr>
          <w:p w14:paraId="65AA435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1 990</w:t>
            </w:r>
          </w:p>
        </w:tc>
        <w:tc>
          <w:tcPr>
            <w:tcW w:w="549" w:type="dxa"/>
            <w:tcBorders>
              <w:left w:val="single" w:sz="4" w:space="0" w:color="auto"/>
              <w:right w:val="single" w:sz="4" w:space="0" w:color="auto"/>
            </w:tcBorders>
          </w:tcPr>
          <w:p w14:paraId="4FE681ED"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1 920</w:t>
            </w:r>
          </w:p>
        </w:tc>
        <w:tc>
          <w:tcPr>
            <w:tcW w:w="624" w:type="dxa"/>
            <w:tcBorders>
              <w:left w:val="single" w:sz="4" w:space="0" w:color="auto"/>
              <w:right w:val="single" w:sz="4" w:space="0" w:color="auto"/>
            </w:tcBorders>
          </w:tcPr>
          <w:p w14:paraId="59133DB5"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642</w:t>
            </w:r>
          </w:p>
        </w:tc>
        <w:tc>
          <w:tcPr>
            <w:tcW w:w="642" w:type="dxa"/>
            <w:tcBorders>
              <w:left w:val="single" w:sz="4" w:space="0" w:color="auto"/>
              <w:right w:val="single" w:sz="4" w:space="0" w:color="auto"/>
            </w:tcBorders>
          </w:tcPr>
          <w:p w14:paraId="52333613"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1 817</w:t>
            </w:r>
          </w:p>
        </w:tc>
        <w:tc>
          <w:tcPr>
            <w:tcW w:w="551" w:type="dxa"/>
            <w:tcBorders>
              <w:left w:val="single" w:sz="4" w:space="0" w:color="auto"/>
              <w:right w:val="single" w:sz="4" w:space="0" w:color="auto"/>
            </w:tcBorders>
          </w:tcPr>
          <w:p w14:paraId="11AE514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-222</w:t>
            </w:r>
          </w:p>
        </w:tc>
        <w:tc>
          <w:tcPr>
            <w:tcW w:w="569" w:type="dxa"/>
            <w:tcBorders>
              <w:left w:val="single" w:sz="4" w:space="0" w:color="auto"/>
              <w:right w:val="single" w:sz="4" w:space="0" w:color="auto"/>
            </w:tcBorders>
          </w:tcPr>
          <w:p w14:paraId="677079CA"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440</w:t>
            </w:r>
          </w:p>
        </w:tc>
        <w:tc>
          <w:tcPr>
            <w:tcW w:w="552" w:type="dxa"/>
            <w:tcBorders>
              <w:left w:val="single" w:sz="4" w:space="0" w:color="auto"/>
              <w:right w:val="single" w:sz="4" w:space="0" w:color="auto"/>
            </w:tcBorders>
          </w:tcPr>
          <w:p w14:paraId="60FD1D4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-1 340</w:t>
            </w:r>
          </w:p>
        </w:tc>
        <w:tc>
          <w:tcPr>
            <w:tcW w:w="529" w:type="dxa"/>
            <w:tcBorders>
              <w:left w:val="single" w:sz="4" w:space="0" w:color="auto"/>
              <w:right w:val="single" w:sz="4" w:space="0" w:color="auto"/>
            </w:tcBorders>
          </w:tcPr>
          <w:p w14:paraId="695970B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-106</w:t>
            </w:r>
          </w:p>
        </w:tc>
      </w:tr>
      <w:tr w:rsidR="00CD5F12" w:rsidRPr="00CD5F12" w14:paraId="68480976" w14:textId="77777777" w:rsidTr="00835D95">
        <w:trPr>
          <w:jc w:val="center"/>
        </w:trPr>
        <w:tc>
          <w:tcPr>
            <w:tcW w:w="1212" w:type="dxa"/>
            <w:tcBorders>
              <w:left w:val="single" w:sz="4" w:space="0" w:color="auto"/>
              <w:right w:val="single" w:sz="4" w:space="0" w:color="auto"/>
            </w:tcBorders>
            <w:vAlign w:val="bottom"/>
          </w:tcPr>
          <w:p w14:paraId="58F8113F"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Uruguay</w:t>
            </w:r>
          </w:p>
        </w:tc>
        <w:tc>
          <w:tcPr>
            <w:tcW w:w="605" w:type="dxa"/>
            <w:tcBorders>
              <w:left w:val="single" w:sz="4" w:space="0" w:color="auto"/>
              <w:right w:val="single" w:sz="4" w:space="0" w:color="auto"/>
            </w:tcBorders>
          </w:tcPr>
          <w:p w14:paraId="3FBA8BE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-2 706</w:t>
            </w:r>
          </w:p>
        </w:tc>
        <w:tc>
          <w:tcPr>
            <w:tcW w:w="678" w:type="dxa"/>
            <w:tcBorders>
              <w:left w:val="single" w:sz="4" w:space="0" w:color="auto"/>
              <w:right w:val="single" w:sz="4" w:space="0" w:color="auto"/>
            </w:tcBorders>
          </w:tcPr>
          <w:p w14:paraId="72952973"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-3 006</w:t>
            </w:r>
          </w:p>
        </w:tc>
        <w:tc>
          <w:tcPr>
            <w:tcW w:w="576" w:type="dxa"/>
            <w:tcBorders>
              <w:left w:val="single" w:sz="4" w:space="0" w:color="auto"/>
              <w:right w:val="single" w:sz="4" w:space="0" w:color="auto"/>
            </w:tcBorders>
          </w:tcPr>
          <w:p w14:paraId="5F64248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-2 728</w:t>
            </w:r>
          </w:p>
        </w:tc>
        <w:tc>
          <w:tcPr>
            <w:tcW w:w="567" w:type="dxa"/>
            <w:tcBorders>
              <w:left w:val="single" w:sz="4" w:space="0" w:color="auto"/>
              <w:right w:val="single" w:sz="4" w:space="0" w:color="auto"/>
            </w:tcBorders>
          </w:tcPr>
          <w:p w14:paraId="1FD928E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5 993</w:t>
            </w:r>
          </w:p>
        </w:tc>
        <w:tc>
          <w:tcPr>
            <w:tcW w:w="583" w:type="dxa"/>
            <w:tcBorders>
              <w:left w:val="single" w:sz="4" w:space="0" w:color="auto"/>
              <w:right w:val="single" w:sz="4" w:space="0" w:color="auto"/>
            </w:tcBorders>
          </w:tcPr>
          <w:p w14:paraId="6903F18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5 951</w:t>
            </w:r>
          </w:p>
        </w:tc>
        <w:tc>
          <w:tcPr>
            <w:tcW w:w="563" w:type="dxa"/>
            <w:tcBorders>
              <w:left w:val="single" w:sz="4" w:space="0" w:color="auto"/>
              <w:right w:val="single" w:sz="4" w:space="0" w:color="auto"/>
            </w:tcBorders>
          </w:tcPr>
          <w:p w14:paraId="575685D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4 245</w:t>
            </w:r>
          </w:p>
        </w:tc>
        <w:tc>
          <w:tcPr>
            <w:tcW w:w="541" w:type="dxa"/>
            <w:tcBorders>
              <w:left w:val="single" w:sz="4" w:space="0" w:color="auto"/>
              <w:right w:val="single" w:sz="4" w:space="0" w:color="auto"/>
            </w:tcBorders>
          </w:tcPr>
          <w:p w14:paraId="2D58635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2 689</w:t>
            </w:r>
          </w:p>
        </w:tc>
        <w:tc>
          <w:tcPr>
            <w:tcW w:w="534" w:type="dxa"/>
            <w:tcBorders>
              <w:left w:val="single" w:sz="4" w:space="0" w:color="auto"/>
              <w:right w:val="single" w:sz="4" w:space="0" w:color="auto"/>
            </w:tcBorders>
          </w:tcPr>
          <w:p w14:paraId="32E8C8B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2 769</w:t>
            </w:r>
          </w:p>
        </w:tc>
        <w:tc>
          <w:tcPr>
            <w:tcW w:w="549" w:type="dxa"/>
            <w:tcBorders>
              <w:left w:val="single" w:sz="4" w:space="0" w:color="auto"/>
              <w:right w:val="single" w:sz="4" w:space="0" w:color="auto"/>
            </w:tcBorders>
          </w:tcPr>
          <w:p w14:paraId="2768FDD5"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3 000</w:t>
            </w:r>
          </w:p>
        </w:tc>
        <w:tc>
          <w:tcPr>
            <w:tcW w:w="624" w:type="dxa"/>
            <w:tcBorders>
              <w:left w:val="single" w:sz="4" w:space="0" w:color="auto"/>
              <w:right w:val="single" w:sz="4" w:space="0" w:color="auto"/>
            </w:tcBorders>
          </w:tcPr>
          <w:p w14:paraId="01DE96B2"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3 304</w:t>
            </w:r>
          </w:p>
        </w:tc>
        <w:tc>
          <w:tcPr>
            <w:tcW w:w="642" w:type="dxa"/>
            <w:tcBorders>
              <w:left w:val="single" w:sz="4" w:space="0" w:color="auto"/>
              <w:right w:val="single" w:sz="4" w:space="0" w:color="auto"/>
            </w:tcBorders>
          </w:tcPr>
          <w:p w14:paraId="5347D4A0"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3 181</w:t>
            </w:r>
          </w:p>
        </w:tc>
        <w:tc>
          <w:tcPr>
            <w:tcW w:w="551" w:type="dxa"/>
            <w:tcBorders>
              <w:left w:val="single" w:sz="4" w:space="0" w:color="auto"/>
              <w:right w:val="single" w:sz="4" w:space="0" w:color="auto"/>
            </w:tcBorders>
          </w:tcPr>
          <w:p w14:paraId="05B4CD2E"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1 246</w:t>
            </w:r>
          </w:p>
        </w:tc>
        <w:tc>
          <w:tcPr>
            <w:tcW w:w="569" w:type="dxa"/>
            <w:tcBorders>
              <w:left w:val="single" w:sz="4" w:space="0" w:color="auto"/>
              <w:right w:val="single" w:sz="4" w:space="0" w:color="auto"/>
            </w:tcBorders>
          </w:tcPr>
          <w:p w14:paraId="04301A08"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-3 287</w:t>
            </w:r>
          </w:p>
        </w:tc>
        <w:tc>
          <w:tcPr>
            <w:tcW w:w="552" w:type="dxa"/>
            <w:tcBorders>
              <w:left w:val="single" w:sz="4" w:space="0" w:color="auto"/>
              <w:right w:val="single" w:sz="4" w:space="0" w:color="auto"/>
            </w:tcBorders>
          </w:tcPr>
          <w:p w14:paraId="446360D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-2 945</w:t>
            </w:r>
          </w:p>
        </w:tc>
        <w:tc>
          <w:tcPr>
            <w:tcW w:w="529" w:type="dxa"/>
            <w:tcBorders>
              <w:left w:val="single" w:sz="4" w:space="0" w:color="auto"/>
              <w:right w:val="single" w:sz="4" w:space="0" w:color="auto"/>
            </w:tcBorders>
          </w:tcPr>
          <w:p w14:paraId="33874AA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-1 517</w:t>
            </w:r>
          </w:p>
        </w:tc>
      </w:tr>
      <w:tr w:rsidR="00CD5F12" w:rsidRPr="00CD5F12" w14:paraId="0E07C726" w14:textId="77777777" w:rsidTr="00835D95">
        <w:trPr>
          <w:jc w:val="center"/>
        </w:trPr>
        <w:tc>
          <w:tcPr>
            <w:tcW w:w="1212" w:type="dxa"/>
            <w:tcBorders>
              <w:left w:val="single" w:sz="4" w:space="0" w:color="auto"/>
              <w:right w:val="single" w:sz="4" w:space="0" w:color="auto"/>
            </w:tcBorders>
            <w:vAlign w:val="bottom"/>
          </w:tcPr>
          <w:p w14:paraId="2E9FEC6E"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Venezuela (República Bolivariana de)</w:t>
            </w:r>
          </w:p>
        </w:tc>
        <w:tc>
          <w:tcPr>
            <w:tcW w:w="605" w:type="dxa"/>
            <w:tcBorders>
              <w:left w:val="single" w:sz="4" w:space="0" w:color="auto"/>
              <w:right w:val="single" w:sz="4" w:space="0" w:color="auto"/>
            </w:tcBorders>
          </w:tcPr>
          <w:p w14:paraId="483DF56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11 016</w:t>
            </w:r>
          </w:p>
        </w:tc>
        <w:tc>
          <w:tcPr>
            <w:tcW w:w="678" w:type="dxa"/>
            <w:tcBorders>
              <w:left w:val="single" w:sz="4" w:space="0" w:color="auto"/>
              <w:right w:val="single" w:sz="4" w:space="0" w:color="auto"/>
            </w:tcBorders>
          </w:tcPr>
          <w:p w14:paraId="0BFC482A"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8 000</w:t>
            </w:r>
          </w:p>
        </w:tc>
        <w:tc>
          <w:tcPr>
            <w:tcW w:w="576" w:type="dxa"/>
            <w:tcBorders>
              <w:left w:val="single" w:sz="4" w:space="0" w:color="auto"/>
              <w:right w:val="single" w:sz="4" w:space="0" w:color="auto"/>
            </w:tcBorders>
          </w:tcPr>
          <w:p w14:paraId="68691B44"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15 540</w:t>
            </w:r>
          </w:p>
        </w:tc>
        <w:tc>
          <w:tcPr>
            <w:tcW w:w="567" w:type="dxa"/>
            <w:tcBorders>
              <w:left w:val="single" w:sz="4" w:space="0" w:color="auto"/>
              <w:right w:val="single" w:sz="4" w:space="0" w:color="auto"/>
            </w:tcBorders>
          </w:tcPr>
          <w:p w14:paraId="2347FFC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-12 012</w:t>
            </w:r>
          </w:p>
        </w:tc>
        <w:tc>
          <w:tcPr>
            <w:tcW w:w="583" w:type="dxa"/>
            <w:tcBorders>
              <w:left w:val="single" w:sz="4" w:space="0" w:color="auto"/>
              <w:right w:val="single" w:sz="4" w:space="0" w:color="auto"/>
            </w:tcBorders>
          </w:tcPr>
          <w:p w14:paraId="1C2B793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-13 000</w:t>
            </w:r>
          </w:p>
        </w:tc>
        <w:tc>
          <w:tcPr>
            <w:tcW w:w="563" w:type="dxa"/>
            <w:tcBorders>
              <w:left w:val="single" w:sz="4" w:space="0" w:color="auto"/>
              <w:right w:val="single" w:sz="4" w:space="0" w:color="auto"/>
            </w:tcBorders>
          </w:tcPr>
          <w:p w14:paraId="4AD5EE4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-16 667</w:t>
            </w:r>
          </w:p>
        </w:tc>
        <w:tc>
          <w:tcPr>
            <w:tcW w:w="541" w:type="dxa"/>
            <w:tcBorders>
              <w:left w:val="single" w:sz="4" w:space="0" w:color="auto"/>
              <w:right w:val="single" w:sz="4" w:space="0" w:color="auto"/>
            </w:tcBorders>
          </w:tcPr>
          <w:p w14:paraId="0C21DABB"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756</w:t>
            </w:r>
          </w:p>
        </w:tc>
        <w:tc>
          <w:tcPr>
            <w:tcW w:w="534" w:type="dxa"/>
            <w:tcBorders>
              <w:left w:val="single" w:sz="4" w:space="0" w:color="auto"/>
              <w:right w:val="single" w:sz="4" w:space="0" w:color="auto"/>
            </w:tcBorders>
          </w:tcPr>
          <w:p w14:paraId="09D0E45F"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2 400</w:t>
            </w:r>
          </w:p>
        </w:tc>
        <w:tc>
          <w:tcPr>
            <w:tcW w:w="549" w:type="dxa"/>
            <w:tcBorders>
              <w:left w:val="single" w:sz="4" w:space="0" w:color="auto"/>
              <w:right w:val="single" w:sz="4" w:space="0" w:color="auto"/>
            </w:tcBorders>
          </w:tcPr>
          <w:p w14:paraId="2DD5B8F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1 000</w:t>
            </w:r>
          </w:p>
        </w:tc>
        <w:tc>
          <w:tcPr>
            <w:tcW w:w="624" w:type="dxa"/>
            <w:tcBorders>
              <w:left w:val="single" w:sz="4" w:space="0" w:color="auto"/>
              <w:right w:val="single" w:sz="4" w:space="0" w:color="auto"/>
            </w:tcBorders>
          </w:tcPr>
          <w:p w14:paraId="7B260597"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-12 768</w:t>
            </w:r>
          </w:p>
        </w:tc>
        <w:tc>
          <w:tcPr>
            <w:tcW w:w="642" w:type="dxa"/>
            <w:tcBorders>
              <w:left w:val="single" w:sz="4" w:space="0" w:color="auto"/>
              <w:right w:val="single" w:sz="4" w:space="0" w:color="auto"/>
            </w:tcBorders>
          </w:tcPr>
          <w:p w14:paraId="7CB16996"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-15 400</w:t>
            </w:r>
          </w:p>
        </w:tc>
        <w:tc>
          <w:tcPr>
            <w:tcW w:w="551" w:type="dxa"/>
            <w:tcBorders>
              <w:left w:val="single" w:sz="4" w:space="0" w:color="auto"/>
              <w:right w:val="single" w:sz="4" w:space="0" w:color="auto"/>
            </w:tcBorders>
          </w:tcPr>
          <w:p w14:paraId="3D2CA9E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-17 667</w:t>
            </w:r>
          </w:p>
        </w:tc>
        <w:tc>
          <w:tcPr>
            <w:tcW w:w="569" w:type="dxa"/>
            <w:tcBorders>
              <w:left w:val="single" w:sz="4" w:space="0" w:color="auto"/>
              <w:right w:val="single" w:sz="4" w:space="0" w:color="auto"/>
            </w:tcBorders>
          </w:tcPr>
          <w:p w14:paraId="757E2FD2"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996</w:t>
            </w:r>
          </w:p>
        </w:tc>
        <w:tc>
          <w:tcPr>
            <w:tcW w:w="552" w:type="dxa"/>
            <w:tcBorders>
              <w:left w:val="single" w:sz="4" w:space="0" w:color="auto"/>
              <w:right w:val="single" w:sz="4" w:space="0" w:color="auto"/>
            </w:tcBorders>
          </w:tcPr>
          <w:p w14:paraId="04FD7AA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5 000</w:t>
            </w:r>
          </w:p>
        </w:tc>
        <w:tc>
          <w:tcPr>
            <w:tcW w:w="529" w:type="dxa"/>
            <w:tcBorders>
              <w:left w:val="single" w:sz="4" w:space="0" w:color="auto"/>
              <w:right w:val="single" w:sz="4" w:space="0" w:color="auto"/>
            </w:tcBorders>
          </w:tcPr>
          <w:p w14:paraId="0B566FB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1 128</w:t>
            </w:r>
          </w:p>
        </w:tc>
      </w:tr>
      <w:tr w:rsidR="00CD5F12" w:rsidRPr="00CD5F12" w14:paraId="20A42A56" w14:textId="77777777" w:rsidTr="00835D95">
        <w:trPr>
          <w:jc w:val="center"/>
        </w:trPr>
        <w:tc>
          <w:tcPr>
            <w:tcW w:w="1212" w:type="dxa"/>
            <w:tcBorders>
              <w:left w:val="single" w:sz="4" w:space="0" w:color="auto"/>
              <w:bottom w:val="single" w:sz="4" w:space="0" w:color="auto"/>
              <w:right w:val="single" w:sz="4" w:space="0" w:color="auto"/>
            </w:tcBorders>
            <w:vAlign w:val="bottom"/>
          </w:tcPr>
          <w:p w14:paraId="5B6FBB38" w14:textId="77777777" w:rsidR="00CD5F12" w:rsidRPr="00CD5F12" w:rsidRDefault="00CD5F12" w:rsidP="00CD5F12">
            <w:pPr>
              <w:jc w:val="both"/>
              <w:rPr>
                <w:rFonts w:eastAsia="Times New Roman"/>
                <w:sz w:val="12"/>
                <w:szCs w:val="10"/>
                <w:lang w:val="es-ES"/>
              </w:rPr>
            </w:pPr>
            <w:r w:rsidRPr="00CD5F12">
              <w:rPr>
                <w:rFonts w:eastAsia="Times New Roman"/>
                <w:sz w:val="12"/>
                <w:szCs w:val="10"/>
                <w:lang w:val="es-ES"/>
              </w:rPr>
              <w:t>América Latina</w:t>
            </w:r>
          </w:p>
        </w:tc>
        <w:tc>
          <w:tcPr>
            <w:tcW w:w="605" w:type="dxa"/>
            <w:tcBorders>
              <w:left w:val="single" w:sz="4" w:space="0" w:color="auto"/>
              <w:bottom w:val="single" w:sz="4" w:space="0" w:color="auto"/>
              <w:right w:val="single" w:sz="4" w:space="0" w:color="auto"/>
            </w:tcBorders>
          </w:tcPr>
          <w:p w14:paraId="686E38F2"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-104 165</w:t>
            </w:r>
          </w:p>
        </w:tc>
        <w:tc>
          <w:tcPr>
            <w:tcW w:w="678" w:type="dxa"/>
            <w:tcBorders>
              <w:left w:val="single" w:sz="4" w:space="0" w:color="auto"/>
              <w:bottom w:val="single" w:sz="4" w:space="0" w:color="auto"/>
              <w:right w:val="single" w:sz="4" w:space="0" w:color="auto"/>
            </w:tcBorders>
          </w:tcPr>
          <w:p w14:paraId="678B8171"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-153 494</w:t>
            </w:r>
          </w:p>
        </w:tc>
        <w:tc>
          <w:tcPr>
            <w:tcW w:w="576" w:type="dxa"/>
            <w:tcBorders>
              <w:left w:val="single" w:sz="4" w:space="0" w:color="auto"/>
              <w:bottom w:val="single" w:sz="4" w:space="0" w:color="auto"/>
              <w:right w:val="single" w:sz="4" w:space="0" w:color="auto"/>
            </w:tcBorders>
          </w:tcPr>
          <w:p w14:paraId="6DF1AA9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-141 671</w:t>
            </w:r>
          </w:p>
        </w:tc>
        <w:tc>
          <w:tcPr>
            <w:tcW w:w="567" w:type="dxa"/>
            <w:tcBorders>
              <w:left w:val="single" w:sz="4" w:space="0" w:color="auto"/>
              <w:bottom w:val="single" w:sz="4" w:space="0" w:color="auto"/>
              <w:right w:val="single" w:sz="4" w:space="0" w:color="auto"/>
            </w:tcBorders>
          </w:tcPr>
          <w:p w14:paraId="6B2B055A"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163 061</w:t>
            </w:r>
          </w:p>
        </w:tc>
        <w:tc>
          <w:tcPr>
            <w:tcW w:w="583" w:type="dxa"/>
            <w:tcBorders>
              <w:left w:val="single" w:sz="4" w:space="0" w:color="auto"/>
              <w:bottom w:val="single" w:sz="4" w:space="0" w:color="auto"/>
              <w:right w:val="single" w:sz="4" w:space="0" w:color="auto"/>
            </w:tcBorders>
          </w:tcPr>
          <w:p w14:paraId="6C793013"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169 013</w:t>
            </w:r>
          </w:p>
        </w:tc>
        <w:tc>
          <w:tcPr>
            <w:tcW w:w="563" w:type="dxa"/>
            <w:tcBorders>
              <w:left w:val="single" w:sz="4" w:space="0" w:color="auto"/>
              <w:bottom w:val="single" w:sz="4" w:space="0" w:color="auto"/>
              <w:right w:val="single" w:sz="4" w:space="0" w:color="auto"/>
            </w:tcBorders>
          </w:tcPr>
          <w:p w14:paraId="003635C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173 913</w:t>
            </w:r>
          </w:p>
        </w:tc>
        <w:tc>
          <w:tcPr>
            <w:tcW w:w="541" w:type="dxa"/>
            <w:tcBorders>
              <w:left w:val="single" w:sz="4" w:space="0" w:color="auto"/>
              <w:bottom w:val="single" w:sz="4" w:space="0" w:color="auto"/>
              <w:right w:val="single" w:sz="4" w:space="0" w:color="auto"/>
            </w:tcBorders>
          </w:tcPr>
          <w:p w14:paraId="3AB9C3EC"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128 909</w:t>
            </w:r>
          </w:p>
        </w:tc>
        <w:tc>
          <w:tcPr>
            <w:tcW w:w="534" w:type="dxa"/>
            <w:tcBorders>
              <w:left w:val="single" w:sz="4" w:space="0" w:color="auto"/>
              <w:bottom w:val="single" w:sz="4" w:space="0" w:color="auto"/>
              <w:right w:val="single" w:sz="4" w:space="0" w:color="auto"/>
            </w:tcBorders>
          </w:tcPr>
          <w:p w14:paraId="039E0A2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153 704</w:t>
            </w:r>
          </w:p>
        </w:tc>
        <w:tc>
          <w:tcPr>
            <w:tcW w:w="549" w:type="dxa"/>
            <w:tcBorders>
              <w:left w:val="single" w:sz="4" w:space="0" w:color="auto"/>
              <w:bottom w:val="single" w:sz="4" w:space="0" w:color="auto"/>
              <w:right w:val="single" w:sz="4" w:space="0" w:color="auto"/>
            </w:tcBorders>
          </w:tcPr>
          <w:p w14:paraId="60F86517"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117 988</w:t>
            </w:r>
          </w:p>
        </w:tc>
        <w:tc>
          <w:tcPr>
            <w:tcW w:w="624" w:type="dxa"/>
            <w:tcBorders>
              <w:left w:val="single" w:sz="4" w:space="0" w:color="auto"/>
              <w:bottom w:val="single" w:sz="4" w:space="0" w:color="auto"/>
              <w:right w:val="single" w:sz="4" w:space="0" w:color="auto"/>
            </w:tcBorders>
          </w:tcPr>
          <w:p w14:paraId="344B04EA"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34 152</w:t>
            </w:r>
          </w:p>
        </w:tc>
        <w:tc>
          <w:tcPr>
            <w:tcW w:w="642" w:type="dxa"/>
            <w:tcBorders>
              <w:left w:val="single" w:sz="4" w:space="0" w:color="auto"/>
              <w:bottom w:val="single" w:sz="4" w:space="0" w:color="auto"/>
              <w:right w:val="single" w:sz="4" w:space="0" w:color="auto"/>
            </w:tcBorders>
          </w:tcPr>
          <w:p w14:paraId="3D084B84" w14:textId="77777777" w:rsidR="00CD5F12" w:rsidRPr="00CD5F12" w:rsidRDefault="00CD5F12" w:rsidP="00CD5F12">
            <w:pPr>
              <w:spacing w:before="40" w:after="40"/>
              <w:jc w:val="right"/>
              <w:rPr>
                <w:rFonts w:eastAsia="Times New Roman"/>
                <w:sz w:val="12"/>
                <w:szCs w:val="10"/>
                <w:lang w:val="es-ES"/>
              </w:rPr>
            </w:pPr>
            <w:r w:rsidRPr="00CD5F12">
              <w:rPr>
                <w:rFonts w:eastAsia="Times New Roman"/>
                <w:sz w:val="12"/>
                <w:szCs w:val="10"/>
                <w:lang w:val="es-ES"/>
              </w:rPr>
              <w:t>15 309</w:t>
            </w:r>
          </w:p>
        </w:tc>
        <w:tc>
          <w:tcPr>
            <w:tcW w:w="551" w:type="dxa"/>
            <w:tcBorders>
              <w:left w:val="single" w:sz="4" w:space="0" w:color="auto"/>
              <w:bottom w:val="single" w:sz="4" w:space="0" w:color="auto"/>
              <w:right w:val="single" w:sz="4" w:space="0" w:color="auto"/>
            </w:tcBorders>
          </w:tcPr>
          <w:p w14:paraId="0245DDE0"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55 925</w:t>
            </w:r>
          </w:p>
        </w:tc>
        <w:tc>
          <w:tcPr>
            <w:tcW w:w="569" w:type="dxa"/>
            <w:tcBorders>
              <w:left w:val="single" w:sz="4" w:space="0" w:color="auto"/>
              <w:bottom w:val="single" w:sz="4" w:space="0" w:color="auto"/>
              <w:right w:val="single" w:sz="4" w:space="0" w:color="auto"/>
            </w:tcBorders>
          </w:tcPr>
          <w:p w14:paraId="4D5D8276" w14:textId="77777777" w:rsidR="00CD5F12" w:rsidRPr="00CD5F12" w:rsidRDefault="00CD5F12" w:rsidP="00CD5F12">
            <w:pPr>
              <w:spacing w:before="40" w:after="40"/>
              <w:ind w:right="-57"/>
              <w:jc w:val="right"/>
              <w:rPr>
                <w:rFonts w:eastAsia="Times New Roman"/>
                <w:sz w:val="12"/>
                <w:szCs w:val="10"/>
                <w:lang w:val="es-ES"/>
              </w:rPr>
            </w:pPr>
            <w:r w:rsidRPr="00CD5F12">
              <w:rPr>
                <w:rFonts w:eastAsia="Times New Roman"/>
                <w:sz w:val="12"/>
                <w:szCs w:val="10"/>
                <w:lang w:val="es-ES"/>
              </w:rPr>
              <w:t>-58 896</w:t>
            </w:r>
          </w:p>
        </w:tc>
        <w:tc>
          <w:tcPr>
            <w:tcW w:w="552" w:type="dxa"/>
            <w:tcBorders>
              <w:left w:val="single" w:sz="4" w:space="0" w:color="auto"/>
              <w:bottom w:val="single" w:sz="4" w:space="0" w:color="auto"/>
              <w:right w:val="single" w:sz="4" w:space="0" w:color="auto"/>
            </w:tcBorders>
          </w:tcPr>
          <w:p w14:paraId="1762C988"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-15 520</w:t>
            </w:r>
          </w:p>
        </w:tc>
        <w:tc>
          <w:tcPr>
            <w:tcW w:w="529" w:type="dxa"/>
            <w:tcBorders>
              <w:left w:val="single" w:sz="4" w:space="0" w:color="auto"/>
              <w:bottom w:val="single" w:sz="4" w:space="0" w:color="auto"/>
              <w:right w:val="single" w:sz="4" w:space="0" w:color="auto"/>
            </w:tcBorders>
          </w:tcPr>
          <w:p w14:paraId="43DA16A9" w14:textId="77777777" w:rsidR="00CD5F12" w:rsidRPr="00CD5F12" w:rsidRDefault="00CD5F12" w:rsidP="00CD5F12">
            <w:pPr>
              <w:spacing w:before="40" w:after="40"/>
              <w:ind w:left="-57" w:right="-57"/>
              <w:jc w:val="right"/>
              <w:rPr>
                <w:rFonts w:eastAsia="Times New Roman"/>
                <w:sz w:val="12"/>
                <w:szCs w:val="10"/>
                <w:lang w:val="es-ES"/>
              </w:rPr>
            </w:pPr>
            <w:r w:rsidRPr="00CD5F12">
              <w:rPr>
                <w:rFonts w:eastAsia="Times New Roman"/>
                <w:sz w:val="12"/>
                <w:szCs w:val="10"/>
                <w:lang w:val="es-ES"/>
              </w:rPr>
              <w:t>-32 242</w:t>
            </w:r>
          </w:p>
        </w:tc>
      </w:tr>
      <w:tr w:rsidR="00CD5F12" w:rsidRPr="00CD5F12" w14:paraId="06093158" w14:textId="77777777" w:rsidTr="00835D95">
        <w:trPr>
          <w:jc w:val="center"/>
        </w:trPr>
        <w:tc>
          <w:tcPr>
            <w:tcW w:w="9875" w:type="dxa"/>
            <w:gridSpan w:val="16"/>
            <w:tcBorders>
              <w:top w:val="single" w:sz="4" w:space="0" w:color="auto"/>
            </w:tcBorders>
            <w:vAlign w:val="bottom"/>
          </w:tcPr>
          <w:p w14:paraId="54F8F005" w14:textId="77777777" w:rsidR="00CD5F12" w:rsidRPr="00CD5F12" w:rsidRDefault="00CD5F12" w:rsidP="00CD5F12">
            <w:pPr>
              <w:spacing w:before="40" w:after="40"/>
              <w:jc w:val="both"/>
              <w:rPr>
                <w:rFonts w:eastAsia="Times New Roman"/>
                <w:sz w:val="12"/>
                <w:szCs w:val="10"/>
                <w:lang w:val="es-ES"/>
              </w:rPr>
            </w:pPr>
            <w:r w:rsidRPr="00CD5F12">
              <w:rPr>
                <w:rFonts w:eastAsia="Times New Roman"/>
                <w:sz w:val="12"/>
                <w:szCs w:val="10"/>
                <w:u w:val="single"/>
                <w:lang w:val="es-ES"/>
              </w:rPr>
              <w:t>a</w:t>
            </w:r>
            <w:r w:rsidRPr="00CD5F12">
              <w:rPr>
                <w:rFonts w:eastAsia="Times New Roman"/>
                <w:sz w:val="12"/>
                <w:szCs w:val="10"/>
                <w:lang w:val="es-ES"/>
              </w:rPr>
              <w:t>/ Proyecciones.</w:t>
            </w:r>
          </w:p>
          <w:p w14:paraId="6D1CD44B" w14:textId="77777777" w:rsidR="00CD5F12" w:rsidRPr="00CD5F12" w:rsidRDefault="00CD5F12" w:rsidP="00CD5F12">
            <w:pPr>
              <w:spacing w:before="40" w:after="40"/>
              <w:jc w:val="both"/>
              <w:rPr>
                <w:rFonts w:eastAsia="Times New Roman"/>
                <w:sz w:val="12"/>
                <w:szCs w:val="10"/>
                <w:lang w:val="es-ES"/>
              </w:rPr>
            </w:pPr>
            <w:r w:rsidRPr="00CD5F12">
              <w:rPr>
                <w:rFonts w:eastAsia="Times New Roman"/>
                <w:sz w:val="12"/>
                <w:szCs w:val="10"/>
                <w:lang w:val="es-ES"/>
              </w:rPr>
              <w:t>FUENTE: Comisión Económica para América Latina y el Caribe (CEPAL), sobre la base de cifras oficiales.</w:t>
            </w:r>
          </w:p>
        </w:tc>
      </w:tr>
    </w:tbl>
    <w:p w14:paraId="29B6A642" w14:textId="77777777" w:rsidR="00CD5F12" w:rsidRPr="00CD5F12" w:rsidRDefault="00CD5F12" w:rsidP="00CD5F12">
      <w:pPr>
        <w:spacing w:after="360" w:line="360" w:lineRule="auto"/>
        <w:ind w:right="-159"/>
        <w:jc w:val="both"/>
        <w:rPr>
          <w:rFonts w:eastAsia="Calibri"/>
          <w:sz w:val="26"/>
          <w:szCs w:val="26"/>
          <w:lang w:eastAsia="en-US"/>
        </w:rPr>
      </w:pPr>
    </w:p>
    <w:p w14:paraId="5F14E8AC" w14:textId="31D3E5EC"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contraste, el resto de los flujos financieros, incluidos aquellos de carácter más volátil y las emisiones de bonos en el exterior, experimentaron una significativa expansión y triplicaron con creces los flujos netos del año previo. Ello se explica por el fuerte aumento de las emisiones de bonos soberanos, cuasisoberanos y de bancos estatales (véase la gráfica siguiente). Se destaca el caso de Brasil, por el aumento de sus emisiones soberanas, aquellas realizadas por Petrobras en el marco de sus planes de inversión y respaldo de las políticas de precios de combustibles y del Banco Nacional de Desarrollo Económico y Social (BNDES), debido a su política de apoyo al crédito </w:t>
      </w:r>
      <w:r w:rsidRPr="00CD5F12">
        <w:rPr>
          <w:rFonts w:eastAsia="Calibri"/>
          <w:sz w:val="26"/>
          <w:szCs w:val="26"/>
          <w:lang w:eastAsia="en-US"/>
        </w:rPr>
        <w:lastRenderedPageBreak/>
        <w:t>interno. Otros países, como Chile y México, mantuvieron una presencia activa en la emisión de bonos externos en el contexto de tasas de interés aún bajas (véase el cuadro A-14 del anexo estadístico</w:t>
      </w:r>
      <w:r w:rsidR="00AA0E1D">
        <w:rPr>
          <w:rFonts w:eastAsia="Calibri"/>
          <w:sz w:val="26"/>
          <w:szCs w:val="26"/>
          <w:lang w:eastAsia="en-US"/>
        </w:rPr>
        <w:t xml:space="preserve"> del documento original</w:t>
      </w:r>
      <w:r w:rsidRPr="00CD5F12">
        <w:rPr>
          <w:rFonts w:eastAsia="Calibri"/>
          <w:sz w:val="26"/>
          <w:szCs w:val="26"/>
          <w:lang w:eastAsia="en-US"/>
        </w:rPr>
        <w:t>).</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2145CF96" w14:textId="77777777" w:rsidTr="00835D95">
        <w:trPr>
          <w:jc w:val="center"/>
        </w:trPr>
        <w:tc>
          <w:tcPr>
            <w:tcW w:w="8978" w:type="dxa"/>
          </w:tcPr>
          <w:p w14:paraId="402EFF4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EMISIONES DE BONOS EXTERNOS Y RIESGO SOBERANO SEGÚN EL EMBI+, ENERO DE 2010 A SEPTIEMBRE DE 2014</w:t>
            </w:r>
          </w:p>
          <w:p w14:paraId="6603224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millones de dólares y puntos básicos-</w:t>
            </w:r>
          </w:p>
        </w:tc>
      </w:tr>
      <w:tr w:rsidR="00CD5F12" w:rsidRPr="00CD5F12" w14:paraId="4E3ACE5F" w14:textId="77777777" w:rsidTr="00835D95">
        <w:trPr>
          <w:jc w:val="center"/>
        </w:trPr>
        <w:tc>
          <w:tcPr>
            <w:tcW w:w="8978" w:type="dxa"/>
          </w:tcPr>
          <w:p w14:paraId="0E397B45"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5779F70E" wp14:editId="7D07C7B2">
                  <wp:extent cx="5517365" cy="2808000"/>
                  <wp:effectExtent l="0" t="0" r="7620" b="0"/>
                  <wp:docPr id="1701" name="Imagen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517365" cy="2808000"/>
                          </a:xfrm>
                          <a:prstGeom prst="rect">
                            <a:avLst/>
                          </a:prstGeom>
                        </pic:spPr>
                      </pic:pic>
                    </a:graphicData>
                  </a:graphic>
                </wp:inline>
              </w:drawing>
            </w:r>
          </w:p>
        </w:tc>
      </w:tr>
      <w:tr w:rsidR="00CD5F12" w:rsidRPr="00CD5F12" w14:paraId="0317D79E" w14:textId="77777777" w:rsidTr="00835D95">
        <w:trPr>
          <w:jc w:val="center"/>
        </w:trPr>
        <w:tc>
          <w:tcPr>
            <w:tcW w:w="8978" w:type="dxa"/>
          </w:tcPr>
          <w:p w14:paraId="410BF73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 xml:space="preserve">FUENTE: Comisión Económica para América Latina y el Caribe (CEPAL), sobre la base de cifras de </w:t>
            </w:r>
            <w:r w:rsidRPr="00CD5F12">
              <w:rPr>
                <w:rFonts w:eastAsia="Calibri"/>
                <w:i/>
                <w:sz w:val="20"/>
                <w:szCs w:val="20"/>
                <w:lang w:eastAsia="en-US"/>
              </w:rPr>
              <w:t>Latin Finance Bonds Database, JP Morgan y Merrill Lynch</w:t>
            </w:r>
            <w:r w:rsidRPr="00CD5F12">
              <w:rPr>
                <w:rFonts w:eastAsia="Calibri"/>
                <w:sz w:val="20"/>
                <w:szCs w:val="20"/>
                <w:lang w:eastAsia="en-US"/>
              </w:rPr>
              <w:t>.</w:t>
            </w:r>
          </w:p>
        </w:tc>
      </w:tr>
    </w:tbl>
    <w:p w14:paraId="44B78BAF" w14:textId="77777777" w:rsidR="00CD5F12" w:rsidRPr="00CD5F12" w:rsidRDefault="00CD5F12" w:rsidP="00CD5F12">
      <w:pPr>
        <w:spacing w:after="360" w:line="360" w:lineRule="auto"/>
        <w:ind w:right="-159"/>
        <w:jc w:val="both"/>
        <w:rPr>
          <w:rFonts w:eastAsia="Calibri"/>
          <w:sz w:val="26"/>
          <w:szCs w:val="26"/>
          <w:lang w:eastAsia="en-US"/>
        </w:rPr>
      </w:pPr>
    </w:p>
    <w:p w14:paraId="507696C3" w14:textId="3C52AA66"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general, las primas de riesgo soberano se mantuvieron estables, con las excepciones de Argentina y la República Bolivariana de Venezuela, que experimentaron fuertes alzas en el curso del segundo semestre. En el primer caso</w:t>
      </w:r>
      <w:r w:rsidR="00877DDF">
        <w:rPr>
          <w:rFonts w:eastAsia="Calibri"/>
          <w:sz w:val="26"/>
          <w:szCs w:val="26"/>
          <w:lang w:eastAsia="en-US"/>
        </w:rPr>
        <w:t>,</w:t>
      </w:r>
      <w:r w:rsidRPr="00CD5F12">
        <w:rPr>
          <w:rFonts w:eastAsia="Calibri"/>
          <w:sz w:val="26"/>
          <w:szCs w:val="26"/>
          <w:lang w:eastAsia="en-US"/>
        </w:rPr>
        <w:t xml:space="preserve"> ello se explica por lo sentenciado por un juzgado estadounidense respecto del pago a los tenedores de deuda que no entraron en el canje financiero de 2005, que derivó en la suspensión involuntaria de pagos por parte de Argentina. En el caso de la República Bolivariana de Venezuela, las evidencias de una creciente escasez de divisas, a las que se sumó la fuerte caída del precio de su principal producto de exportación, elevó pronunciadamente el riesgo. Ambos casos son relevantes por cuanto la continuidad del actual marco de políticas requerirá del apoyo financiero externo.</w:t>
      </w:r>
    </w:p>
    <w:p w14:paraId="70828DAE"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lastRenderedPageBreak/>
        <w:t>Capítulo VI: Las políticas macroeconómicas</w:t>
      </w:r>
    </w:p>
    <w:p w14:paraId="5B823A0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b/>
          <w:sz w:val="26"/>
          <w:szCs w:val="26"/>
          <w:lang w:eastAsia="en-US"/>
        </w:rPr>
        <w:t>A. La política fiscal</w:t>
      </w:r>
    </w:p>
    <w:p w14:paraId="2DFA1004"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De acuerdo con las proyecciones de las cuentas fiscales de América Latina, existe, en promedio, un pequeño deterioro del resultado fiscal en 2014. Así, el déficit primario de la región (antes del pago de intereses de la deuda pública) equivaldría al 0.8% del PIB y el balance global pasaría de un déficit del 2.4% del PIB en 2013 a un déficit del 2.7% del PIB en 2014, a nivel de los gobiernos centrales (véase la gráfica siguiente). Al mismo tiempo, se produciría una caída de los ingresos totales y un leve incremento del gasto público. Si bien la región en su conjunto presenta déficit fiscales desde 2009, esta situación no se ha visto reflejada en aumentos de la deuda pública, que se mantiene en niveles cercanos al 32% del PIB, con un componente externo que no llega al 15% del PIB.</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235DDA51" w14:textId="77777777" w:rsidTr="00E40B31">
        <w:trPr>
          <w:jc w:val="center"/>
        </w:trPr>
        <w:tc>
          <w:tcPr>
            <w:tcW w:w="8840" w:type="dxa"/>
          </w:tcPr>
          <w:p w14:paraId="6D4536A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(19 PAÍSES): INDICADORES FISCALES DE LOS GOBIERNOS CENTRALES, 2005-2014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134D9BC7"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w:t>
            </w:r>
          </w:p>
        </w:tc>
      </w:tr>
      <w:tr w:rsidR="00CD5F12" w:rsidRPr="00CD5F12" w14:paraId="58EBA875" w14:textId="77777777" w:rsidTr="00E40B31">
        <w:trPr>
          <w:jc w:val="center"/>
        </w:trPr>
        <w:tc>
          <w:tcPr>
            <w:tcW w:w="8840" w:type="dxa"/>
          </w:tcPr>
          <w:p w14:paraId="628D11AB" w14:textId="02348E97" w:rsidR="00CD5F12" w:rsidRPr="00CD5F12" w:rsidRDefault="00E40B31" w:rsidP="00CD5F12">
            <w:pPr>
              <w:jc w:val="center"/>
              <w:rPr>
                <w:rFonts w:eastAsia="Calibri"/>
                <w:sz w:val="26"/>
                <w:szCs w:val="26"/>
                <w:lang w:eastAsia="en-US"/>
              </w:rPr>
            </w:pPr>
            <w:r w:rsidRPr="001D36A2">
              <w:rPr>
                <w:rFonts w:eastAsia="Calibri"/>
                <w:noProof/>
                <w:sz w:val="26"/>
                <w:szCs w:val="26"/>
                <w:lang w:eastAsia="es-MX"/>
              </w:rPr>
              <w:drawing>
                <wp:inline distT="0" distB="0" distL="0" distR="0" wp14:anchorId="354EF69F" wp14:editId="3157FB58">
                  <wp:extent cx="5603875" cy="2731135"/>
                  <wp:effectExtent l="0" t="0" r="0" b="0"/>
                  <wp:docPr id="1490" name="Imagen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603875" cy="2731135"/>
                          </a:xfrm>
                          <a:prstGeom prst="rect">
                            <a:avLst/>
                          </a:prstGeom>
                          <a:noFill/>
                          <a:ln>
                            <a:noFill/>
                          </a:ln>
                        </pic:spPr>
                      </pic:pic>
                    </a:graphicData>
                  </a:graphic>
                </wp:inline>
              </w:drawing>
            </w:r>
          </w:p>
        </w:tc>
      </w:tr>
      <w:tr w:rsidR="00CD5F12" w:rsidRPr="00CD5F12" w14:paraId="13EFF277" w14:textId="77777777" w:rsidTr="00E40B31">
        <w:trPr>
          <w:jc w:val="center"/>
        </w:trPr>
        <w:tc>
          <w:tcPr>
            <w:tcW w:w="8840" w:type="dxa"/>
          </w:tcPr>
          <w:p w14:paraId="63AA7A73"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Promedios simples. Los datos de 2014 corresponden a estimaciones.</w:t>
            </w:r>
          </w:p>
          <w:p w14:paraId="1E2887D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7356AE9" w14:textId="77777777" w:rsidR="00CD5F12" w:rsidRPr="00CD5F12" w:rsidRDefault="00CD5F12" w:rsidP="00CD5F12">
      <w:pPr>
        <w:spacing w:after="360" w:line="360" w:lineRule="auto"/>
        <w:ind w:right="-159"/>
        <w:jc w:val="both"/>
        <w:rPr>
          <w:rFonts w:eastAsia="Calibri"/>
          <w:sz w:val="26"/>
          <w:szCs w:val="26"/>
          <w:lang w:eastAsia="en-US"/>
        </w:rPr>
      </w:pPr>
    </w:p>
    <w:p w14:paraId="575368E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En el Caribe se espera una mejora de la posición fiscal, pues el déficit global de la subregión pasaría del 4.1% del PIB en 2013 al 3.9% del PIB en 2014, como promedio, a nivel de los gobiernos centrales (véase la gráfica siguiente). A este resultado contribuyó, sobre todo, Jamaica, país cuya deuda disminuyó cerca de cuatro puntos porcentuales del PIB, en el marco de los programas de consolidación fiscal en curso. Sin embargo, la deuda pública sigue siendo elevada —cercana al 80% del PIB como promedio— y su componente externo es muy significativo.</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48731CDF" w14:textId="77777777" w:rsidTr="00835D95">
        <w:trPr>
          <w:jc w:val="center"/>
        </w:trPr>
        <w:tc>
          <w:tcPr>
            <w:tcW w:w="8978" w:type="dxa"/>
          </w:tcPr>
          <w:p w14:paraId="35EB3982"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EL CARIBE (13 PAÍSES Y TERRITORIOS): INDICADORES FISCALES DE LOS GOBIERNOS CENTRALES, 2005-2014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1C0A0BCB"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w:t>
            </w:r>
          </w:p>
        </w:tc>
      </w:tr>
      <w:tr w:rsidR="00CD5F12" w:rsidRPr="00CD5F12" w14:paraId="1E1AEA99" w14:textId="77777777" w:rsidTr="00835D95">
        <w:trPr>
          <w:jc w:val="center"/>
        </w:trPr>
        <w:tc>
          <w:tcPr>
            <w:tcW w:w="8978" w:type="dxa"/>
          </w:tcPr>
          <w:p w14:paraId="032784B6"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2C1D4EB9" wp14:editId="7B61E2E6">
                  <wp:extent cx="5514053" cy="2772000"/>
                  <wp:effectExtent l="0" t="0" r="0" b="9525"/>
                  <wp:docPr id="1703" name="Imagen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514053" cy="2772000"/>
                          </a:xfrm>
                          <a:prstGeom prst="rect">
                            <a:avLst/>
                          </a:prstGeom>
                        </pic:spPr>
                      </pic:pic>
                    </a:graphicData>
                  </a:graphic>
                </wp:inline>
              </w:drawing>
            </w:r>
          </w:p>
        </w:tc>
      </w:tr>
      <w:tr w:rsidR="00CD5F12" w:rsidRPr="00CD5F12" w14:paraId="6A208FC1" w14:textId="77777777" w:rsidTr="00835D95">
        <w:trPr>
          <w:jc w:val="center"/>
        </w:trPr>
        <w:tc>
          <w:tcPr>
            <w:tcW w:w="8978" w:type="dxa"/>
          </w:tcPr>
          <w:p w14:paraId="09A6B71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Promedios simples. Los datos de 2014 corresponden a estimaciones.</w:t>
            </w:r>
          </w:p>
          <w:p w14:paraId="5BC9DC98"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E37C576" w14:textId="77777777" w:rsidR="00CD5F12" w:rsidRPr="00CD5F12" w:rsidRDefault="00CD5F12" w:rsidP="00CD5F12">
      <w:pPr>
        <w:spacing w:after="360" w:line="360" w:lineRule="auto"/>
        <w:ind w:right="-159"/>
        <w:jc w:val="both"/>
        <w:rPr>
          <w:rFonts w:eastAsia="Calibri"/>
          <w:sz w:val="26"/>
          <w:szCs w:val="26"/>
          <w:lang w:eastAsia="en-US"/>
        </w:rPr>
      </w:pPr>
    </w:p>
    <w:p w14:paraId="3C9F44B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Más allá de los promedios, la situación fiscal es heterogénea. A pesar del aumento del déficit y de la desaceleración de las economías, no se observa una tendencia ascendente generalizada de la deuda pública. Esta aparente contradicción se explica por las favorables condiciones de endeudamiento de muchos países de la región, que han permitido que tanto el costo como el perfil de vencimiento de la deuda pública hayan mejorado en los últimos años.</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50EF626A" w14:textId="77777777" w:rsidTr="00835D95">
        <w:trPr>
          <w:jc w:val="center"/>
        </w:trPr>
        <w:tc>
          <w:tcPr>
            <w:tcW w:w="8978" w:type="dxa"/>
          </w:tcPr>
          <w:p w14:paraId="451BFC45"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(19 PAÍSES): RESULTADO FISCAL Y DEUDA PÚBLICA, 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5DA9AA19"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w:t>
            </w:r>
          </w:p>
        </w:tc>
      </w:tr>
      <w:tr w:rsidR="00CD5F12" w:rsidRPr="00CD5F12" w14:paraId="1D78893D" w14:textId="77777777" w:rsidTr="00835D95">
        <w:trPr>
          <w:jc w:val="center"/>
        </w:trPr>
        <w:tc>
          <w:tcPr>
            <w:tcW w:w="8978" w:type="dxa"/>
          </w:tcPr>
          <w:p w14:paraId="0A9F547A"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754A8DA2" wp14:editId="48287843">
                  <wp:extent cx="5540392" cy="2880000"/>
                  <wp:effectExtent l="0" t="0" r="3175" b="0"/>
                  <wp:docPr id="1704" name="Imagen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40392" cy="2880000"/>
                          </a:xfrm>
                          <a:prstGeom prst="rect">
                            <a:avLst/>
                          </a:prstGeom>
                          <a:noFill/>
                          <a:ln>
                            <a:noFill/>
                          </a:ln>
                        </pic:spPr>
                      </pic:pic>
                    </a:graphicData>
                  </a:graphic>
                </wp:inline>
              </w:drawing>
            </w:r>
          </w:p>
        </w:tc>
      </w:tr>
      <w:tr w:rsidR="00CD5F12" w:rsidRPr="00CD5F12" w14:paraId="6DC9B8BC" w14:textId="77777777" w:rsidTr="00835D95">
        <w:trPr>
          <w:jc w:val="center"/>
        </w:trPr>
        <w:tc>
          <w:tcPr>
            <w:tcW w:w="8978" w:type="dxa"/>
          </w:tcPr>
          <w:p w14:paraId="3435B67D"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datos de 2014 corresponden a estimaciones.</w:t>
            </w:r>
          </w:p>
          <w:p w14:paraId="0BA69E46"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Cobertura del gobierno general.</w:t>
            </w:r>
          </w:p>
          <w:p w14:paraId="12129423"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6EC10313" w14:textId="77777777" w:rsidR="00CD5F12" w:rsidRPr="00CD5F12" w:rsidRDefault="00CD5F12" w:rsidP="00CD5F12">
      <w:pPr>
        <w:spacing w:after="360" w:line="360" w:lineRule="auto"/>
        <w:ind w:right="-159"/>
        <w:jc w:val="both"/>
        <w:rPr>
          <w:rFonts w:eastAsia="Calibri"/>
          <w:sz w:val="26"/>
          <w:szCs w:val="26"/>
          <w:lang w:eastAsia="en-US"/>
        </w:rPr>
      </w:pPr>
    </w:p>
    <w:p w14:paraId="7D9FD6A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Los ingresos fiscales totales disminuyeron en los países exportadores de hidrocarburos, mientras que los ingresos tributarios registraron un leve aumento en varios países de la región. Las estimaciones muestran que, en promedio, en América Latina los ingresos fiscales totales con respecto al PIB cayeron 0.2 puntos porcentuales en 2014. Aunque en 12 de los 19 países analizados la variación de un año a otro no llegó a 0.5 puntos porcentuales, en algunos países se registraron cambios más significativos. Destacan las alzas observadas en Argentina (con un ascenso equivalente a 2.9 puntos porcentuales), Honduras (1.8 puntos porcentuales) y la República Dominicana (0.6 puntos porcentuales). Por otro lado, se redujeron considerablemente los ingresos fiscales en la República Bolivariana de Venezuela (3.7 puntos porcentuales), Haití (1.8 puntos porcentuales), Ecuador (1.7 puntos porcentuales) y México (1.3 puntos porcentuales).</w:t>
      </w:r>
    </w:p>
    <w:p w14:paraId="77F9B986"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4659C23F" w14:textId="77777777" w:rsidTr="00835D95">
        <w:trPr>
          <w:jc w:val="center"/>
        </w:trPr>
        <w:tc>
          <w:tcPr>
            <w:tcW w:w="8978" w:type="dxa"/>
          </w:tcPr>
          <w:p w14:paraId="424F3E32"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EL CARIBE (13 PAÍSES Y TERRITORIOS): RESULTADO FISCAL Y DEUDA PÚBLICA, 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7511C905"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w:t>
            </w:r>
          </w:p>
        </w:tc>
      </w:tr>
      <w:tr w:rsidR="00CD5F12" w:rsidRPr="00CD5F12" w14:paraId="00586097" w14:textId="77777777" w:rsidTr="00835D95">
        <w:trPr>
          <w:jc w:val="center"/>
        </w:trPr>
        <w:tc>
          <w:tcPr>
            <w:tcW w:w="8978" w:type="dxa"/>
          </w:tcPr>
          <w:p w14:paraId="7C7DC76B"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539A7848" wp14:editId="6805491B">
                  <wp:extent cx="5607050" cy="2622550"/>
                  <wp:effectExtent l="0" t="0" r="0" b="6350"/>
                  <wp:docPr id="1705" name="Imagen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607050" cy="2622550"/>
                          </a:xfrm>
                          <a:prstGeom prst="rect">
                            <a:avLst/>
                          </a:prstGeom>
                          <a:noFill/>
                          <a:ln>
                            <a:noFill/>
                          </a:ln>
                        </pic:spPr>
                      </pic:pic>
                    </a:graphicData>
                  </a:graphic>
                </wp:inline>
              </w:drawing>
            </w:r>
          </w:p>
        </w:tc>
      </w:tr>
      <w:tr w:rsidR="00CD5F12" w:rsidRPr="00CD5F12" w14:paraId="0C93EC01" w14:textId="77777777" w:rsidTr="00835D95">
        <w:trPr>
          <w:jc w:val="center"/>
        </w:trPr>
        <w:tc>
          <w:tcPr>
            <w:tcW w:w="8978" w:type="dxa"/>
          </w:tcPr>
          <w:p w14:paraId="597E3920"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datos de 2014 corresponden a estimaciones.</w:t>
            </w:r>
          </w:p>
          <w:p w14:paraId="5A626A46"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21D19D69"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1DA5C548" w14:textId="77777777" w:rsidTr="00835D95">
        <w:trPr>
          <w:jc w:val="center"/>
        </w:trPr>
        <w:tc>
          <w:tcPr>
            <w:tcW w:w="8978" w:type="dxa"/>
          </w:tcPr>
          <w:p w14:paraId="01907DB8"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INGRESOS FISCALES TOTALES E INGRESOS TRIBUTARIOS DEL GOBIERNO CENTRAL, POR SUBREGIONES Y GRUPOS DE PAÍSES, 2013-2014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1F33B4A4"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w:t>
            </w:r>
          </w:p>
        </w:tc>
      </w:tr>
      <w:tr w:rsidR="00CD5F12" w:rsidRPr="00CD5F12" w14:paraId="17A132C0" w14:textId="77777777" w:rsidTr="00835D95">
        <w:trPr>
          <w:jc w:val="center"/>
        </w:trPr>
        <w:tc>
          <w:tcPr>
            <w:tcW w:w="8978" w:type="dxa"/>
          </w:tcPr>
          <w:p w14:paraId="7B8E27FE"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DD280AE" wp14:editId="7F9F4DF3">
                  <wp:extent cx="5547303" cy="2736000"/>
                  <wp:effectExtent l="0" t="0" r="0" b="7620"/>
                  <wp:docPr id="1706" name="Imagen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47303" cy="2736000"/>
                          </a:xfrm>
                          <a:prstGeom prst="rect">
                            <a:avLst/>
                          </a:prstGeom>
                          <a:noFill/>
                          <a:ln>
                            <a:noFill/>
                          </a:ln>
                        </pic:spPr>
                      </pic:pic>
                    </a:graphicData>
                  </a:graphic>
                </wp:inline>
              </w:drawing>
            </w:r>
          </w:p>
        </w:tc>
      </w:tr>
      <w:tr w:rsidR="00CD5F12" w:rsidRPr="00CD5F12" w14:paraId="26E46931" w14:textId="77777777" w:rsidTr="00835D95">
        <w:trPr>
          <w:jc w:val="center"/>
        </w:trPr>
        <w:tc>
          <w:tcPr>
            <w:tcW w:w="8978" w:type="dxa"/>
          </w:tcPr>
          <w:p w14:paraId="1E24A82C"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datos de 2014 corresponden a estimaciones.</w:t>
            </w:r>
          </w:p>
          <w:p w14:paraId="7F547134"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Cobertura del sector público federal.</w:t>
            </w:r>
          </w:p>
          <w:p w14:paraId="6587D432"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23A44D47" w14:textId="77777777" w:rsidR="00CD5F12" w:rsidRPr="00CD5F12" w:rsidRDefault="00CD5F12" w:rsidP="00CD5F12">
      <w:pPr>
        <w:spacing w:after="360" w:line="360" w:lineRule="auto"/>
        <w:ind w:right="-159"/>
        <w:jc w:val="both"/>
        <w:rPr>
          <w:rFonts w:eastAsia="Calibri"/>
          <w:sz w:val="26"/>
          <w:szCs w:val="26"/>
          <w:lang w:eastAsia="en-US"/>
        </w:rPr>
      </w:pPr>
    </w:p>
    <w:p w14:paraId="7135536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El incremento de los ingresos fiscales de Argentina se explica por una creciente recaudación del impuesto sobre el valor agregado y del impuesto sobre las ganancias, tanto de las sociedades como de las personas físicas. Destaca el crecimiento de los aportes y las contribuciones a la seguridad social debido al aumento de las remuneraciones imponibles. Los ingresos no tributarios también se acrecentaron, a causa de un aumento de las rentas de propiedad.</w:t>
      </w:r>
    </w:p>
    <w:p w14:paraId="25CDF34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Honduras, la reciente reforma fiscal permitió incrementar los ingresos tributarios, en particular los procedentes de impuestos indirectos. Entre las nuevas medidas adoptadas destacan el aumento de la tasa del IVA —del 12 al 15%— y la reducción del número de productos de la canasta básica exentos de ese impuesto. El aumento de los ingresos fiscales totales en la República Dominicana se explica principalmente por los ingresos extraordinarios obtenidos en 2014 a través de los impuestos sobre la renta y sobre los beneficios por ventas de las empresas. También destacan los ingresos percibidos por los nuevos impuestos sobre la actividad minera (el impuesto mínimo anual minero y el impuesto sobre las utilidades mineras).</w:t>
      </w:r>
    </w:p>
    <w:p w14:paraId="68FBE37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fuerte caída de los precios internacionales de los productos básicos arrastró a la baja los ingresos fiscales de los países exportadores de estos bienes. En México, la reducción de los ingresos no tributarios como porcentaje del PIB fue de 1.8 puntos porcentuales, mientras que en los demás países exportadores de hidrocarburos se produjo una baja de 0.7 puntos porcentuales en promedio. En los países exportadores de metales y minerales también se registró un descenso de los ingresos no tributarios, en este caso de 0.3 puntos porcentuales. </w:t>
      </w:r>
    </w:p>
    <w:p w14:paraId="2251DD7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los países del Caribe se advierte una divergencia en la evolución de los ingresos fiscales entre los países que exportan recursos naturales no renovables —en que se observó una disminución— y los exportadores de servicios —donde se registró un alza importante de los ingresos tributarios gracias a la recuperación económica—. También </w:t>
      </w:r>
      <w:r w:rsidRPr="00CD5F12">
        <w:rPr>
          <w:rFonts w:eastAsia="Calibri"/>
          <w:sz w:val="26"/>
          <w:szCs w:val="26"/>
          <w:lang w:eastAsia="en-US"/>
        </w:rPr>
        <w:lastRenderedPageBreak/>
        <w:t>se constató un desempeño favorable de los ingresos tributarios en México y Centroamérica. En promedio para América Latina los ingresos no tributarios muestran una disminución y los tributarios un incremento.</w:t>
      </w:r>
    </w:p>
    <w:p w14:paraId="39A9EF87" w14:textId="7D08FE14"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los últimos años varios países de la región han llevado a cabo reformas tributarias</w:t>
      </w:r>
      <w:r w:rsidRPr="00CD5F12">
        <w:rPr>
          <w:rFonts w:eastAsia="Calibri"/>
          <w:sz w:val="26"/>
          <w:szCs w:val="26"/>
          <w:vertAlign w:val="superscript"/>
          <w:lang w:eastAsia="en-US"/>
        </w:rPr>
        <w:footnoteReference w:id="26"/>
      </w:r>
      <w:r w:rsidRPr="00CD5F12">
        <w:rPr>
          <w:rFonts w:eastAsia="Calibri"/>
          <w:sz w:val="26"/>
          <w:szCs w:val="26"/>
          <w:lang w:eastAsia="en-US"/>
        </w:rPr>
        <w:t xml:space="preserve">. Si bien </w:t>
      </w:r>
      <w:r w:rsidR="00877DDF">
        <w:rPr>
          <w:rFonts w:eastAsia="Calibri"/>
          <w:sz w:val="26"/>
          <w:szCs w:val="26"/>
          <w:lang w:eastAsia="en-US"/>
        </w:rPr>
        <w:t>é</w:t>
      </w:r>
      <w:r w:rsidRPr="00CD5F12">
        <w:rPr>
          <w:rFonts w:eastAsia="Calibri"/>
          <w:sz w:val="26"/>
          <w:szCs w:val="26"/>
          <w:lang w:eastAsia="en-US"/>
        </w:rPr>
        <w:t>stas han supuesto modificaciones diversas, una de las novedades más destacables con respecto a décadas anteriores ha sido que muchos cambios se han centrado en el impuesto sobre la renta, no s</w:t>
      </w:r>
      <w:r w:rsidR="00877DDF">
        <w:rPr>
          <w:rFonts w:eastAsia="Calibri"/>
          <w:sz w:val="26"/>
          <w:szCs w:val="26"/>
          <w:lang w:eastAsia="en-US"/>
        </w:rPr>
        <w:t>ó</w:t>
      </w:r>
      <w:r w:rsidRPr="00CD5F12">
        <w:rPr>
          <w:rFonts w:eastAsia="Calibri"/>
          <w:sz w:val="26"/>
          <w:szCs w:val="26"/>
          <w:lang w:eastAsia="en-US"/>
        </w:rPr>
        <w:t>lo con el propósito de mejorar el desempeño recaudatorio de los sistemas tributarios, sino también de fortalecer uno de los puntos más débiles de la política fiscal regional, que es el impacto de los sistemas impositivos en la distribución de los ingresos.</w:t>
      </w:r>
    </w:p>
    <w:p w14:paraId="4756EAF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Las reformas han cubierto diversos aspectos del diseño de este grupo de impuestos, entre los que cabe resaltar los vinculados con la ampliación o disminución de la base imponible, el cambio de alícuotas y la tributación internacional.</w:t>
      </w:r>
    </w:p>
    <w:p w14:paraId="6C807578"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Con respecto a la base tributaria del impuesto sobre la renta, las modificaciones se han enmarcado en la tendencia a una ampliación mediante la incorporación de sistemas duales en el impuesto sobre la renta personal (Uruguay en 2007 y Perú en 2009). En varios países de Centroamérica también se aprobaron reformas tributarias en virtud de las cuales se establecían alícuotas uniformes entre un 10 y un 15% para gravar las rentas de capital que se encontraban exentas (con excepciones en los casos de rentas percibidas por los no residentes), lo que se combinó con mayores tasas a las utilidades empresariales y el establecimiento de tasas progresivas a las rentas del trabajo. Esta modalidad es similar a la versión uruguaya del impuesto sobre la renta dual</w:t>
      </w:r>
      <w:r w:rsidRPr="00CD5F12">
        <w:rPr>
          <w:rFonts w:eastAsia="Calibri"/>
          <w:sz w:val="26"/>
          <w:szCs w:val="26"/>
          <w:vertAlign w:val="superscript"/>
          <w:lang w:eastAsia="en-US"/>
        </w:rPr>
        <w:footnoteReference w:id="27"/>
      </w:r>
      <w:r w:rsidRPr="00CD5F12">
        <w:rPr>
          <w:rFonts w:eastAsia="Calibri"/>
          <w:sz w:val="26"/>
          <w:szCs w:val="26"/>
          <w:lang w:eastAsia="en-US"/>
        </w:rPr>
        <w:t>.</w:t>
      </w:r>
    </w:p>
    <w:p w14:paraId="17276CD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Asimismo, otros países de la región han avanzado recientemente en la ampliación de la base imponible del impuesto sobre la renta personal e incluyen ahora algunas rentas del capital que en el pasado habían permanecido exentas de ese gravamen. En Uruguay se derogó la exoneración del impuesto sobre la renta de las personas físicas (IRPF) y del impuesto sobre la renta de no residentes (IRNR), de manera que la venta de acciones al portador pasó a estar gravada en las mismas condiciones que las acciones nominativas. En Argentina se eliminó la exención a la compraventa de acciones y títulos que no cotizan en la bolsa, con lo que esas transacciones quedaron sujetas a una imposición del 15%, y se aplicó una alícuota del 10% a la distribución de dividendos. Por otro lado, se registró una disminución de la base imponible del impuesto sobre la renta personal, al aumentarse el mínimo no imponible y la deducción general.</w:t>
      </w:r>
    </w:p>
    <w:p w14:paraId="5E872B7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el caso de Chile, a fines de 2014 se promulgó una amplia reforma tributaria con objeto de mejorar el impacto distributivo del sistema de impuestos y aumentar la eficacia de la recaudación. Sus principales características son la creación de un sistema semintegrado de tributación, la eliminación del Fondo de Utilidades Tributarias (FUT), la eliminación de la depreciación instantánea para grandes empresas y la tributación de las ganancias de capital en bienes raíces para sectores de altos ingresos. Además, se han incluido incentivos a la inversión en la pequeña y mediana empresa. También se prevé un alza gradual del impuesto sobre la renta empresarial, del 20 al 27%, en el régimen semintegrado.</w:t>
      </w:r>
    </w:p>
    <w:p w14:paraId="029BCA1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México se creó un impuesto del 10% sobre las ganancias de capital en la bolsa y la distribución de dividendos. En el impuesto sobre la renta de las empresas se eliminaron o acotaron los tratamientos especiales y los regímenes preferenciales, mientras que en el impuesto sobre la renta personal se puso un límite a las deducciones personales y se redujo el total del ingreso exento por enajenación de casa habitación. En este impuesto, además, se permite la deducción del gasto en educación por un monto máximo que varía según el nivel educativo.</w:t>
      </w:r>
    </w:p>
    <w:p w14:paraId="2DA4242E"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Un caso particular es el de Colombia, donde en 2012 se introdujeron dos impuestos mínimos sobre la renta personal, con la doble finalidad de aumentar el nivel de cumplimiento y el efecto distributivo en forma progresiva. Por un lado, el impuesto mínimo alternativo (IMAN), obligatorio para empleados y con tasas progresivas que van del 0 al 27% hasta cierto monto de renta gravable. Por otro lado, el impuesto mínimo alternativo simple, un sistema simplificado dirigido a empleados y trabajadores por cuenta propia, con tasas de entre el 0 y el 8.17% y que se aplica sobre la misma base gravable que el IMAN.</w:t>
      </w:r>
    </w:p>
    <w:p w14:paraId="0D0CB40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Por otra parte, en la mayoría de las reformas se incluyeron criterios de tributación internacional basadas en la adecuación de normas sobre precios de transferencia, paraísos fiscales y rentas de no residentes (en los casos de Chile, Colombia, El Salvador, Guatemala, Honduras, Nicaragua, Panamá, Perú y la República Dominicana). Asimismo, se impulsaron convenios para el intercambio de información entre los países con objeto de combatir la evasión fiscal.</w:t>
      </w:r>
    </w:p>
    <w:p w14:paraId="3B64688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Como ya se ha señalado, la mayoría de los países afectados por la volatilidad de los precios de los productos básicos está implementando o estudiando medidas para fortalecer la recaudación tributaria, con el objetivo de que las mermas que se produzcan puedan ser compensadas sin que se vea afectada la sostenibilidad de las finanzas públicas en el mediano plazo. La preocupación por fortalecer el impuesto sobre las rentas de capital ha sido la tónica en la región y es probable que en el futuro próximo se encaren reformas tributarias en otros países, especialmente en aquellos en que existen déficit fiscales significativos.</w:t>
      </w:r>
    </w:p>
    <w:p w14:paraId="160B1561"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Pese a la desaceleración, en la región se logró mantener la proporción del gasto y la inversión públicos con respecto al PIB. Durante 2014, los gastos de capital permanecieron relativamente estables o aumentaron con respecto al producto en muchos países. En Centroamérica y la República Dominicana los gastos de capital </w:t>
      </w:r>
      <w:r w:rsidRPr="00CD5F12">
        <w:rPr>
          <w:rFonts w:eastAsia="Calibri"/>
          <w:sz w:val="26"/>
          <w:szCs w:val="26"/>
          <w:lang w:eastAsia="en-US"/>
        </w:rPr>
        <w:lastRenderedPageBreak/>
        <w:t>disminuyeron, así como en los países exportadores de hidrocarburos, aunque el nivel de inversión pública ha seguido siendo muy elevado en estos últimos, especialmente en Bolivia (Estado Plurinacional de) y en Ecuador. Hay que señalar que el pago de intereses supone una elevada carga para las economías del Caribe y también para el Brasil, lo que impide un mayor activismo fiscal.</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1DFE54E7" w14:textId="77777777" w:rsidTr="00835D95">
        <w:trPr>
          <w:jc w:val="center"/>
        </w:trPr>
        <w:tc>
          <w:tcPr>
            <w:tcW w:w="8978" w:type="dxa"/>
          </w:tcPr>
          <w:p w14:paraId="423FFA43"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AMÉRICA LATINA Y EL CARIBE: GASTO PÚBLICO DESAGREGADO DEL GOBIERNO CENTRAL, POR SUBREGIONES Y GRUPOS DE PAÍSES, 2013-2014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2B70B5E1"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 del PIB-</w:t>
            </w:r>
          </w:p>
        </w:tc>
      </w:tr>
      <w:tr w:rsidR="00CD5F12" w:rsidRPr="00CD5F12" w14:paraId="006D79B1" w14:textId="77777777" w:rsidTr="00835D95">
        <w:trPr>
          <w:jc w:val="center"/>
        </w:trPr>
        <w:tc>
          <w:tcPr>
            <w:tcW w:w="8978" w:type="dxa"/>
          </w:tcPr>
          <w:p w14:paraId="410BE56E"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1D7E7311" wp14:editId="17111C89">
                  <wp:extent cx="5607050" cy="2730500"/>
                  <wp:effectExtent l="0" t="0" r="0" b="0"/>
                  <wp:docPr id="1707" name="Imagen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607050" cy="2730500"/>
                          </a:xfrm>
                          <a:prstGeom prst="rect">
                            <a:avLst/>
                          </a:prstGeom>
                          <a:noFill/>
                          <a:ln>
                            <a:noFill/>
                          </a:ln>
                        </pic:spPr>
                      </pic:pic>
                    </a:graphicData>
                  </a:graphic>
                </wp:inline>
              </w:drawing>
            </w:r>
          </w:p>
        </w:tc>
      </w:tr>
      <w:tr w:rsidR="00CD5F12" w:rsidRPr="00CD5F12" w14:paraId="7CE1C2AB" w14:textId="77777777" w:rsidTr="00835D95">
        <w:trPr>
          <w:jc w:val="center"/>
        </w:trPr>
        <w:tc>
          <w:tcPr>
            <w:tcW w:w="8978" w:type="dxa"/>
          </w:tcPr>
          <w:p w14:paraId="02E22EC8"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datos de 2014 corresponden a estimaciones.</w:t>
            </w:r>
          </w:p>
          <w:p w14:paraId="3A2959F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Cobertura del sector público federal.</w:t>
            </w:r>
          </w:p>
          <w:p w14:paraId="5F6D3D9E"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BF60604" w14:textId="77777777" w:rsidR="00CD5F12" w:rsidRPr="00CD5F12" w:rsidRDefault="00CD5F12" w:rsidP="00CD5F12">
      <w:pPr>
        <w:spacing w:after="360" w:line="360" w:lineRule="auto"/>
        <w:ind w:right="-159"/>
        <w:jc w:val="both"/>
        <w:rPr>
          <w:rFonts w:eastAsia="Calibri"/>
          <w:sz w:val="26"/>
          <w:szCs w:val="26"/>
          <w:lang w:eastAsia="en-US"/>
        </w:rPr>
      </w:pPr>
    </w:p>
    <w:p w14:paraId="2851B6E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los países en que el endeudamiento público es bajo (y que, por tanto, tienen mayor disponibilidad financiera) se ha enfrentado la desaceleración con políticas fiscales más activas. En Perú, en noviembre de 2014 se aprobó un conjunto de iniciativas que tendrían un impulso equivalente a un 2% del PIB, a fin de acelerar el crecimiento y reducir los costos y los tiempos de ejecución de los proyectos de inversión públicos y privados. Además, se ha reducido el impuesto sobre la renta de las personas naturales en los segmentos de menores ingresos imponibles, se han establecido mecanismos de estímulo a la adquisición de equipos para las microempresas y, a partir de 2015, irá </w:t>
      </w:r>
      <w:r w:rsidRPr="00CD5F12">
        <w:rPr>
          <w:rFonts w:eastAsia="Calibri"/>
          <w:sz w:val="26"/>
          <w:szCs w:val="26"/>
          <w:lang w:eastAsia="en-US"/>
        </w:rPr>
        <w:lastRenderedPageBreak/>
        <w:t>disminuyendo gradualmente el impuesto sobre la renta corporativo, que será de un 26% en 2019, en vez del 30% actual.</w:t>
      </w:r>
    </w:p>
    <w:p w14:paraId="61E166BF"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Chile se contempla para 2015 un presupuesto expansivo, con un incremento del 9.9% en términos reales del gasto total y del 27.5% del gasto en activos no financieros (inversión y transferencias de capital). Por su parte, en el Estado Plurinacional de Bolivia se mantendrá la tendencia al alza del gasto en inversión, que en gran parte se destina al sector de infraestructura.</w:t>
      </w:r>
    </w:p>
    <w:p w14:paraId="1F2F902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México, el fortalecimiento de los ingresos tributarios, las recientes reformas estructurales en diversas áreas y la creación del Fondo Mexicano del Petróleo para la Estabilización y el Desarrollo aseguran un marco de política fiscal contracíclica a mediano plazo. En efecto, las transferencias anuales no podrán exceder el 4.7% del PIB (en contraste con el flujo actual, superior al 7%), con lo que se espera reducir gradualmente la dependencia que tiene el presupuesto federal de los ingresos derivados de los hidrocarburos, así como fomentar el ahorro de largo plazo.</w:t>
      </w:r>
    </w:p>
    <w:p w14:paraId="7EB99E5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los países en que el nivel de la deuda pública es más elevado o en que existen dificultades de financiamiento a causa del debilitamiento de las cuentas públicas previsto para 2015 se han anunciado recortes presupuestarios. Al contemplar medidas de contención del gasto, será preciso proteger la inversión y evitar círculos viciosos causados por ajustes fiscales excesivos que afectarían el crecimiento, redundarían en una merma de los recursos tributarios y, en última instancia, provocarían una agudización del déficit y un aumento de la deuda pública.</w:t>
      </w:r>
    </w:p>
    <w:p w14:paraId="31FCC467"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B. Las políticas monetaria, cambiaria y macroprudencial</w:t>
      </w:r>
    </w:p>
    <w:p w14:paraId="490777DD"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el ámbito monetario y cambiario, los países de la región mostraron durante 2014 una clara orientación contracíclica, independientemente de su esquema de política. Se otorgó un mayor protagonismo al estímulo de la demanda agregada y se definieron </w:t>
      </w:r>
      <w:r w:rsidRPr="00CD5F12">
        <w:rPr>
          <w:rFonts w:eastAsia="Calibri"/>
          <w:sz w:val="26"/>
          <w:szCs w:val="26"/>
          <w:lang w:eastAsia="en-US"/>
        </w:rPr>
        <w:lastRenderedPageBreak/>
        <w:t>horizontes de mediano plazo para el seguimiento de las metas de inflación. Al mismo tiempo, las autoridades procuraron aminorar los efectos de la volatilidad externa sobre los mercados financieros de la región empleando las reservas internacionales e introduciendo modificaciones a las normas macroprudenciales.</w:t>
      </w:r>
    </w:p>
    <w:p w14:paraId="3E8E27F6"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Durante 2014, el principal reto que enfrentaron los gestores de política fue balancear el peso otorgado a los objetivos de inflación, crecimiento y estabilidad de la moneda, dependiendo del contexto externo y de la dinámica de la demanda agregada interna. Para ello emplearon todas las herramientas disponibles, prestando atención a las presiones inflacionarias existentes, a las fluctuaciones de los tipos de cambio resultantes de la volatilidad e incertidumbre reinante en los mercados financieros internacionales, y a la desaceleración de la demanda agregada, en especial la de origen externo. El resultado fue una política monetaria cuya orientación varió durante el año, en que destacó la preocupación por el dinamismo de la actividad económica, al margen del régimen monetario de cada país.</w:t>
      </w:r>
    </w:p>
    <w:p w14:paraId="6E9FD79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Así, en la mayoría de las economías con objetivos explícitos de inflación (Chile, México y Perú), las autoridades monetarias mantuvieron una política de reducción de las tasas de referencia con objeto de estimular la demanda agregada interna, aunque la inflación observada durante 2014 se mantuvo por encima del límite superior del rango establecido como objetivo. En los casos de Brasil y Colombia, las autoridades consideraron prudente incrementar las tasas de referencia ante la reducción de la brecha entre la capacidad utilizada e instalada y un posible crecimiento del consumo por encima de lo contemplado en los escenarios de partida.</w:t>
      </w:r>
    </w:p>
    <w:p w14:paraId="051DAF4B" w14:textId="77777777" w:rsidR="00CD5F12" w:rsidRPr="00CD5F12" w:rsidRDefault="00CD5F12" w:rsidP="00CD5F12">
      <w:pPr>
        <w:spacing w:after="360" w:line="360" w:lineRule="auto"/>
        <w:ind w:right="-159"/>
        <w:jc w:val="both"/>
        <w:rPr>
          <w:rFonts w:eastAsia="Calibri"/>
          <w:sz w:val="26"/>
          <w:szCs w:val="26"/>
          <w:lang w:eastAsia="en-US"/>
        </w:rPr>
      </w:pPr>
    </w:p>
    <w:p w14:paraId="5EDA8D03"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DCC2F5C" w14:textId="77777777" w:rsidTr="00835D95">
        <w:trPr>
          <w:jc w:val="center"/>
        </w:trPr>
        <w:tc>
          <w:tcPr>
            <w:tcW w:w="8978" w:type="dxa"/>
          </w:tcPr>
          <w:p w14:paraId="016091D9"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BRASIL, CHILE, COLOMBIA, MÉXICO Y PERÚ: TASA DE POLÍTICA MONETARIA, ENERO DE 2013 A NOVIEMBRE DE 2014</w:t>
            </w:r>
          </w:p>
          <w:p w14:paraId="70C7D891"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3A64D7C2" w14:textId="77777777" w:rsidTr="00835D95">
        <w:trPr>
          <w:jc w:val="center"/>
        </w:trPr>
        <w:tc>
          <w:tcPr>
            <w:tcW w:w="8978" w:type="dxa"/>
          </w:tcPr>
          <w:p w14:paraId="5D41A507"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06806095" wp14:editId="0605D913">
                  <wp:extent cx="5523504" cy="2808000"/>
                  <wp:effectExtent l="0" t="0" r="1270" b="0"/>
                  <wp:docPr id="1708" name="Imagen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523504" cy="2808000"/>
                          </a:xfrm>
                          <a:prstGeom prst="rect">
                            <a:avLst/>
                          </a:prstGeom>
                        </pic:spPr>
                      </pic:pic>
                    </a:graphicData>
                  </a:graphic>
                </wp:inline>
              </w:drawing>
            </w:r>
          </w:p>
        </w:tc>
      </w:tr>
      <w:tr w:rsidR="00CD5F12" w:rsidRPr="00CD5F12" w14:paraId="65831445" w14:textId="77777777" w:rsidTr="00835D95">
        <w:trPr>
          <w:jc w:val="center"/>
        </w:trPr>
        <w:tc>
          <w:tcPr>
            <w:tcW w:w="8978" w:type="dxa"/>
          </w:tcPr>
          <w:p w14:paraId="49B5FBA0"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0AD9186" w14:textId="77777777" w:rsidR="00CD5F12" w:rsidRPr="00CD5F12" w:rsidRDefault="00CD5F12" w:rsidP="00CD5F12">
      <w:pPr>
        <w:spacing w:after="360" w:line="360" w:lineRule="auto"/>
        <w:ind w:right="-159"/>
        <w:jc w:val="both"/>
        <w:rPr>
          <w:rFonts w:eastAsia="Calibri"/>
          <w:sz w:val="26"/>
          <w:szCs w:val="26"/>
          <w:lang w:eastAsia="en-US"/>
        </w:rPr>
      </w:pPr>
    </w:p>
    <w:p w14:paraId="4DB4C88D" w14:textId="5D085055"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En la mayoría de las economías cuyo principal instrumento son los agregados, la base monetaria experimentó una leve aceleración durante 2014. Desde mediados de 2013</w:t>
      </w:r>
      <w:r w:rsidR="00877DDF">
        <w:rPr>
          <w:rFonts w:eastAsia="Calibri"/>
          <w:sz w:val="26"/>
          <w:szCs w:val="26"/>
          <w:lang w:eastAsia="en-US"/>
        </w:rPr>
        <w:t>,</w:t>
      </w:r>
      <w:r w:rsidRPr="00CD5F12">
        <w:rPr>
          <w:rFonts w:eastAsia="Calibri"/>
          <w:sz w:val="26"/>
          <w:szCs w:val="26"/>
          <w:lang w:eastAsia="en-US"/>
        </w:rPr>
        <w:t xml:space="preserve"> la expansión de la base monetaria se había ido moderando en la mayoría de las economías de la región. Esta tendencia se ha revertido durante 2014 y, con la excepción de las economías del Caribe de habla inglesa, se ha acelerado el ritmo de crecimiento de la base monetaria. </w:t>
      </w:r>
    </w:p>
    <w:p w14:paraId="2B7EA144"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Esta orientación de la política monetaria refleja la importancia que las autoridades de la región concedieron a evitar una mayor desaceleración de sus economías, así como a que las presiones inflacionarias pudieran disminuir en el futuro cercano, dado el comportamiento reciente de los precios de la energía y al efecto que podían tener las expectativas de un menor crecimiento de la demanda agregada interna.</w:t>
      </w:r>
    </w:p>
    <w:p w14:paraId="33FD7197" w14:textId="77777777" w:rsidR="00CD5F12" w:rsidRPr="00CD5F12" w:rsidRDefault="00CD5F12" w:rsidP="00CD5F12">
      <w:pPr>
        <w:spacing w:after="360" w:line="360" w:lineRule="auto"/>
        <w:ind w:right="-159"/>
        <w:jc w:val="both"/>
        <w:rPr>
          <w:rFonts w:eastAsia="Calibri"/>
          <w:sz w:val="26"/>
          <w:szCs w:val="26"/>
          <w:lang w:eastAsia="en-US"/>
        </w:rPr>
      </w:pPr>
    </w:p>
    <w:p w14:paraId="1CFB7710"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CA26523" w14:textId="77777777" w:rsidTr="00835D95">
        <w:trPr>
          <w:jc w:val="center"/>
        </w:trPr>
        <w:tc>
          <w:tcPr>
            <w:tcW w:w="8978" w:type="dxa"/>
          </w:tcPr>
          <w:p w14:paraId="7613660B"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EVOLUCIÓN DE LA BASE MONETARIA, PRIMER TRIMESTRE DE 2010 A TERCER TRIMESTRE DE 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613EADE7"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7C73B173" w14:textId="77777777" w:rsidTr="00835D95">
        <w:trPr>
          <w:jc w:val="center"/>
        </w:trPr>
        <w:tc>
          <w:tcPr>
            <w:tcW w:w="8978" w:type="dxa"/>
          </w:tcPr>
          <w:p w14:paraId="3D0ED0F9"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9655012" wp14:editId="2EBD95C9">
                  <wp:extent cx="5525486" cy="2844000"/>
                  <wp:effectExtent l="0" t="0" r="0" b="0"/>
                  <wp:docPr id="1709" name="Imagen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25486" cy="2844000"/>
                          </a:xfrm>
                          <a:prstGeom prst="rect">
                            <a:avLst/>
                          </a:prstGeom>
                          <a:noFill/>
                          <a:ln>
                            <a:noFill/>
                          </a:ln>
                        </pic:spPr>
                      </pic:pic>
                    </a:graphicData>
                  </a:graphic>
                </wp:inline>
              </w:drawing>
            </w:r>
          </w:p>
        </w:tc>
      </w:tr>
      <w:tr w:rsidR="00CD5F12" w:rsidRPr="00CD5F12" w14:paraId="0C1AD04C" w14:textId="77777777" w:rsidTr="00835D95">
        <w:trPr>
          <w:jc w:val="center"/>
        </w:trPr>
        <w:tc>
          <w:tcPr>
            <w:tcW w:w="8978" w:type="dxa"/>
          </w:tcPr>
          <w:p w14:paraId="7D6B968A"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Promedios de las tasas de variaciones trimestrales anualizadas.</w:t>
            </w:r>
          </w:p>
          <w:p w14:paraId="237B1F73"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Costa Rica, El Salvador, Guatemala, Haití, Honduras, Nicaragua, Panamá y República Dominicana.</w:t>
            </w:r>
          </w:p>
          <w:p w14:paraId="4572473C"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c</w:t>
            </w:r>
            <w:r w:rsidRPr="00CD5F12">
              <w:rPr>
                <w:rFonts w:eastAsia="Calibri"/>
                <w:sz w:val="20"/>
                <w:szCs w:val="20"/>
                <w:lang w:eastAsia="en-US"/>
              </w:rPr>
              <w:t>/ Argentina, Bolivia (Estado Plurinacional de), Ecuador, Paraguay, Uruguay y Venezuela (República Bolivariana de).</w:t>
            </w:r>
          </w:p>
          <w:p w14:paraId="4C239513"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7BB5B7A4" w14:textId="77777777" w:rsidR="00CD5F12" w:rsidRPr="00CD5F12" w:rsidRDefault="00CD5F12" w:rsidP="00CD5F12">
      <w:pPr>
        <w:spacing w:after="360" w:line="360" w:lineRule="auto"/>
        <w:ind w:right="-159"/>
        <w:jc w:val="both"/>
        <w:rPr>
          <w:rFonts w:eastAsia="Calibri"/>
          <w:sz w:val="26"/>
          <w:szCs w:val="26"/>
          <w:lang w:eastAsia="en-US"/>
        </w:rPr>
      </w:pPr>
    </w:p>
    <w:p w14:paraId="05530C16"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sesgo de la política monetaria se ha traducido en una importante reducción de las tasas de interés activas en las economías con objetivo de inflación (salvo en Brasil), en las economías del Caribe de habla inglesa y, en menor medida, en Centroamérica. En el caso de las economías de América del Sur sin un objetivo de inflación, durante 2014, las tasas de interés activas registraron en promedio un aumento respecto a los niveles observados en 2013, aunque en términos absolutos se redujeron, al igual que en el resto de la región.</w:t>
      </w:r>
    </w:p>
    <w:p w14:paraId="5E03650F" w14:textId="77777777" w:rsidR="00CD5F12" w:rsidRPr="00CD5F12" w:rsidRDefault="00CD5F12" w:rsidP="00CD5F12">
      <w:pPr>
        <w:spacing w:after="360" w:line="360" w:lineRule="auto"/>
        <w:ind w:right="-159"/>
        <w:jc w:val="both"/>
        <w:rPr>
          <w:rFonts w:eastAsia="Calibri"/>
          <w:sz w:val="26"/>
          <w:szCs w:val="26"/>
          <w:lang w:eastAsia="en-US"/>
        </w:rPr>
      </w:pPr>
    </w:p>
    <w:p w14:paraId="4348CBB6" w14:textId="77777777" w:rsidR="00CD5F12" w:rsidRPr="00CD5F12" w:rsidRDefault="00CD5F12" w:rsidP="00CD5F12">
      <w:pPr>
        <w:spacing w:after="360" w:line="360" w:lineRule="auto"/>
        <w:ind w:right="-159"/>
        <w:jc w:val="both"/>
        <w:rPr>
          <w:rFonts w:eastAsia="Calibri"/>
          <w:sz w:val="26"/>
          <w:szCs w:val="26"/>
          <w:lang w:eastAsia="en-US"/>
        </w:rPr>
      </w:pPr>
    </w:p>
    <w:p w14:paraId="5ABBE819"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4553733" w14:textId="77777777" w:rsidTr="00835D95">
        <w:trPr>
          <w:jc w:val="center"/>
        </w:trPr>
        <w:tc>
          <w:tcPr>
            <w:tcW w:w="8978" w:type="dxa"/>
          </w:tcPr>
          <w:p w14:paraId="75C3DEE5"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TASA DE INTERÉS ACTIVA, PROMEDIO SEGÚN SUBREGIÓN, ENERO DE 2010 A SEPTIEMBRE DE 2014</w:t>
            </w:r>
          </w:p>
          <w:p w14:paraId="764AF2E5"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0390762C" w14:textId="77777777" w:rsidTr="00835D95">
        <w:trPr>
          <w:jc w:val="center"/>
        </w:trPr>
        <w:tc>
          <w:tcPr>
            <w:tcW w:w="8978" w:type="dxa"/>
          </w:tcPr>
          <w:p w14:paraId="44336AAE"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3A28124B" wp14:editId="2E528BA8">
                  <wp:extent cx="5607050" cy="2844800"/>
                  <wp:effectExtent l="0" t="0" r="0" b="0"/>
                  <wp:docPr id="1710" name="Imagen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07050" cy="2844800"/>
                          </a:xfrm>
                          <a:prstGeom prst="rect">
                            <a:avLst/>
                          </a:prstGeom>
                          <a:noFill/>
                          <a:ln>
                            <a:noFill/>
                          </a:ln>
                        </pic:spPr>
                      </pic:pic>
                    </a:graphicData>
                  </a:graphic>
                </wp:inline>
              </w:drawing>
            </w:r>
          </w:p>
        </w:tc>
      </w:tr>
      <w:tr w:rsidR="00CD5F12" w:rsidRPr="00CD5F12" w14:paraId="61692426" w14:textId="77777777" w:rsidTr="00835D95">
        <w:trPr>
          <w:jc w:val="center"/>
        </w:trPr>
        <w:tc>
          <w:tcPr>
            <w:tcW w:w="8978" w:type="dxa"/>
          </w:tcPr>
          <w:p w14:paraId="58122B1B"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Costa Rica, El Salvador, Guatemala, Haití, Honduras, Nicaragua, Panamá y República Dominicana.</w:t>
            </w:r>
          </w:p>
          <w:p w14:paraId="4C0CA2B2"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Argentina, Bolivia (Estado Plurinacional de), Ecuador, Paraguay, Uruguay y Venezuela (República Bolivariana de).</w:t>
            </w:r>
          </w:p>
          <w:p w14:paraId="1BCA521F"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c</w:t>
            </w:r>
            <w:r w:rsidRPr="00CD5F12">
              <w:rPr>
                <w:rFonts w:eastAsia="Calibri"/>
                <w:sz w:val="20"/>
                <w:szCs w:val="20"/>
                <w:lang w:eastAsia="en-US"/>
              </w:rPr>
              <w:t>/ Brasil, Chile, Colombia, México y Perú.</w:t>
            </w:r>
          </w:p>
          <w:p w14:paraId="3BBD1F5E"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199CBF31" w14:textId="77777777" w:rsidR="00CD5F12" w:rsidRPr="00CD5F12" w:rsidRDefault="00CD5F12" w:rsidP="00CD5F12">
      <w:pPr>
        <w:spacing w:after="360" w:line="360" w:lineRule="auto"/>
        <w:ind w:right="-159"/>
        <w:jc w:val="both"/>
        <w:rPr>
          <w:rFonts w:eastAsia="Calibri"/>
          <w:sz w:val="26"/>
          <w:szCs w:val="26"/>
          <w:lang w:eastAsia="en-US"/>
        </w:rPr>
      </w:pPr>
    </w:p>
    <w:p w14:paraId="2D5F782B"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Sin embargo, pese a los estímulos monetarios y al descenso de las tasas de interés, el crecimiento del crédito interno otorgado al sector privado mantuvo la tendencia a la desaceleración durante 2014. La excepción fueron las economías sudamericanas, donde esta variable experimentó una leve recuperación, fundamentalmente en la República Bolivariana de Venezuela.</w:t>
      </w:r>
    </w:p>
    <w:p w14:paraId="4291DA65" w14:textId="77777777" w:rsidR="00CD5F12" w:rsidRPr="00CD5F12" w:rsidRDefault="00CD5F12" w:rsidP="00CD5F12">
      <w:pPr>
        <w:spacing w:after="360" w:line="360" w:lineRule="auto"/>
        <w:ind w:right="-159"/>
        <w:jc w:val="both"/>
        <w:rPr>
          <w:rFonts w:eastAsia="Calibri"/>
          <w:sz w:val="26"/>
          <w:szCs w:val="26"/>
          <w:lang w:eastAsia="en-US"/>
        </w:rPr>
      </w:pPr>
    </w:p>
    <w:p w14:paraId="7074272F" w14:textId="77777777" w:rsidR="00CD5F12" w:rsidRPr="00CD5F12" w:rsidRDefault="00CD5F12" w:rsidP="00CD5F12">
      <w:pPr>
        <w:spacing w:after="360" w:line="360" w:lineRule="auto"/>
        <w:ind w:right="-159"/>
        <w:jc w:val="both"/>
        <w:rPr>
          <w:rFonts w:eastAsia="Calibri"/>
          <w:sz w:val="26"/>
          <w:szCs w:val="26"/>
          <w:lang w:eastAsia="en-US"/>
        </w:rPr>
      </w:pPr>
    </w:p>
    <w:p w14:paraId="331035C1" w14:textId="77777777" w:rsidR="00CD5F12" w:rsidRPr="00CD5F12" w:rsidRDefault="00CD5F12" w:rsidP="00CD5F12">
      <w:pPr>
        <w:spacing w:after="360" w:line="360" w:lineRule="auto"/>
        <w:ind w:right="-159"/>
        <w:jc w:val="both"/>
        <w:rPr>
          <w:rFonts w:eastAsia="Calibri"/>
          <w:sz w:val="26"/>
          <w:szCs w:val="26"/>
          <w:lang w:eastAsia="en-US"/>
        </w:rPr>
      </w:pPr>
    </w:p>
    <w:p w14:paraId="0FEAF460"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C614C15" w14:textId="77777777" w:rsidTr="00835D95">
        <w:trPr>
          <w:jc w:val="center"/>
        </w:trPr>
        <w:tc>
          <w:tcPr>
            <w:tcW w:w="8978" w:type="dxa"/>
          </w:tcPr>
          <w:p w14:paraId="43ADB063"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EVOLUCIÓN DEL CRÉDITO INTERNO OTORGADO AL SECTOR PRIVADO, PROMEDIOS DE LAS TASAS ANUALIZADAS, ENERO DE 2008 A JULIO DE 2014</w:t>
            </w:r>
          </w:p>
          <w:p w14:paraId="79549190"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3DD3C419" w14:textId="77777777" w:rsidTr="00835D95">
        <w:trPr>
          <w:jc w:val="center"/>
        </w:trPr>
        <w:tc>
          <w:tcPr>
            <w:tcW w:w="8978" w:type="dxa"/>
          </w:tcPr>
          <w:p w14:paraId="7BB08463" w14:textId="77777777" w:rsidR="00CD5F12" w:rsidRPr="00CD5F12" w:rsidRDefault="00CD5F12" w:rsidP="00CD5F12">
            <w:pPr>
              <w:jc w:val="center"/>
              <w:rPr>
                <w:rFonts w:eastAsia="Calibri"/>
                <w:sz w:val="26"/>
                <w:szCs w:val="26"/>
                <w:lang w:eastAsia="en-US"/>
              </w:rPr>
            </w:pPr>
            <w:r w:rsidRPr="00CD5F12">
              <w:rPr>
                <w:rFonts w:eastAsia="Calibri"/>
                <w:noProof/>
                <w:sz w:val="26"/>
                <w:szCs w:val="26"/>
                <w:lang w:eastAsia="es-MX"/>
              </w:rPr>
              <w:drawing>
                <wp:inline distT="0" distB="0" distL="0" distR="0" wp14:anchorId="2FC47FA7" wp14:editId="2061F86B">
                  <wp:extent cx="5575572" cy="2772000"/>
                  <wp:effectExtent l="0" t="0" r="6350" b="9525"/>
                  <wp:docPr id="1711" name="Imagen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75572" cy="2772000"/>
                          </a:xfrm>
                          <a:prstGeom prst="rect">
                            <a:avLst/>
                          </a:prstGeom>
                          <a:noFill/>
                          <a:ln>
                            <a:noFill/>
                          </a:ln>
                        </pic:spPr>
                      </pic:pic>
                    </a:graphicData>
                  </a:graphic>
                </wp:inline>
              </w:drawing>
            </w:r>
          </w:p>
        </w:tc>
      </w:tr>
      <w:tr w:rsidR="00CD5F12" w:rsidRPr="00CD5F12" w14:paraId="36FA7A39" w14:textId="77777777" w:rsidTr="00835D95">
        <w:trPr>
          <w:jc w:val="center"/>
        </w:trPr>
        <w:tc>
          <w:tcPr>
            <w:tcW w:w="8978" w:type="dxa"/>
          </w:tcPr>
          <w:p w14:paraId="0016CFEC"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Costa Rica, Guatemala, Haití, Honduras, Nicaragua y República Dominicana.</w:t>
            </w:r>
          </w:p>
          <w:p w14:paraId="0633463D"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b</w:t>
            </w:r>
            <w:r w:rsidRPr="00CD5F12">
              <w:rPr>
                <w:rFonts w:eastAsia="Calibri"/>
                <w:sz w:val="20"/>
                <w:szCs w:val="20"/>
                <w:lang w:eastAsia="en-US"/>
              </w:rPr>
              <w:t xml:space="preserve">/ Brasil, Chile, Colombia, México y Perú. </w:t>
            </w:r>
          </w:p>
          <w:p w14:paraId="781A39CC"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c</w:t>
            </w:r>
            <w:r w:rsidRPr="00CD5F12">
              <w:rPr>
                <w:rFonts w:eastAsia="Calibri"/>
                <w:sz w:val="20"/>
                <w:szCs w:val="20"/>
                <w:lang w:eastAsia="en-US"/>
              </w:rPr>
              <w:t>/ Ecuador, El Salvador y Panamá.</w:t>
            </w:r>
          </w:p>
          <w:p w14:paraId="212831FA"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d</w:t>
            </w:r>
            <w:r w:rsidRPr="00CD5F12">
              <w:rPr>
                <w:rFonts w:eastAsia="Calibri"/>
                <w:sz w:val="20"/>
                <w:szCs w:val="20"/>
                <w:lang w:eastAsia="en-US"/>
              </w:rPr>
              <w:t>/ Argentina, Bolivia (Estado Plurinacional de), Paraguay, Uruguay y Venezuela (República Bolivariana de).</w:t>
            </w:r>
          </w:p>
          <w:p w14:paraId="1E12169E"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422FB9D8" w14:textId="77777777" w:rsidR="00CD5F12" w:rsidRPr="00CD5F12" w:rsidRDefault="00CD5F12" w:rsidP="00CD5F12">
      <w:pPr>
        <w:spacing w:after="360" w:line="360" w:lineRule="auto"/>
        <w:ind w:right="-159"/>
        <w:jc w:val="both"/>
        <w:rPr>
          <w:rFonts w:eastAsia="Calibri"/>
          <w:sz w:val="26"/>
          <w:szCs w:val="26"/>
          <w:lang w:eastAsia="en-US"/>
        </w:rPr>
      </w:pPr>
    </w:p>
    <w:p w14:paraId="3BF964D7"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Las condiciones prevalecientes en los mercados financieros internacionales, y en particular los anuncios de “normalización” de la política monetaria en los Estados Unidos de Norteamérica, ocasionaron una mayor volatilidad de los tipos de cambio de la región y la depreciación de algunas de las monedas con un tipo flexible. El real brasileño, el peso chileno y el peso colombiano siguieron mostrando la volatilidad que se venía observando desde finales de 2013, cuando la Reserva Federal estadounidense anunció la finalización gradual de su programa de inyección de liquidez. Las depreciaciones del real, el peso colombiano y el sol entre septiembre de 2013 y septiembre de 2014 fueron cercanas al 3%. En el caso del peso mexicano fue del 1.4%, mientras que al comparar los valores registrados a septiembre de 2013 y septiembre 2014, el peso chileno mostraba una depreciación del 18 por ciento.</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6DFAF3B" w14:textId="77777777" w:rsidTr="00835D95">
        <w:trPr>
          <w:jc w:val="center"/>
        </w:trPr>
        <w:tc>
          <w:tcPr>
            <w:tcW w:w="8978" w:type="dxa"/>
          </w:tcPr>
          <w:p w14:paraId="699E6FFC"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BRASIL, CHILE, COLOMBIA, MÉXICO Y PERÚ: EVOLUCIÓN DEL TIPO DE CAMBIO NOMINAL, 2011-2014</w:t>
            </w:r>
          </w:p>
          <w:p w14:paraId="7E3AF541"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-Índice 100 = 2005-</w:t>
            </w:r>
          </w:p>
        </w:tc>
      </w:tr>
      <w:tr w:rsidR="00CD5F12" w:rsidRPr="00CD5F12" w14:paraId="751D8295" w14:textId="77777777" w:rsidTr="00835D95">
        <w:trPr>
          <w:jc w:val="center"/>
        </w:trPr>
        <w:tc>
          <w:tcPr>
            <w:tcW w:w="8978" w:type="dxa"/>
          </w:tcPr>
          <w:p w14:paraId="3E524493"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6983F709" wp14:editId="06A91021">
                  <wp:extent cx="5559832" cy="3024000"/>
                  <wp:effectExtent l="0" t="0" r="3175" b="5080"/>
                  <wp:docPr id="1712" name="Imagen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559832" cy="3024000"/>
                          </a:xfrm>
                          <a:prstGeom prst="rect">
                            <a:avLst/>
                          </a:prstGeom>
                        </pic:spPr>
                      </pic:pic>
                    </a:graphicData>
                  </a:graphic>
                </wp:inline>
              </w:drawing>
            </w:r>
          </w:p>
        </w:tc>
      </w:tr>
      <w:tr w:rsidR="00CD5F12" w:rsidRPr="00CD5F12" w14:paraId="713C7331" w14:textId="77777777" w:rsidTr="00835D95">
        <w:trPr>
          <w:jc w:val="center"/>
        </w:trPr>
        <w:tc>
          <w:tcPr>
            <w:tcW w:w="8978" w:type="dxa"/>
          </w:tcPr>
          <w:p w14:paraId="08277D6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Los datos del último trimestre de 2014 corresponden a estimaciones.</w:t>
            </w:r>
          </w:p>
          <w:p w14:paraId="6E0281DA"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371C0754" w14:textId="77777777" w:rsidR="00CD5F12" w:rsidRPr="00CD5F12" w:rsidRDefault="00CD5F12" w:rsidP="00CD5F12">
      <w:pPr>
        <w:spacing w:after="360" w:line="360" w:lineRule="auto"/>
        <w:ind w:right="-159"/>
        <w:jc w:val="both"/>
        <w:rPr>
          <w:rFonts w:eastAsia="Calibri"/>
          <w:sz w:val="26"/>
          <w:szCs w:val="26"/>
          <w:lang w:eastAsia="en-US"/>
        </w:rPr>
      </w:pPr>
    </w:p>
    <w:p w14:paraId="4951E3F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El comportamiento de los tipos de cambio y las dinámicas inflacionarias (relativas) de las economías de la región se tradujeron en una apreciación del tipo de cambio real efectivo extrarregional, siendo esta tendencia más pronunciada en las economías de América del Sur.</w:t>
      </w:r>
    </w:p>
    <w:p w14:paraId="65A3CC14" w14:textId="77777777" w:rsidR="00CD5F12" w:rsidRPr="00CD5F12" w:rsidRDefault="00CD5F12" w:rsidP="00CD5F12">
      <w:pPr>
        <w:spacing w:after="360" w:line="360" w:lineRule="auto"/>
        <w:ind w:right="-159"/>
        <w:jc w:val="both"/>
        <w:rPr>
          <w:rFonts w:eastAsia="Calibri"/>
          <w:sz w:val="26"/>
          <w:szCs w:val="26"/>
          <w:lang w:eastAsia="en-US"/>
        </w:rPr>
      </w:pPr>
    </w:p>
    <w:p w14:paraId="57D9086F" w14:textId="77777777" w:rsidR="00CD5F12" w:rsidRPr="00CD5F12" w:rsidRDefault="00CD5F12" w:rsidP="00CD5F12">
      <w:pPr>
        <w:spacing w:after="360" w:line="360" w:lineRule="auto"/>
        <w:ind w:right="-159"/>
        <w:jc w:val="both"/>
        <w:rPr>
          <w:rFonts w:eastAsia="Calibri"/>
          <w:sz w:val="26"/>
          <w:szCs w:val="26"/>
          <w:lang w:eastAsia="en-US"/>
        </w:rPr>
      </w:pPr>
    </w:p>
    <w:p w14:paraId="3C257D1D" w14:textId="77777777" w:rsidR="00CD5F12" w:rsidRPr="00CD5F12" w:rsidRDefault="00CD5F12" w:rsidP="00CD5F12">
      <w:pPr>
        <w:spacing w:after="360" w:line="360" w:lineRule="auto"/>
        <w:ind w:right="-159"/>
        <w:jc w:val="both"/>
        <w:rPr>
          <w:rFonts w:eastAsia="Calibri"/>
          <w:sz w:val="26"/>
          <w:szCs w:val="26"/>
          <w:lang w:eastAsia="en-US"/>
        </w:rPr>
      </w:pPr>
    </w:p>
    <w:p w14:paraId="053DA5DE" w14:textId="77777777" w:rsidR="00CD5F12" w:rsidRPr="00CD5F12" w:rsidRDefault="00CD5F12" w:rsidP="00CD5F12">
      <w:pPr>
        <w:spacing w:after="360" w:line="360" w:lineRule="auto"/>
        <w:ind w:right="-159"/>
        <w:jc w:val="both"/>
        <w:rPr>
          <w:rFonts w:eastAsia="Calibri"/>
          <w:sz w:val="26"/>
          <w:szCs w:val="26"/>
          <w:lang w:eastAsia="en-US"/>
        </w:rPr>
      </w:pPr>
    </w:p>
    <w:p w14:paraId="2910F171"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6D198FBB" w14:textId="77777777" w:rsidTr="00835D95">
        <w:trPr>
          <w:jc w:val="center"/>
        </w:trPr>
        <w:tc>
          <w:tcPr>
            <w:tcW w:w="8978" w:type="dxa"/>
          </w:tcPr>
          <w:p w14:paraId="0A0B53F2"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EVOLUCIÓN DEL TIPO DE CAMBIO REAL EFECTIVO EXTRARREGIONAL,  ENERO DE 2011 A SEPTIEMBRE DE 2014</w:t>
            </w:r>
          </w:p>
          <w:p w14:paraId="6FA020DC"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-Índice 100 = 2005-</w:t>
            </w:r>
          </w:p>
        </w:tc>
      </w:tr>
      <w:tr w:rsidR="00CD5F12" w:rsidRPr="00CD5F12" w14:paraId="45512A31" w14:textId="77777777" w:rsidTr="00835D95">
        <w:trPr>
          <w:jc w:val="center"/>
        </w:trPr>
        <w:tc>
          <w:tcPr>
            <w:tcW w:w="8978" w:type="dxa"/>
          </w:tcPr>
          <w:p w14:paraId="08ABE3DC"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1EDC7F22" wp14:editId="0C05F739">
                  <wp:extent cx="5564744" cy="2664000"/>
                  <wp:effectExtent l="0" t="0" r="0" b="3175"/>
                  <wp:docPr id="1713" name="Imagen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564744" cy="2664000"/>
                          </a:xfrm>
                          <a:prstGeom prst="rect">
                            <a:avLst/>
                          </a:prstGeom>
                        </pic:spPr>
                      </pic:pic>
                    </a:graphicData>
                  </a:graphic>
                </wp:inline>
              </w:drawing>
            </w:r>
          </w:p>
        </w:tc>
      </w:tr>
      <w:tr w:rsidR="00CD5F12" w:rsidRPr="00CD5F12" w14:paraId="1DA2E197" w14:textId="77777777" w:rsidTr="00835D95">
        <w:trPr>
          <w:jc w:val="center"/>
        </w:trPr>
        <w:tc>
          <w:tcPr>
            <w:tcW w:w="8978" w:type="dxa"/>
          </w:tcPr>
          <w:p w14:paraId="55CC674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0CB52CAF" w14:textId="77777777" w:rsidR="00CD5F12" w:rsidRPr="00CD5F12" w:rsidRDefault="00CD5F12" w:rsidP="00CD5F12">
      <w:pPr>
        <w:spacing w:after="360" w:line="360" w:lineRule="auto"/>
        <w:ind w:right="-159"/>
        <w:jc w:val="both"/>
        <w:rPr>
          <w:rFonts w:eastAsia="Calibri"/>
          <w:sz w:val="26"/>
          <w:szCs w:val="26"/>
          <w:lang w:eastAsia="en-US"/>
        </w:rPr>
      </w:pPr>
    </w:p>
    <w:p w14:paraId="1D7FEC59"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Ante esta evolución del tipo de cambio, las autoridades de la región emplearon las reservas internacionales para atenuar la volatilidad cambiaria. En economías como las de Costa Rica, Jamaica, Perú, la República Dominicana y Trinidad y Tobago, los bancos centrales intervinieron vendiendo en el mercado cambiario para mitigar las depreciaciones, mientras que en economías como la colombiana las autoridades mantuvieron sus programas de compras de divisas, con lo que se incrementó el saldo de las reservas. </w:t>
      </w:r>
    </w:p>
    <w:p w14:paraId="4F9AE3B4" w14:textId="22FEAB84"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No obstante, a pesar de los esfuerzos por reducir la volatilidad cambiaria, en 2014</w:t>
      </w:r>
      <w:r w:rsidR="00877DDF">
        <w:rPr>
          <w:rFonts w:eastAsia="Calibri"/>
          <w:sz w:val="26"/>
          <w:szCs w:val="26"/>
          <w:lang w:eastAsia="en-US"/>
        </w:rPr>
        <w:t>,</w:t>
      </w:r>
      <w:r w:rsidRPr="00CD5F12">
        <w:rPr>
          <w:rFonts w:eastAsia="Calibri"/>
          <w:sz w:val="26"/>
          <w:szCs w:val="26"/>
          <w:lang w:eastAsia="en-US"/>
        </w:rPr>
        <w:t xml:space="preserve"> las reservas internacionales se han recuperado ligeramente respecto a los niveles registrados a finales de 2013, pues pasaron de 830 mil millones de dólares en diciembre de 2013 a 861 mil millones de dólares en octubre de 2014. Sin embargo, el ritmo de acumulación de las reservas en 2014 fue significativamente más lento que el observado antes de 2012.</w:t>
      </w: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304AD18C" w14:textId="77777777" w:rsidTr="00835D95">
        <w:trPr>
          <w:jc w:val="center"/>
        </w:trPr>
        <w:tc>
          <w:tcPr>
            <w:tcW w:w="8978" w:type="dxa"/>
          </w:tcPr>
          <w:p w14:paraId="041E5446"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lastRenderedPageBreak/>
              <w:t>AMÉRICA LATINA Y EL CARIBE: EVOLUCIÓN DE LAS RESERVAS INTERNACIONALES, 2000-2014</w:t>
            </w:r>
            <w:r w:rsidRPr="00CD5F12">
              <w:rPr>
                <w:rFonts w:eastAsia="Calibri"/>
                <w:b/>
                <w:sz w:val="22"/>
                <w:szCs w:val="22"/>
                <w:u w:val="single"/>
                <w:vertAlign w:val="superscript"/>
                <w:lang w:eastAsia="en-US"/>
              </w:rPr>
              <w:t>a</w:t>
            </w:r>
            <w:r w:rsidRPr="00CD5F12">
              <w:rPr>
                <w:rFonts w:eastAsia="Calibri"/>
                <w:b/>
                <w:sz w:val="22"/>
                <w:szCs w:val="22"/>
                <w:vertAlign w:val="superscript"/>
                <w:lang w:eastAsia="en-US"/>
              </w:rPr>
              <w:t>/</w:t>
            </w:r>
          </w:p>
          <w:p w14:paraId="1A93B9C7"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miles de millones de dólares y porcentajes del PIB-</w:t>
            </w:r>
          </w:p>
        </w:tc>
      </w:tr>
      <w:tr w:rsidR="00CD5F12" w:rsidRPr="00CD5F12" w14:paraId="11FD6150" w14:textId="77777777" w:rsidTr="00835D95">
        <w:trPr>
          <w:jc w:val="center"/>
        </w:trPr>
        <w:tc>
          <w:tcPr>
            <w:tcW w:w="8978" w:type="dxa"/>
          </w:tcPr>
          <w:p w14:paraId="4155C1EC"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5BE9FE34" wp14:editId="3AC9E915">
                  <wp:extent cx="5500245" cy="2808000"/>
                  <wp:effectExtent l="0" t="0" r="5715" b="0"/>
                  <wp:docPr id="1714" name="Imagen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500245" cy="2808000"/>
                          </a:xfrm>
                          <a:prstGeom prst="rect">
                            <a:avLst/>
                          </a:prstGeom>
                        </pic:spPr>
                      </pic:pic>
                    </a:graphicData>
                  </a:graphic>
                </wp:inline>
              </w:drawing>
            </w:r>
          </w:p>
        </w:tc>
      </w:tr>
      <w:tr w:rsidR="00CD5F12" w:rsidRPr="00CD5F12" w14:paraId="6408FCF1" w14:textId="77777777" w:rsidTr="00835D95">
        <w:trPr>
          <w:jc w:val="center"/>
        </w:trPr>
        <w:tc>
          <w:tcPr>
            <w:tcW w:w="8978" w:type="dxa"/>
          </w:tcPr>
          <w:p w14:paraId="408B0717"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Las cifras de 2014 corresponden a octubre y contienen datos preliminares.</w:t>
            </w:r>
          </w:p>
          <w:p w14:paraId="309BCCB5"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47DC8470" w14:textId="77777777" w:rsidR="00CD5F12" w:rsidRPr="00CD5F12" w:rsidRDefault="00CD5F12" w:rsidP="00CD5F12">
      <w:pPr>
        <w:spacing w:after="360" w:line="360" w:lineRule="auto"/>
        <w:ind w:right="-159"/>
        <w:jc w:val="both"/>
        <w:rPr>
          <w:rFonts w:eastAsia="Calibri"/>
          <w:sz w:val="26"/>
          <w:szCs w:val="26"/>
          <w:lang w:eastAsia="en-US"/>
        </w:rPr>
      </w:pPr>
    </w:p>
    <w:p w14:paraId="71D1A33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Las reservas representaron el equivalente a un 14.2% del PIB en 2014, porcentaje ligeramente superior al 14% registrado en 2013, pero aún por debajo del 14.5% en que se habían situado a finales de 2012. Se produjeron aumentos considerables de las reservas en Jamaica (49.4%), Ecuador (37.7%), Paraguay (19.2%), Belice (18.3%) y El Salvador (16.3%). Asimismo, se observaron incrementos en Nicaragua (9.0%), Uruguay (8.8%), Colombia (8.0%), México (7.3%) y Brasil (4.7%). Por otra parte, a lo largo de 2014 continuaron reduciéndose las reservas internacionales de Guyana (18.9%), Suriname (14.6%), Barbados (10.6%), Argentina (10.4%) y la República Bolivariana de Venezuela (4.7%), aunque el ritmo de disminución fue ligeramente inferior al observado en 2013.</w:t>
      </w:r>
    </w:p>
    <w:p w14:paraId="126E54DD" w14:textId="77777777" w:rsidR="00CD5F12" w:rsidRPr="00CD5F12" w:rsidRDefault="00CD5F12" w:rsidP="00CD5F12">
      <w:pPr>
        <w:spacing w:after="360" w:line="360" w:lineRule="auto"/>
        <w:ind w:right="-159"/>
        <w:jc w:val="both"/>
        <w:rPr>
          <w:rFonts w:eastAsia="Calibri"/>
          <w:sz w:val="26"/>
          <w:szCs w:val="26"/>
          <w:lang w:eastAsia="en-US"/>
        </w:rPr>
      </w:pPr>
    </w:p>
    <w:p w14:paraId="2DBA4F78" w14:textId="77777777" w:rsidR="00CD5F12" w:rsidRPr="00CD5F12" w:rsidRDefault="00CD5F12" w:rsidP="00CD5F12">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D5F12" w:rsidRPr="00CD5F12" w14:paraId="0C7FEF61" w14:textId="77777777" w:rsidTr="00835D95">
        <w:trPr>
          <w:jc w:val="center"/>
        </w:trPr>
        <w:tc>
          <w:tcPr>
            <w:tcW w:w="8978" w:type="dxa"/>
          </w:tcPr>
          <w:p w14:paraId="5F877660" w14:textId="00AF937E" w:rsidR="00CD5F12" w:rsidRPr="00CD5F12" w:rsidRDefault="001611C8" w:rsidP="00CD5F12">
            <w:pPr>
              <w:jc w:val="center"/>
              <w:rPr>
                <w:rFonts w:eastAsia="Calibri"/>
                <w:b/>
                <w:sz w:val="22"/>
                <w:szCs w:val="22"/>
                <w:lang w:eastAsia="en-US"/>
              </w:rPr>
            </w:pPr>
            <w:r w:rsidRPr="00CD5F12">
              <w:rPr>
                <w:rFonts w:eastAsia="Calibri"/>
                <w:b/>
                <w:sz w:val="22"/>
                <w:szCs w:val="22"/>
                <w:lang w:eastAsia="en-US"/>
              </w:rPr>
              <w:lastRenderedPageBreak/>
              <w:t xml:space="preserve">AMÉRICA LATINA Y EL CARIBE (26 PAÍSES): VARIACIÓN DE LAS RESERVAS INTERNACIONALES, 2013 Y </w:t>
            </w:r>
            <w:r w:rsidR="00CD5F12" w:rsidRPr="00CD5F12">
              <w:rPr>
                <w:rFonts w:eastAsia="Calibri"/>
                <w:b/>
                <w:sz w:val="22"/>
                <w:szCs w:val="22"/>
                <w:lang w:eastAsia="en-US"/>
              </w:rPr>
              <w:t>2014</w:t>
            </w:r>
            <w:r w:rsidR="00CD5F12" w:rsidRPr="00CD5F12">
              <w:rPr>
                <w:rFonts w:eastAsia="Calibri"/>
                <w:b/>
                <w:sz w:val="22"/>
                <w:szCs w:val="22"/>
                <w:u w:val="single"/>
                <w:vertAlign w:val="superscript"/>
                <w:lang w:eastAsia="en-US"/>
              </w:rPr>
              <w:t>a</w:t>
            </w:r>
            <w:r w:rsidR="00CD5F12" w:rsidRPr="00CD5F12">
              <w:rPr>
                <w:rFonts w:eastAsia="Calibri"/>
                <w:b/>
                <w:sz w:val="22"/>
                <w:szCs w:val="22"/>
                <w:vertAlign w:val="superscript"/>
                <w:lang w:eastAsia="en-US"/>
              </w:rPr>
              <w:t>/</w:t>
            </w:r>
          </w:p>
          <w:p w14:paraId="6AD51B29" w14:textId="77777777" w:rsidR="00CD5F12" w:rsidRPr="00CD5F12" w:rsidRDefault="00CD5F12" w:rsidP="00CD5F12">
            <w:pPr>
              <w:jc w:val="center"/>
              <w:rPr>
                <w:rFonts w:eastAsia="Calibri"/>
                <w:b/>
                <w:sz w:val="22"/>
                <w:szCs w:val="22"/>
                <w:lang w:eastAsia="en-US"/>
              </w:rPr>
            </w:pPr>
            <w:r w:rsidRPr="00CD5F12">
              <w:rPr>
                <w:rFonts w:eastAsia="Calibri"/>
                <w:b/>
                <w:sz w:val="22"/>
                <w:szCs w:val="22"/>
                <w:lang w:eastAsia="en-US"/>
              </w:rPr>
              <w:t>-En porcentajes-</w:t>
            </w:r>
          </w:p>
        </w:tc>
      </w:tr>
      <w:tr w:rsidR="00CD5F12" w:rsidRPr="00CD5F12" w14:paraId="15D49A65" w14:textId="77777777" w:rsidTr="00835D95">
        <w:trPr>
          <w:jc w:val="center"/>
        </w:trPr>
        <w:tc>
          <w:tcPr>
            <w:tcW w:w="8978" w:type="dxa"/>
          </w:tcPr>
          <w:p w14:paraId="230F1CE7" w14:textId="77777777" w:rsidR="00CD5F12" w:rsidRPr="00CD5F12" w:rsidRDefault="00CD5F12" w:rsidP="00CD5F12">
            <w:pPr>
              <w:jc w:val="center"/>
              <w:rPr>
                <w:rFonts w:eastAsia="Calibri"/>
                <w:sz w:val="26"/>
                <w:szCs w:val="26"/>
                <w:lang w:eastAsia="en-US"/>
              </w:rPr>
            </w:pPr>
            <w:r w:rsidRPr="00CD5F12">
              <w:rPr>
                <w:rFonts w:ascii="Calibri" w:eastAsia="Calibri" w:hAnsi="Calibri"/>
                <w:noProof/>
                <w:sz w:val="22"/>
                <w:szCs w:val="22"/>
                <w:lang w:eastAsia="es-MX"/>
              </w:rPr>
              <w:drawing>
                <wp:inline distT="0" distB="0" distL="0" distR="0" wp14:anchorId="6EFF9C73" wp14:editId="5F21CF1A">
                  <wp:extent cx="5552197" cy="2952000"/>
                  <wp:effectExtent l="0" t="0" r="0" b="1270"/>
                  <wp:docPr id="1715" name="Imagen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552197" cy="2952000"/>
                          </a:xfrm>
                          <a:prstGeom prst="rect">
                            <a:avLst/>
                          </a:prstGeom>
                        </pic:spPr>
                      </pic:pic>
                    </a:graphicData>
                  </a:graphic>
                </wp:inline>
              </w:drawing>
            </w:r>
          </w:p>
        </w:tc>
      </w:tr>
      <w:tr w:rsidR="00CD5F12" w:rsidRPr="00CD5F12" w14:paraId="57E6D50B" w14:textId="77777777" w:rsidTr="00835D95">
        <w:trPr>
          <w:jc w:val="center"/>
        </w:trPr>
        <w:tc>
          <w:tcPr>
            <w:tcW w:w="8978" w:type="dxa"/>
          </w:tcPr>
          <w:p w14:paraId="1833CB51" w14:textId="77777777" w:rsidR="00CD5F12" w:rsidRPr="00CD5F12" w:rsidRDefault="00CD5F12" w:rsidP="00CD5F12">
            <w:pPr>
              <w:ind w:left="227" w:hanging="227"/>
              <w:jc w:val="both"/>
              <w:rPr>
                <w:rFonts w:eastAsia="Calibri"/>
                <w:sz w:val="20"/>
                <w:szCs w:val="20"/>
                <w:lang w:eastAsia="en-US"/>
              </w:rPr>
            </w:pPr>
            <w:r w:rsidRPr="00CD5F12">
              <w:rPr>
                <w:rFonts w:eastAsia="Calibri"/>
                <w:sz w:val="20"/>
                <w:szCs w:val="20"/>
                <w:u w:val="single"/>
                <w:lang w:eastAsia="en-US"/>
              </w:rPr>
              <w:t>a</w:t>
            </w:r>
            <w:r w:rsidRPr="00CD5F12">
              <w:rPr>
                <w:rFonts w:eastAsia="Calibri"/>
                <w:sz w:val="20"/>
                <w:szCs w:val="20"/>
                <w:lang w:eastAsia="en-US"/>
              </w:rPr>
              <w:t>/ Variación con respecto a diciembre del año anterior. Las cifras de 2014 corresponden al período de enero a septiembre.</w:t>
            </w:r>
          </w:p>
          <w:p w14:paraId="160BA5DD" w14:textId="77777777" w:rsidR="00CD5F12" w:rsidRPr="00CD5F12" w:rsidRDefault="00CD5F12" w:rsidP="00CD5F12">
            <w:pPr>
              <w:ind w:left="907" w:hanging="907"/>
              <w:jc w:val="both"/>
              <w:rPr>
                <w:rFonts w:eastAsia="Calibri"/>
                <w:sz w:val="20"/>
                <w:szCs w:val="20"/>
                <w:lang w:eastAsia="en-US"/>
              </w:rPr>
            </w:pPr>
            <w:r w:rsidRPr="00CD5F12">
              <w:rPr>
                <w:rFonts w:eastAsia="Calibri"/>
                <w:sz w:val="20"/>
                <w:szCs w:val="20"/>
                <w:lang w:eastAsia="en-US"/>
              </w:rPr>
              <w:t>FUENTE: Comisión Económica para América Latina y el Caribe (CEPAL), sobre la base de cifras oficiales.</w:t>
            </w:r>
          </w:p>
        </w:tc>
      </w:tr>
    </w:tbl>
    <w:p w14:paraId="4D87E4F5" w14:textId="77777777" w:rsidR="00CD5F12" w:rsidRPr="00CD5F12" w:rsidRDefault="00CD5F12" w:rsidP="00CD5F12">
      <w:pPr>
        <w:spacing w:after="360" w:line="360" w:lineRule="auto"/>
        <w:ind w:right="-159"/>
        <w:jc w:val="both"/>
        <w:rPr>
          <w:rFonts w:eastAsia="Calibri"/>
          <w:sz w:val="26"/>
          <w:szCs w:val="26"/>
          <w:lang w:eastAsia="en-US"/>
        </w:rPr>
      </w:pPr>
    </w:p>
    <w:p w14:paraId="71675C4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Los países de la región continuaron reforzando la regulación y supervisión del sector financiero y adaptando su gestión de reservas y de flujos de capital con arreglo al nuevo contexto externo. Entre diciembre de 2013 y octubre de2014 se introdujeron diversos cambios en las normas macroprudenciales, entre los que destacan los siguientes: 1) los requisitos de reserva legal de los depósitos bancarios en Bolivia (Estado Plurinacional de), Brasil, Perú y Venezuela (República Bolivariana de); 2) los requisitos de capital mínimo para las instituciones financieras de Brasil y Nicaragua; 3) límites de inversión basados en la situación de residencia o la moneda en Argentina, Costa Rica, Jamaica, Perú y Uruguay, y 4) los marcos regulatorios del sistema financiero en Costa Rica, Jamaica y Trinidad y Tobago.</w:t>
      </w:r>
    </w:p>
    <w:p w14:paraId="254CD2E3"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Adicionalmente, se han empleado otras políticas macroprudenciales para complementar e intensificar las señales enviadas por las autoridades con los instrumentos de política más tradicionales con el propósito de estabilizar el mercado </w:t>
      </w:r>
      <w:r w:rsidRPr="00CD5F12">
        <w:rPr>
          <w:rFonts w:eastAsia="Calibri"/>
          <w:sz w:val="26"/>
          <w:szCs w:val="26"/>
          <w:lang w:eastAsia="en-US"/>
        </w:rPr>
        <w:lastRenderedPageBreak/>
        <w:t>cambiario y evitar una mayor desaceleración de la actividad económica. Destacan, por una parte, las operaciones de canje efectuadas por el banco central de Brasil para atenuar la volatilidad del real sin comprometer el uso de sus reservas —al menos, en el corto plazo—. A finales de septiembre de 2014, la posición corta a través de las operaciones de canje tuvo un valor nocional de 97 mil millones de dólares, lo que equivale a más de una cuarta parte de las reservas internacionales brutas. Por otro lado, en Argentina y Venezuela (República Bolivariana de) se pusieron en práctica medidas para tratar de normalizar los mercados cambiarios y contener la pérdida sustancial de reservas internacionales que habían experimentado en los últimos años. En Argentina, aparte de limitar su intervención directa en el mercado de divisas, las autoridades establecieron que los bancos privados debían reducir su tenencia de moneda extranjera y restringieron el acceso a dólares a individuos e importadores. Por su parte, el Gobierno de la República Bolivariana de Venezuela introdujo en marzo de 2014 un nuevo mecanismo de cambio de divisas denominado Sistema Cambiario Alternativo de Divisas (SICAD II) y un proceso de consolidación de los activos en moneda extranjera mantenido por diversos entes del sector público. Por último, las autoridades brasileñas han recurrido muy activamente a medidas macroprudenciales, especialmente durante la segunda mitad de 2014, con objeto de frenar la tendencia a la baja del crecimiento del crédito. Para ello, el banco central suavizó los requisitos de reserva legal y capital mínimo de los bancos, facilitando el uso de las reservas para incrementar la oferta de créditos.</w:t>
      </w:r>
    </w:p>
    <w:p w14:paraId="0F430AEF" w14:textId="77777777" w:rsidR="00CD5F12" w:rsidRPr="00CD5F12" w:rsidRDefault="00CD5F12" w:rsidP="00CD5F12">
      <w:pPr>
        <w:spacing w:after="360" w:line="360" w:lineRule="auto"/>
        <w:ind w:right="-159"/>
        <w:jc w:val="both"/>
        <w:rPr>
          <w:rFonts w:eastAsia="Calibri"/>
          <w:b/>
          <w:sz w:val="26"/>
          <w:szCs w:val="26"/>
          <w:lang w:eastAsia="en-US"/>
        </w:rPr>
      </w:pPr>
      <w:r w:rsidRPr="00CD5F12">
        <w:rPr>
          <w:rFonts w:eastAsia="Calibri"/>
          <w:b/>
          <w:sz w:val="26"/>
          <w:szCs w:val="26"/>
          <w:lang w:eastAsia="en-US"/>
        </w:rPr>
        <w:t>Capítulo VII: Perspectivas para 2015 y desafíos</w:t>
      </w:r>
    </w:p>
    <w:p w14:paraId="1A073CB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Se espera que la economía mundial continúe expandiéndose durante 2015, aunque en forma moderada, a una tasa en torno al 3.1%. Al igual que en 2014, la dinámica de crecimiento de los países desarrollados será heterogénea. En las economías emergentes se espera que continúe la tendencia a la desaceleración del ritmo de crecimiento. En el </w:t>
      </w:r>
      <w:r w:rsidRPr="00CD5F12">
        <w:rPr>
          <w:rFonts w:eastAsia="Calibri"/>
          <w:sz w:val="26"/>
          <w:szCs w:val="26"/>
          <w:lang w:eastAsia="en-US"/>
        </w:rPr>
        <w:lastRenderedPageBreak/>
        <w:t xml:space="preserve">caso particular de China, se prevé un crecimiento cercano al 7% en 2015, inferior al 7.3% de 2014. </w:t>
      </w:r>
    </w:p>
    <w:p w14:paraId="22B0A2F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Si bien según las proyecciones habría una tendencia a una moderada aceleración del crecimiento de la economía mundial, aún persisten serios riesgos que podrían poner en duda esta trayectoria. En particular, en la zona del euro aún se observan debilidades importantes de la capacidad de sostener el crecimiento, dados los altos niveles de apalancamiento de sus economías. La trayectoria de la inflación muestra que los riesgos de deflación y bajo crecimiento todavía persisten en esta parte del mundo. A su vez, la situación de Japón podría afectar de manera desfavorable las exportaciones de países vecinos, en particular de China, y reducir el crecimiento global en 2015. A los factores de índole económica hay que sumar elementos geopolíticos, como la situación en Ucrania y el Oriente Medio, que podrían incidir negativamente en la dinámica de crecimiento de 2015. </w:t>
      </w:r>
    </w:p>
    <w:p w14:paraId="6D6925A3"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A las incertidumbres sobre la dinámica de la economía mundial, que afectan el potencial exportador de la región, se deben sumar los riesgos asociados a los precios de las materias primas y la dinámica financiera internacional. En el primer caso, se confirma la tendencia a la reducción de algunos de los precios. Según estimaciones del Banco Mundial</w:t>
      </w:r>
      <w:r w:rsidRPr="00CD5F12">
        <w:rPr>
          <w:rFonts w:eastAsia="Calibri"/>
          <w:sz w:val="26"/>
          <w:szCs w:val="26"/>
          <w:vertAlign w:val="superscript"/>
          <w:lang w:eastAsia="en-US"/>
        </w:rPr>
        <w:footnoteReference w:id="28"/>
      </w:r>
      <w:r w:rsidRPr="00CD5F12">
        <w:rPr>
          <w:rFonts w:eastAsia="Calibri"/>
          <w:sz w:val="26"/>
          <w:szCs w:val="26"/>
          <w:lang w:eastAsia="en-US"/>
        </w:rPr>
        <w:t xml:space="preserve">, se espera que en 2015 el precio promedio de la energía (hidrocarburos) se reduzca un 4.6%, después de una caída estimada del 2.5% en 2014, aunque la evolución de los precios a fines de 2014 puede incidir en una mayor reducción interanual. En el caso de los productos de la agricultura (alimentos), se prevé una disminución del 1.1%, menor que la baja del 3.1% estimada para 2014, mientras que los precios de los metales mostrarán una tendencia al alza del 1.2%, que contrasta con la caída del 5.4% que habría tenido lugar en 2014. </w:t>
      </w:r>
    </w:p>
    <w:p w14:paraId="75D5CFBA"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 xml:space="preserve">En el ámbito financiero, a pesar de las incertidumbres que produce el retiro de los estímulos monetarios en los Estados Unidos de Norteamérica, no se prevén grandes cambios o turbulencias a lo largo de 2015. Aunque se espera que la Reserva Federal incremente las tasas de interés hacia el final de 2015, la política monetaria de este país mantendrá una postura acomodaticia. En la zona del euro se espera que el Banco Central Europeo mantenga o amplíe su programa de expansión monetaria. </w:t>
      </w:r>
    </w:p>
    <w:p w14:paraId="268F19F8"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evolución de la economía mundial tiene efectos diferentes en los distintos países y subregiones de América Latina y el Caribe. Para 2015 se espera que la economía de la región crezca a un ritmo promedio del 2.2% (véase el cuadro siguiente). Al igual que en 2014, se prevén dinámicas de crecimiento diferenciadas entre países y subregiones. Se estima que Centroamérica, incluidos el Caribe de habla hispana y Haití, crecerá a una tasa del 4.1%, América del Sur a una tasa del 1.8% y el Caribe de habla inglesa a una tasa del 2.2 por ciento. </w:t>
      </w:r>
    </w:p>
    <w:p w14:paraId="7E8FA9FD" w14:textId="77777777" w:rsidR="001E7CBA" w:rsidRDefault="001E7CBA" w:rsidP="00CD5F12">
      <w:pPr>
        <w:spacing w:after="360" w:line="360" w:lineRule="auto"/>
        <w:ind w:right="-159"/>
        <w:jc w:val="both"/>
        <w:rPr>
          <w:rFonts w:eastAsia="Calibri"/>
          <w:sz w:val="26"/>
          <w:szCs w:val="26"/>
          <w:lang w:eastAsia="en-US"/>
        </w:rPr>
      </w:pPr>
    </w:p>
    <w:p w14:paraId="68793FC0" w14:textId="77777777" w:rsidR="001E7CBA" w:rsidRDefault="001E7CBA" w:rsidP="00CD5F12">
      <w:pPr>
        <w:spacing w:after="360" w:line="360" w:lineRule="auto"/>
        <w:ind w:right="-159"/>
        <w:jc w:val="both"/>
        <w:rPr>
          <w:rFonts w:eastAsia="Calibri"/>
          <w:sz w:val="26"/>
          <w:szCs w:val="26"/>
          <w:lang w:eastAsia="en-US"/>
        </w:rPr>
      </w:pPr>
    </w:p>
    <w:p w14:paraId="0E8F97DF" w14:textId="77777777" w:rsidR="001E7CBA" w:rsidRDefault="001E7CBA" w:rsidP="00CD5F12">
      <w:pPr>
        <w:spacing w:after="360" w:line="360" w:lineRule="auto"/>
        <w:ind w:right="-159"/>
        <w:jc w:val="both"/>
        <w:rPr>
          <w:rFonts w:eastAsia="Calibri"/>
          <w:sz w:val="26"/>
          <w:szCs w:val="26"/>
          <w:lang w:eastAsia="en-US"/>
        </w:rPr>
      </w:pPr>
    </w:p>
    <w:p w14:paraId="35C207CD" w14:textId="77777777" w:rsidR="001E7CBA" w:rsidRDefault="001E7CBA" w:rsidP="00CD5F12">
      <w:pPr>
        <w:spacing w:after="360" w:line="360" w:lineRule="auto"/>
        <w:ind w:right="-159"/>
        <w:jc w:val="both"/>
        <w:rPr>
          <w:rFonts w:eastAsia="Calibri"/>
          <w:sz w:val="26"/>
          <w:szCs w:val="26"/>
          <w:lang w:eastAsia="en-US"/>
        </w:rPr>
      </w:pPr>
    </w:p>
    <w:p w14:paraId="6FB20961" w14:textId="77777777" w:rsidR="001E7CBA" w:rsidRDefault="001E7CBA" w:rsidP="00CD5F12">
      <w:pPr>
        <w:spacing w:after="360" w:line="360" w:lineRule="auto"/>
        <w:ind w:right="-159"/>
        <w:jc w:val="both"/>
        <w:rPr>
          <w:rFonts w:eastAsia="Calibri"/>
          <w:sz w:val="26"/>
          <w:szCs w:val="26"/>
          <w:lang w:eastAsia="en-US"/>
        </w:rPr>
      </w:pPr>
    </w:p>
    <w:p w14:paraId="1C1EBA23" w14:textId="77777777" w:rsidR="001E7CBA" w:rsidRDefault="001E7CBA" w:rsidP="00CD5F12">
      <w:pPr>
        <w:spacing w:after="360" w:line="360" w:lineRule="auto"/>
        <w:ind w:right="-159"/>
        <w:jc w:val="both"/>
        <w:rPr>
          <w:rFonts w:eastAsia="Calibri"/>
          <w:sz w:val="26"/>
          <w:szCs w:val="26"/>
          <w:lang w:eastAsia="en-US"/>
        </w:rPr>
      </w:pPr>
    </w:p>
    <w:p w14:paraId="61D799C5" w14:textId="77777777" w:rsidR="001E7CBA" w:rsidRDefault="001E7CBA" w:rsidP="00CD5F12">
      <w:pPr>
        <w:spacing w:after="360" w:line="360" w:lineRule="auto"/>
        <w:ind w:right="-159"/>
        <w:jc w:val="both"/>
        <w:rPr>
          <w:rFonts w:eastAsia="Calibri"/>
          <w:sz w:val="26"/>
          <w:szCs w:val="26"/>
          <w:lang w:eastAsia="en-US"/>
        </w:rPr>
      </w:pPr>
    </w:p>
    <w:p w14:paraId="2732F83B" w14:textId="77777777" w:rsidR="001E7CBA" w:rsidRPr="00CD5F12" w:rsidRDefault="001E7CBA" w:rsidP="00CD5F12">
      <w:pPr>
        <w:spacing w:after="360" w:line="360" w:lineRule="auto"/>
        <w:ind w:right="-159"/>
        <w:jc w:val="both"/>
        <w:rPr>
          <w:rFonts w:eastAsia="Calibri"/>
          <w:sz w:val="26"/>
          <w:szCs w:val="26"/>
          <w:lang w:eastAsia="en-US"/>
        </w:rPr>
      </w:pPr>
    </w:p>
    <w:tbl>
      <w:tblPr>
        <w:tblW w:w="9502" w:type="dxa"/>
        <w:jc w:val="center"/>
        <w:tblBorders>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89"/>
        <w:gridCol w:w="863"/>
        <w:gridCol w:w="900"/>
        <w:gridCol w:w="850"/>
        <w:gridCol w:w="850"/>
        <w:gridCol w:w="850"/>
        <w:gridCol w:w="850"/>
        <w:gridCol w:w="850"/>
      </w:tblGrid>
      <w:tr w:rsidR="00CD5F12" w:rsidRPr="00CD5F12" w14:paraId="770D600B" w14:textId="77777777" w:rsidTr="00835D95">
        <w:trPr>
          <w:jc w:val="center"/>
        </w:trPr>
        <w:tc>
          <w:tcPr>
            <w:tcW w:w="9502" w:type="dxa"/>
            <w:gridSpan w:val="8"/>
            <w:tcBorders>
              <w:top w:val="nil"/>
              <w:left w:val="nil"/>
              <w:bottom w:val="single" w:sz="4" w:space="0" w:color="auto"/>
              <w:right w:val="nil"/>
            </w:tcBorders>
          </w:tcPr>
          <w:p w14:paraId="5AE3FB43" w14:textId="77777777" w:rsidR="00CD5F12" w:rsidRPr="00CD5F12" w:rsidRDefault="00CD5F12" w:rsidP="00CD5F12">
            <w:pPr>
              <w:ind w:right="227"/>
              <w:jc w:val="center"/>
              <w:rPr>
                <w:rFonts w:eastAsia="Times New Roman"/>
                <w:b/>
                <w:sz w:val="18"/>
                <w:szCs w:val="18"/>
                <w:lang w:val="es-ES"/>
              </w:rPr>
            </w:pPr>
            <w:r w:rsidRPr="00CD5F12">
              <w:rPr>
                <w:rFonts w:eastAsia="Times New Roman"/>
                <w:b/>
                <w:sz w:val="18"/>
                <w:szCs w:val="18"/>
                <w:lang w:val="es-ES"/>
              </w:rPr>
              <w:lastRenderedPageBreak/>
              <w:t>AMÉRICA LATINA Y EL CARIBE: TASAS ANUALES DE VARIACIÓN</w:t>
            </w:r>
          </w:p>
          <w:p w14:paraId="772B0DB5" w14:textId="77777777" w:rsidR="00CD5F12" w:rsidRPr="00CD5F12" w:rsidRDefault="00CD5F12" w:rsidP="00CD5F12">
            <w:pPr>
              <w:ind w:right="227"/>
              <w:jc w:val="center"/>
              <w:rPr>
                <w:rFonts w:eastAsia="Times New Roman"/>
                <w:b/>
                <w:sz w:val="18"/>
                <w:szCs w:val="18"/>
                <w:lang w:val="es-ES"/>
              </w:rPr>
            </w:pPr>
            <w:r w:rsidRPr="00CD5F12">
              <w:rPr>
                <w:rFonts w:eastAsia="Times New Roman"/>
                <w:b/>
                <w:sz w:val="18"/>
                <w:szCs w:val="18"/>
                <w:lang w:val="es-ES"/>
              </w:rPr>
              <w:t>DEL PRODUCTO INTERNO BRUTO, 2009-2015</w:t>
            </w:r>
          </w:p>
          <w:p w14:paraId="49B9C6D3" w14:textId="77777777" w:rsidR="00CD5F12" w:rsidRPr="00CD5F12" w:rsidRDefault="00CD5F12" w:rsidP="00CD5F12">
            <w:pPr>
              <w:ind w:right="227"/>
              <w:jc w:val="center"/>
              <w:rPr>
                <w:rFonts w:eastAsia="Times New Roman"/>
                <w:b/>
                <w:sz w:val="18"/>
                <w:szCs w:val="18"/>
                <w:lang w:val="es-ES"/>
              </w:rPr>
            </w:pPr>
            <w:r w:rsidRPr="00CD5F12">
              <w:rPr>
                <w:rFonts w:eastAsia="Times New Roman"/>
                <w:b/>
                <w:sz w:val="18"/>
                <w:szCs w:val="18"/>
                <w:lang w:val="es-ES"/>
              </w:rPr>
              <w:t>-En porcentajes, sobre la base de dólares constantes de 2010-</w:t>
            </w:r>
          </w:p>
        </w:tc>
      </w:tr>
      <w:tr w:rsidR="00CD5F12" w:rsidRPr="00CD5F12" w14:paraId="0C9D3F22" w14:textId="77777777" w:rsidTr="001611C8">
        <w:trPr>
          <w:jc w:val="center"/>
        </w:trPr>
        <w:tc>
          <w:tcPr>
            <w:tcW w:w="3489" w:type="dxa"/>
            <w:tcBorders>
              <w:top w:val="single" w:sz="4" w:space="0" w:color="auto"/>
              <w:bottom w:val="single" w:sz="4" w:space="0" w:color="auto"/>
            </w:tcBorders>
          </w:tcPr>
          <w:p w14:paraId="572A8C91"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País</w:t>
            </w:r>
          </w:p>
        </w:tc>
        <w:tc>
          <w:tcPr>
            <w:tcW w:w="863" w:type="dxa"/>
            <w:tcBorders>
              <w:top w:val="single" w:sz="4" w:space="0" w:color="auto"/>
              <w:bottom w:val="single" w:sz="4" w:space="0" w:color="auto"/>
            </w:tcBorders>
            <w:vAlign w:val="center"/>
          </w:tcPr>
          <w:p w14:paraId="165F7936"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2009</w:t>
            </w:r>
          </w:p>
        </w:tc>
        <w:tc>
          <w:tcPr>
            <w:tcW w:w="900" w:type="dxa"/>
            <w:tcBorders>
              <w:top w:val="single" w:sz="4" w:space="0" w:color="auto"/>
              <w:bottom w:val="single" w:sz="4" w:space="0" w:color="auto"/>
            </w:tcBorders>
          </w:tcPr>
          <w:p w14:paraId="67B9BA9F"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2010</w:t>
            </w:r>
          </w:p>
        </w:tc>
        <w:tc>
          <w:tcPr>
            <w:tcW w:w="850" w:type="dxa"/>
            <w:tcBorders>
              <w:top w:val="single" w:sz="4" w:space="0" w:color="auto"/>
              <w:bottom w:val="single" w:sz="4" w:space="0" w:color="auto"/>
            </w:tcBorders>
            <w:vAlign w:val="center"/>
          </w:tcPr>
          <w:p w14:paraId="5B3953D4"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2011</w:t>
            </w:r>
          </w:p>
        </w:tc>
        <w:tc>
          <w:tcPr>
            <w:tcW w:w="850" w:type="dxa"/>
            <w:tcBorders>
              <w:top w:val="single" w:sz="4" w:space="0" w:color="auto"/>
              <w:bottom w:val="single" w:sz="4" w:space="0" w:color="auto"/>
            </w:tcBorders>
          </w:tcPr>
          <w:p w14:paraId="4151E5B3"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2012</w:t>
            </w:r>
          </w:p>
        </w:tc>
        <w:tc>
          <w:tcPr>
            <w:tcW w:w="850" w:type="dxa"/>
            <w:tcBorders>
              <w:top w:val="single" w:sz="4" w:space="0" w:color="auto"/>
              <w:bottom w:val="single" w:sz="4" w:space="0" w:color="auto"/>
            </w:tcBorders>
            <w:vAlign w:val="center"/>
          </w:tcPr>
          <w:p w14:paraId="7DE5DD43"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2013</w:t>
            </w:r>
          </w:p>
        </w:tc>
        <w:tc>
          <w:tcPr>
            <w:tcW w:w="850" w:type="dxa"/>
            <w:tcBorders>
              <w:top w:val="single" w:sz="4" w:space="0" w:color="auto"/>
              <w:bottom w:val="single" w:sz="4" w:space="0" w:color="auto"/>
            </w:tcBorders>
          </w:tcPr>
          <w:p w14:paraId="7666605A"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2014</w:t>
            </w:r>
            <w:r w:rsidRPr="00CD5F12">
              <w:rPr>
                <w:rFonts w:eastAsia="Times New Roman"/>
                <w:sz w:val="16"/>
                <w:szCs w:val="16"/>
                <w:u w:val="single"/>
                <w:vertAlign w:val="superscript"/>
                <w:lang w:val="en-US"/>
              </w:rPr>
              <w:t>a</w:t>
            </w:r>
            <w:r w:rsidRPr="00CD5F12">
              <w:rPr>
                <w:rFonts w:eastAsia="Times New Roman"/>
                <w:sz w:val="16"/>
                <w:szCs w:val="16"/>
                <w:vertAlign w:val="superscript"/>
                <w:lang w:val="en-US"/>
              </w:rPr>
              <w:t>/</w:t>
            </w:r>
          </w:p>
        </w:tc>
        <w:tc>
          <w:tcPr>
            <w:tcW w:w="850" w:type="dxa"/>
            <w:tcBorders>
              <w:top w:val="single" w:sz="4" w:space="0" w:color="auto"/>
              <w:bottom w:val="single" w:sz="4" w:space="0" w:color="auto"/>
            </w:tcBorders>
          </w:tcPr>
          <w:p w14:paraId="508B5734" w14:textId="77777777" w:rsidR="00CD5F12" w:rsidRPr="00CD5F12" w:rsidRDefault="00CD5F12" w:rsidP="00CD5F12">
            <w:pPr>
              <w:jc w:val="center"/>
              <w:rPr>
                <w:rFonts w:eastAsia="Times New Roman"/>
                <w:b/>
                <w:sz w:val="16"/>
                <w:szCs w:val="16"/>
                <w:lang w:val="es-ES"/>
              </w:rPr>
            </w:pPr>
            <w:r w:rsidRPr="00CD5F12">
              <w:rPr>
                <w:rFonts w:eastAsia="Times New Roman"/>
                <w:b/>
                <w:sz w:val="16"/>
                <w:szCs w:val="16"/>
                <w:lang w:val="es-ES"/>
              </w:rPr>
              <w:t>2015</w:t>
            </w:r>
            <w:r w:rsidRPr="00CD5F12">
              <w:rPr>
                <w:rFonts w:eastAsia="Times New Roman"/>
                <w:sz w:val="16"/>
                <w:szCs w:val="16"/>
                <w:u w:val="single"/>
                <w:vertAlign w:val="superscript"/>
                <w:lang w:val="en-US"/>
              </w:rPr>
              <w:t>b</w:t>
            </w:r>
            <w:r w:rsidRPr="00CD5F12">
              <w:rPr>
                <w:rFonts w:eastAsia="Times New Roman"/>
                <w:sz w:val="16"/>
                <w:szCs w:val="16"/>
                <w:vertAlign w:val="superscript"/>
                <w:lang w:val="en-US"/>
              </w:rPr>
              <w:t>/</w:t>
            </w:r>
          </w:p>
        </w:tc>
      </w:tr>
      <w:tr w:rsidR="00CD5F12" w:rsidRPr="00CD5F12" w14:paraId="4228172E" w14:textId="77777777" w:rsidTr="001611C8">
        <w:trPr>
          <w:jc w:val="center"/>
        </w:trPr>
        <w:tc>
          <w:tcPr>
            <w:tcW w:w="3489" w:type="dxa"/>
            <w:tcBorders>
              <w:top w:val="single" w:sz="4" w:space="0" w:color="auto"/>
              <w:bottom w:val="nil"/>
            </w:tcBorders>
          </w:tcPr>
          <w:p w14:paraId="078BBBA5"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Argentina</w:t>
            </w:r>
          </w:p>
        </w:tc>
        <w:tc>
          <w:tcPr>
            <w:tcW w:w="863" w:type="dxa"/>
            <w:tcBorders>
              <w:top w:val="single" w:sz="4" w:space="0" w:color="auto"/>
              <w:bottom w:val="nil"/>
            </w:tcBorders>
            <w:vAlign w:val="center"/>
          </w:tcPr>
          <w:p w14:paraId="16AA569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0.1</w:t>
            </w:r>
          </w:p>
        </w:tc>
        <w:tc>
          <w:tcPr>
            <w:tcW w:w="900" w:type="dxa"/>
            <w:tcBorders>
              <w:top w:val="single" w:sz="4" w:space="0" w:color="auto"/>
              <w:bottom w:val="nil"/>
            </w:tcBorders>
          </w:tcPr>
          <w:p w14:paraId="1FC810A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9.1</w:t>
            </w:r>
          </w:p>
        </w:tc>
        <w:tc>
          <w:tcPr>
            <w:tcW w:w="850" w:type="dxa"/>
            <w:tcBorders>
              <w:top w:val="single" w:sz="4" w:space="0" w:color="auto"/>
              <w:bottom w:val="nil"/>
            </w:tcBorders>
          </w:tcPr>
          <w:p w14:paraId="5932D86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8.6</w:t>
            </w:r>
          </w:p>
        </w:tc>
        <w:tc>
          <w:tcPr>
            <w:tcW w:w="850" w:type="dxa"/>
            <w:tcBorders>
              <w:top w:val="single" w:sz="4" w:space="0" w:color="auto"/>
              <w:bottom w:val="nil"/>
            </w:tcBorders>
          </w:tcPr>
          <w:p w14:paraId="0EA531E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0.9</w:t>
            </w:r>
          </w:p>
        </w:tc>
        <w:tc>
          <w:tcPr>
            <w:tcW w:w="850" w:type="dxa"/>
            <w:tcBorders>
              <w:top w:val="single" w:sz="4" w:space="0" w:color="auto"/>
              <w:bottom w:val="nil"/>
            </w:tcBorders>
            <w:vAlign w:val="bottom"/>
          </w:tcPr>
          <w:p w14:paraId="7277304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2.9</w:t>
            </w:r>
          </w:p>
        </w:tc>
        <w:tc>
          <w:tcPr>
            <w:tcW w:w="850" w:type="dxa"/>
            <w:tcBorders>
              <w:top w:val="single" w:sz="4" w:space="0" w:color="auto"/>
              <w:bottom w:val="nil"/>
            </w:tcBorders>
            <w:vAlign w:val="bottom"/>
          </w:tcPr>
          <w:p w14:paraId="6183B55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-0.2</w:t>
            </w:r>
          </w:p>
        </w:tc>
        <w:tc>
          <w:tcPr>
            <w:tcW w:w="850" w:type="dxa"/>
            <w:tcBorders>
              <w:top w:val="single" w:sz="4" w:space="0" w:color="auto"/>
              <w:bottom w:val="nil"/>
            </w:tcBorders>
          </w:tcPr>
          <w:p w14:paraId="14D172A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r>
      <w:tr w:rsidR="00CD5F12" w:rsidRPr="00CD5F12" w14:paraId="7BFBC4A5" w14:textId="77777777" w:rsidTr="001611C8">
        <w:trPr>
          <w:jc w:val="center"/>
        </w:trPr>
        <w:tc>
          <w:tcPr>
            <w:tcW w:w="3489" w:type="dxa"/>
            <w:tcBorders>
              <w:top w:val="nil"/>
              <w:bottom w:val="nil"/>
            </w:tcBorders>
          </w:tcPr>
          <w:p w14:paraId="170E277D"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Bolivia (Estado Plurinacional de)</w:t>
            </w:r>
          </w:p>
        </w:tc>
        <w:tc>
          <w:tcPr>
            <w:tcW w:w="863" w:type="dxa"/>
            <w:tcBorders>
              <w:top w:val="nil"/>
              <w:bottom w:val="nil"/>
            </w:tcBorders>
            <w:vAlign w:val="bottom"/>
          </w:tcPr>
          <w:p w14:paraId="150DAFD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3.4</w:t>
            </w:r>
          </w:p>
        </w:tc>
        <w:tc>
          <w:tcPr>
            <w:tcW w:w="900" w:type="dxa"/>
            <w:tcBorders>
              <w:top w:val="nil"/>
              <w:bottom w:val="nil"/>
            </w:tcBorders>
          </w:tcPr>
          <w:p w14:paraId="491FA53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4.1</w:t>
            </w:r>
          </w:p>
        </w:tc>
        <w:tc>
          <w:tcPr>
            <w:tcW w:w="850" w:type="dxa"/>
            <w:tcBorders>
              <w:top w:val="nil"/>
              <w:bottom w:val="nil"/>
            </w:tcBorders>
            <w:vAlign w:val="bottom"/>
          </w:tcPr>
          <w:p w14:paraId="5E13291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5.2</w:t>
            </w:r>
          </w:p>
        </w:tc>
        <w:tc>
          <w:tcPr>
            <w:tcW w:w="850" w:type="dxa"/>
            <w:tcBorders>
              <w:top w:val="nil"/>
              <w:bottom w:val="nil"/>
            </w:tcBorders>
          </w:tcPr>
          <w:p w14:paraId="201B607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5.2</w:t>
            </w:r>
          </w:p>
        </w:tc>
        <w:tc>
          <w:tcPr>
            <w:tcW w:w="850" w:type="dxa"/>
            <w:tcBorders>
              <w:top w:val="nil"/>
              <w:bottom w:val="nil"/>
            </w:tcBorders>
            <w:vAlign w:val="bottom"/>
          </w:tcPr>
          <w:p w14:paraId="554FC52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6.8</w:t>
            </w:r>
          </w:p>
        </w:tc>
        <w:tc>
          <w:tcPr>
            <w:tcW w:w="850" w:type="dxa"/>
            <w:tcBorders>
              <w:top w:val="nil"/>
              <w:bottom w:val="nil"/>
            </w:tcBorders>
            <w:vAlign w:val="bottom"/>
          </w:tcPr>
          <w:p w14:paraId="704AB3B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5.2</w:t>
            </w:r>
          </w:p>
        </w:tc>
        <w:tc>
          <w:tcPr>
            <w:tcW w:w="850" w:type="dxa"/>
            <w:tcBorders>
              <w:top w:val="nil"/>
              <w:bottom w:val="nil"/>
            </w:tcBorders>
          </w:tcPr>
          <w:p w14:paraId="7CDE6CA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5.5</w:t>
            </w:r>
          </w:p>
        </w:tc>
      </w:tr>
      <w:tr w:rsidR="00CD5F12" w:rsidRPr="00CD5F12" w14:paraId="0A05F42F" w14:textId="77777777" w:rsidTr="001611C8">
        <w:trPr>
          <w:jc w:val="center"/>
        </w:trPr>
        <w:tc>
          <w:tcPr>
            <w:tcW w:w="3489" w:type="dxa"/>
            <w:tcBorders>
              <w:top w:val="nil"/>
              <w:bottom w:val="nil"/>
            </w:tcBorders>
          </w:tcPr>
          <w:p w14:paraId="04B3D6C5"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Brasil</w:t>
            </w:r>
          </w:p>
        </w:tc>
        <w:tc>
          <w:tcPr>
            <w:tcW w:w="863" w:type="dxa"/>
            <w:tcBorders>
              <w:top w:val="nil"/>
              <w:bottom w:val="nil"/>
            </w:tcBorders>
            <w:vAlign w:val="bottom"/>
          </w:tcPr>
          <w:p w14:paraId="0242FB8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-0.3</w:t>
            </w:r>
          </w:p>
        </w:tc>
        <w:tc>
          <w:tcPr>
            <w:tcW w:w="900" w:type="dxa"/>
            <w:tcBorders>
              <w:top w:val="nil"/>
              <w:bottom w:val="nil"/>
            </w:tcBorders>
          </w:tcPr>
          <w:p w14:paraId="5EB8AAE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7.5</w:t>
            </w:r>
          </w:p>
        </w:tc>
        <w:tc>
          <w:tcPr>
            <w:tcW w:w="850" w:type="dxa"/>
            <w:tcBorders>
              <w:top w:val="nil"/>
              <w:bottom w:val="nil"/>
            </w:tcBorders>
            <w:vAlign w:val="bottom"/>
          </w:tcPr>
          <w:p w14:paraId="6D8174F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2.7</w:t>
            </w:r>
          </w:p>
        </w:tc>
        <w:tc>
          <w:tcPr>
            <w:tcW w:w="850" w:type="dxa"/>
            <w:tcBorders>
              <w:top w:val="nil"/>
              <w:bottom w:val="nil"/>
            </w:tcBorders>
          </w:tcPr>
          <w:p w14:paraId="1A7089F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c>
          <w:tcPr>
            <w:tcW w:w="850" w:type="dxa"/>
            <w:tcBorders>
              <w:top w:val="nil"/>
              <w:bottom w:val="nil"/>
            </w:tcBorders>
            <w:vAlign w:val="bottom"/>
          </w:tcPr>
          <w:p w14:paraId="6A6A5E3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2.5</w:t>
            </w:r>
          </w:p>
        </w:tc>
        <w:tc>
          <w:tcPr>
            <w:tcW w:w="850" w:type="dxa"/>
            <w:tcBorders>
              <w:top w:val="nil"/>
              <w:bottom w:val="nil"/>
            </w:tcBorders>
            <w:vAlign w:val="bottom"/>
          </w:tcPr>
          <w:p w14:paraId="0DAC48E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0.2</w:t>
            </w:r>
          </w:p>
        </w:tc>
        <w:tc>
          <w:tcPr>
            <w:tcW w:w="850" w:type="dxa"/>
            <w:tcBorders>
              <w:top w:val="nil"/>
              <w:bottom w:val="nil"/>
            </w:tcBorders>
          </w:tcPr>
          <w:p w14:paraId="2574B9B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1.3</w:t>
            </w:r>
          </w:p>
        </w:tc>
      </w:tr>
      <w:tr w:rsidR="00CD5F12" w:rsidRPr="00CD5F12" w14:paraId="2C7E6A56" w14:textId="77777777" w:rsidTr="001611C8">
        <w:trPr>
          <w:jc w:val="center"/>
        </w:trPr>
        <w:tc>
          <w:tcPr>
            <w:tcW w:w="3489" w:type="dxa"/>
            <w:tcBorders>
              <w:top w:val="nil"/>
              <w:bottom w:val="nil"/>
            </w:tcBorders>
          </w:tcPr>
          <w:p w14:paraId="217559DC"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Chile</w:t>
            </w:r>
          </w:p>
        </w:tc>
        <w:tc>
          <w:tcPr>
            <w:tcW w:w="863" w:type="dxa"/>
            <w:tcBorders>
              <w:top w:val="nil"/>
              <w:bottom w:val="nil"/>
            </w:tcBorders>
            <w:vAlign w:val="bottom"/>
          </w:tcPr>
          <w:p w14:paraId="2E051BE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c>
          <w:tcPr>
            <w:tcW w:w="900" w:type="dxa"/>
            <w:tcBorders>
              <w:top w:val="nil"/>
              <w:bottom w:val="nil"/>
            </w:tcBorders>
          </w:tcPr>
          <w:p w14:paraId="150C0B4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5.8</w:t>
            </w:r>
          </w:p>
        </w:tc>
        <w:tc>
          <w:tcPr>
            <w:tcW w:w="850" w:type="dxa"/>
            <w:tcBorders>
              <w:top w:val="nil"/>
              <w:bottom w:val="nil"/>
            </w:tcBorders>
          </w:tcPr>
          <w:p w14:paraId="0A18F8D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5.8</w:t>
            </w:r>
          </w:p>
        </w:tc>
        <w:tc>
          <w:tcPr>
            <w:tcW w:w="850" w:type="dxa"/>
            <w:tcBorders>
              <w:top w:val="nil"/>
              <w:bottom w:val="nil"/>
            </w:tcBorders>
          </w:tcPr>
          <w:p w14:paraId="7B0EE80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5.4</w:t>
            </w:r>
          </w:p>
        </w:tc>
        <w:tc>
          <w:tcPr>
            <w:tcW w:w="850" w:type="dxa"/>
            <w:tcBorders>
              <w:top w:val="nil"/>
              <w:bottom w:val="nil"/>
            </w:tcBorders>
            <w:vAlign w:val="bottom"/>
          </w:tcPr>
          <w:p w14:paraId="05E76C6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4.1</w:t>
            </w:r>
          </w:p>
        </w:tc>
        <w:tc>
          <w:tcPr>
            <w:tcW w:w="850" w:type="dxa"/>
            <w:tcBorders>
              <w:top w:val="nil"/>
              <w:bottom w:val="nil"/>
            </w:tcBorders>
            <w:vAlign w:val="bottom"/>
          </w:tcPr>
          <w:p w14:paraId="1A36264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1.8</w:t>
            </w:r>
          </w:p>
        </w:tc>
        <w:tc>
          <w:tcPr>
            <w:tcW w:w="850" w:type="dxa"/>
            <w:tcBorders>
              <w:top w:val="nil"/>
              <w:bottom w:val="nil"/>
            </w:tcBorders>
          </w:tcPr>
          <w:p w14:paraId="2A662AA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r>
      <w:tr w:rsidR="00CD5F12" w:rsidRPr="00CD5F12" w14:paraId="675C1597" w14:textId="77777777" w:rsidTr="001611C8">
        <w:trPr>
          <w:jc w:val="center"/>
        </w:trPr>
        <w:tc>
          <w:tcPr>
            <w:tcW w:w="3489" w:type="dxa"/>
            <w:tcBorders>
              <w:top w:val="nil"/>
              <w:bottom w:val="nil"/>
            </w:tcBorders>
          </w:tcPr>
          <w:p w14:paraId="08C224C9"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Colombia</w:t>
            </w:r>
          </w:p>
        </w:tc>
        <w:tc>
          <w:tcPr>
            <w:tcW w:w="863" w:type="dxa"/>
            <w:tcBorders>
              <w:top w:val="nil"/>
              <w:bottom w:val="nil"/>
            </w:tcBorders>
            <w:vAlign w:val="bottom"/>
          </w:tcPr>
          <w:p w14:paraId="1B09E7B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1.7</w:t>
            </w:r>
          </w:p>
        </w:tc>
        <w:tc>
          <w:tcPr>
            <w:tcW w:w="900" w:type="dxa"/>
            <w:tcBorders>
              <w:top w:val="nil"/>
              <w:bottom w:val="nil"/>
            </w:tcBorders>
          </w:tcPr>
          <w:p w14:paraId="660A65B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tcPr>
          <w:p w14:paraId="37EDE7D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6.6</w:t>
            </w:r>
          </w:p>
        </w:tc>
        <w:tc>
          <w:tcPr>
            <w:tcW w:w="850" w:type="dxa"/>
            <w:tcBorders>
              <w:top w:val="nil"/>
              <w:bottom w:val="nil"/>
            </w:tcBorders>
          </w:tcPr>
          <w:p w14:paraId="3CE3F75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vAlign w:val="bottom"/>
          </w:tcPr>
          <w:p w14:paraId="10940B4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4.7</w:t>
            </w:r>
          </w:p>
        </w:tc>
        <w:tc>
          <w:tcPr>
            <w:tcW w:w="850" w:type="dxa"/>
            <w:tcBorders>
              <w:top w:val="nil"/>
              <w:bottom w:val="nil"/>
            </w:tcBorders>
            <w:vAlign w:val="bottom"/>
          </w:tcPr>
          <w:p w14:paraId="1A81CB1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4.8</w:t>
            </w:r>
          </w:p>
        </w:tc>
        <w:tc>
          <w:tcPr>
            <w:tcW w:w="850" w:type="dxa"/>
            <w:tcBorders>
              <w:top w:val="nil"/>
              <w:bottom w:val="nil"/>
            </w:tcBorders>
          </w:tcPr>
          <w:p w14:paraId="0058BD2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4.3</w:t>
            </w:r>
          </w:p>
        </w:tc>
      </w:tr>
      <w:tr w:rsidR="00CD5F12" w:rsidRPr="00CD5F12" w14:paraId="273AC12F" w14:textId="77777777" w:rsidTr="001611C8">
        <w:trPr>
          <w:jc w:val="center"/>
        </w:trPr>
        <w:tc>
          <w:tcPr>
            <w:tcW w:w="3489" w:type="dxa"/>
            <w:tcBorders>
              <w:top w:val="nil"/>
              <w:bottom w:val="nil"/>
            </w:tcBorders>
          </w:tcPr>
          <w:p w14:paraId="52B53F10"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Costa Rica</w:t>
            </w:r>
          </w:p>
        </w:tc>
        <w:tc>
          <w:tcPr>
            <w:tcW w:w="863" w:type="dxa"/>
            <w:tcBorders>
              <w:top w:val="nil"/>
              <w:bottom w:val="nil"/>
            </w:tcBorders>
            <w:vAlign w:val="bottom"/>
          </w:tcPr>
          <w:p w14:paraId="0E411EA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c>
          <w:tcPr>
            <w:tcW w:w="900" w:type="dxa"/>
            <w:tcBorders>
              <w:top w:val="nil"/>
              <w:bottom w:val="nil"/>
            </w:tcBorders>
          </w:tcPr>
          <w:p w14:paraId="7342D93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5.0</w:t>
            </w:r>
          </w:p>
        </w:tc>
        <w:tc>
          <w:tcPr>
            <w:tcW w:w="850" w:type="dxa"/>
            <w:tcBorders>
              <w:top w:val="nil"/>
              <w:bottom w:val="nil"/>
            </w:tcBorders>
          </w:tcPr>
          <w:p w14:paraId="669320C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4.5</w:t>
            </w:r>
          </w:p>
        </w:tc>
        <w:tc>
          <w:tcPr>
            <w:tcW w:w="850" w:type="dxa"/>
            <w:tcBorders>
              <w:top w:val="nil"/>
              <w:bottom w:val="nil"/>
            </w:tcBorders>
          </w:tcPr>
          <w:p w14:paraId="355DC61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5.1</w:t>
            </w:r>
          </w:p>
        </w:tc>
        <w:tc>
          <w:tcPr>
            <w:tcW w:w="850" w:type="dxa"/>
            <w:tcBorders>
              <w:top w:val="nil"/>
              <w:bottom w:val="nil"/>
            </w:tcBorders>
            <w:vAlign w:val="bottom"/>
          </w:tcPr>
          <w:p w14:paraId="6986337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3.5</w:t>
            </w:r>
          </w:p>
        </w:tc>
        <w:tc>
          <w:tcPr>
            <w:tcW w:w="850" w:type="dxa"/>
            <w:tcBorders>
              <w:top w:val="nil"/>
              <w:bottom w:val="nil"/>
            </w:tcBorders>
            <w:vAlign w:val="bottom"/>
          </w:tcPr>
          <w:p w14:paraId="5C71D39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3.6</w:t>
            </w:r>
          </w:p>
        </w:tc>
        <w:tc>
          <w:tcPr>
            <w:tcW w:w="850" w:type="dxa"/>
            <w:tcBorders>
              <w:top w:val="nil"/>
              <w:bottom w:val="nil"/>
            </w:tcBorders>
          </w:tcPr>
          <w:p w14:paraId="15CE525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3.2</w:t>
            </w:r>
          </w:p>
        </w:tc>
      </w:tr>
      <w:tr w:rsidR="00CD5F12" w:rsidRPr="00CD5F12" w14:paraId="77450AD9" w14:textId="77777777" w:rsidTr="001611C8">
        <w:trPr>
          <w:jc w:val="center"/>
        </w:trPr>
        <w:tc>
          <w:tcPr>
            <w:tcW w:w="3489" w:type="dxa"/>
            <w:tcBorders>
              <w:top w:val="nil"/>
              <w:bottom w:val="nil"/>
            </w:tcBorders>
          </w:tcPr>
          <w:p w14:paraId="1411E42B"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Cuba</w:t>
            </w:r>
          </w:p>
        </w:tc>
        <w:tc>
          <w:tcPr>
            <w:tcW w:w="863" w:type="dxa"/>
            <w:tcBorders>
              <w:top w:val="nil"/>
              <w:bottom w:val="nil"/>
            </w:tcBorders>
            <w:vAlign w:val="bottom"/>
          </w:tcPr>
          <w:p w14:paraId="0D6B130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1.5</w:t>
            </w:r>
          </w:p>
        </w:tc>
        <w:tc>
          <w:tcPr>
            <w:tcW w:w="900" w:type="dxa"/>
            <w:tcBorders>
              <w:top w:val="nil"/>
              <w:bottom w:val="nil"/>
            </w:tcBorders>
          </w:tcPr>
          <w:p w14:paraId="5FC5990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2.4</w:t>
            </w:r>
          </w:p>
        </w:tc>
        <w:tc>
          <w:tcPr>
            <w:tcW w:w="850" w:type="dxa"/>
            <w:tcBorders>
              <w:top w:val="nil"/>
              <w:bottom w:val="nil"/>
            </w:tcBorders>
          </w:tcPr>
          <w:p w14:paraId="3A8BB4A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2.8</w:t>
            </w:r>
          </w:p>
        </w:tc>
        <w:tc>
          <w:tcPr>
            <w:tcW w:w="850" w:type="dxa"/>
            <w:tcBorders>
              <w:top w:val="nil"/>
              <w:bottom w:val="nil"/>
            </w:tcBorders>
          </w:tcPr>
          <w:p w14:paraId="1C9F074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c>
          <w:tcPr>
            <w:tcW w:w="850" w:type="dxa"/>
            <w:tcBorders>
              <w:top w:val="nil"/>
              <w:bottom w:val="nil"/>
            </w:tcBorders>
            <w:vAlign w:val="bottom"/>
          </w:tcPr>
          <w:p w14:paraId="1BE5D0C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2.7</w:t>
            </w:r>
          </w:p>
        </w:tc>
        <w:tc>
          <w:tcPr>
            <w:tcW w:w="850" w:type="dxa"/>
            <w:tcBorders>
              <w:top w:val="nil"/>
              <w:bottom w:val="nil"/>
            </w:tcBorders>
            <w:vAlign w:val="bottom"/>
          </w:tcPr>
          <w:p w14:paraId="5A875AC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1.1</w:t>
            </w:r>
          </w:p>
        </w:tc>
        <w:tc>
          <w:tcPr>
            <w:tcW w:w="850" w:type="dxa"/>
            <w:tcBorders>
              <w:top w:val="nil"/>
              <w:bottom w:val="nil"/>
            </w:tcBorders>
          </w:tcPr>
          <w:p w14:paraId="15B2612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r>
      <w:tr w:rsidR="00CD5F12" w:rsidRPr="00CD5F12" w14:paraId="1DB50BB7" w14:textId="77777777" w:rsidTr="001611C8">
        <w:trPr>
          <w:jc w:val="center"/>
        </w:trPr>
        <w:tc>
          <w:tcPr>
            <w:tcW w:w="3489" w:type="dxa"/>
            <w:tcBorders>
              <w:top w:val="nil"/>
              <w:bottom w:val="nil"/>
            </w:tcBorders>
          </w:tcPr>
          <w:p w14:paraId="2EBE1B32"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Ecuador</w:t>
            </w:r>
          </w:p>
        </w:tc>
        <w:tc>
          <w:tcPr>
            <w:tcW w:w="863" w:type="dxa"/>
            <w:tcBorders>
              <w:top w:val="nil"/>
              <w:bottom w:val="nil"/>
            </w:tcBorders>
            <w:vAlign w:val="bottom"/>
          </w:tcPr>
          <w:p w14:paraId="4E262A7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0.6</w:t>
            </w:r>
          </w:p>
        </w:tc>
        <w:tc>
          <w:tcPr>
            <w:tcW w:w="900" w:type="dxa"/>
            <w:tcBorders>
              <w:top w:val="nil"/>
              <w:bottom w:val="nil"/>
            </w:tcBorders>
          </w:tcPr>
          <w:p w14:paraId="29375D1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3.5</w:t>
            </w:r>
          </w:p>
        </w:tc>
        <w:tc>
          <w:tcPr>
            <w:tcW w:w="850" w:type="dxa"/>
            <w:tcBorders>
              <w:top w:val="nil"/>
              <w:bottom w:val="nil"/>
            </w:tcBorders>
          </w:tcPr>
          <w:p w14:paraId="4BFAF0A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7.8</w:t>
            </w:r>
          </w:p>
        </w:tc>
        <w:tc>
          <w:tcPr>
            <w:tcW w:w="850" w:type="dxa"/>
            <w:tcBorders>
              <w:top w:val="nil"/>
              <w:bottom w:val="nil"/>
            </w:tcBorders>
          </w:tcPr>
          <w:p w14:paraId="74EE2FF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5.1</w:t>
            </w:r>
          </w:p>
        </w:tc>
        <w:tc>
          <w:tcPr>
            <w:tcW w:w="850" w:type="dxa"/>
            <w:tcBorders>
              <w:top w:val="nil"/>
              <w:bottom w:val="nil"/>
            </w:tcBorders>
            <w:vAlign w:val="bottom"/>
          </w:tcPr>
          <w:p w14:paraId="70B2407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4.6</w:t>
            </w:r>
          </w:p>
        </w:tc>
        <w:tc>
          <w:tcPr>
            <w:tcW w:w="850" w:type="dxa"/>
            <w:tcBorders>
              <w:top w:val="nil"/>
              <w:bottom w:val="nil"/>
            </w:tcBorders>
            <w:vAlign w:val="bottom"/>
          </w:tcPr>
          <w:p w14:paraId="0160D2B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tcPr>
          <w:p w14:paraId="7A800E6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3.8</w:t>
            </w:r>
          </w:p>
        </w:tc>
      </w:tr>
      <w:tr w:rsidR="00CD5F12" w:rsidRPr="00CD5F12" w14:paraId="15248E8F" w14:textId="77777777" w:rsidTr="001611C8">
        <w:trPr>
          <w:jc w:val="center"/>
        </w:trPr>
        <w:tc>
          <w:tcPr>
            <w:tcW w:w="3489" w:type="dxa"/>
            <w:tcBorders>
              <w:top w:val="nil"/>
              <w:bottom w:val="nil"/>
            </w:tcBorders>
          </w:tcPr>
          <w:p w14:paraId="458F3463"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El Salvador</w:t>
            </w:r>
          </w:p>
        </w:tc>
        <w:tc>
          <w:tcPr>
            <w:tcW w:w="863" w:type="dxa"/>
            <w:tcBorders>
              <w:top w:val="nil"/>
              <w:bottom w:val="nil"/>
            </w:tcBorders>
            <w:vAlign w:val="bottom"/>
          </w:tcPr>
          <w:p w14:paraId="21D989B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-3.1</w:t>
            </w:r>
          </w:p>
        </w:tc>
        <w:tc>
          <w:tcPr>
            <w:tcW w:w="900" w:type="dxa"/>
            <w:tcBorders>
              <w:top w:val="nil"/>
              <w:bottom w:val="nil"/>
            </w:tcBorders>
          </w:tcPr>
          <w:p w14:paraId="318408F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1.4</w:t>
            </w:r>
          </w:p>
        </w:tc>
        <w:tc>
          <w:tcPr>
            <w:tcW w:w="850" w:type="dxa"/>
            <w:tcBorders>
              <w:top w:val="nil"/>
              <w:bottom w:val="nil"/>
            </w:tcBorders>
          </w:tcPr>
          <w:p w14:paraId="3158D86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2.2</w:t>
            </w:r>
          </w:p>
        </w:tc>
        <w:tc>
          <w:tcPr>
            <w:tcW w:w="850" w:type="dxa"/>
            <w:tcBorders>
              <w:top w:val="nil"/>
              <w:bottom w:val="nil"/>
            </w:tcBorders>
          </w:tcPr>
          <w:p w14:paraId="3871C34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1.9</w:t>
            </w:r>
          </w:p>
        </w:tc>
        <w:tc>
          <w:tcPr>
            <w:tcW w:w="850" w:type="dxa"/>
            <w:tcBorders>
              <w:top w:val="nil"/>
              <w:bottom w:val="nil"/>
            </w:tcBorders>
            <w:vAlign w:val="bottom"/>
          </w:tcPr>
          <w:p w14:paraId="7F5C490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1.7</w:t>
            </w:r>
          </w:p>
        </w:tc>
        <w:tc>
          <w:tcPr>
            <w:tcW w:w="850" w:type="dxa"/>
            <w:tcBorders>
              <w:top w:val="nil"/>
              <w:bottom w:val="nil"/>
            </w:tcBorders>
            <w:vAlign w:val="bottom"/>
          </w:tcPr>
          <w:p w14:paraId="126BCA5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2.2</w:t>
            </w:r>
          </w:p>
        </w:tc>
        <w:tc>
          <w:tcPr>
            <w:tcW w:w="850" w:type="dxa"/>
            <w:tcBorders>
              <w:top w:val="nil"/>
              <w:bottom w:val="nil"/>
            </w:tcBorders>
          </w:tcPr>
          <w:p w14:paraId="4C3E829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2.5</w:t>
            </w:r>
          </w:p>
        </w:tc>
      </w:tr>
      <w:tr w:rsidR="00CD5F12" w:rsidRPr="00CD5F12" w14:paraId="6B74B19B" w14:textId="77777777" w:rsidTr="001611C8">
        <w:trPr>
          <w:jc w:val="center"/>
        </w:trPr>
        <w:tc>
          <w:tcPr>
            <w:tcW w:w="3489" w:type="dxa"/>
            <w:tcBorders>
              <w:top w:val="nil"/>
              <w:bottom w:val="nil"/>
            </w:tcBorders>
          </w:tcPr>
          <w:p w14:paraId="367DC42A"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Guatemala</w:t>
            </w:r>
          </w:p>
        </w:tc>
        <w:tc>
          <w:tcPr>
            <w:tcW w:w="863" w:type="dxa"/>
            <w:tcBorders>
              <w:top w:val="nil"/>
              <w:bottom w:val="nil"/>
            </w:tcBorders>
            <w:vAlign w:val="bottom"/>
          </w:tcPr>
          <w:p w14:paraId="11DB4C4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0.5</w:t>
            </w:r>
          </w:p>
        </w:tc>
        <w:tc>
          <w:tcPr>
            <w:tcW w:w="900" w:type="dxa"/>
            <w:tcBorders>
              <w:top w:val="nil"/>
              <w:bottom w:val="nil"/>
            </w:tcBorders>
          </w:tcPr>
          <w:p w14:paraId="250A5BD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2.9</w:t>
            </w:r>
          </w:p>
        </w:tc>
        <w:tc>
          <w:tcPr>
            <w:tcW w:w="850" w:type="dxa"/>
            <w:tcBorders>
              <w:top w:val="nil"/>
              <w:bottom w:val="nil"/>
            </w:tcBorders>
          </w:tcPr>
          <w:p w14:paraId="19733B3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4.2</w:t>
            </w:r>
          </w:p>
        </w:tc>
        <w:tc>
          <w:tcPr>
            <w:tcW w:w="850" w:type="dxa"/>
            <w:tcBorders>
              <w:top w:val="nil"/>
              <w:bottom w:val="nil"/>
            </w:tcBorders>
          </w:tcPr>
          <w:p w14:paraId="74B2EE6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c>
          <w:tcPr>
            <w:tcW w:w="850" w:type="dxa"/>
            <w:tcBorders>
              <w:top w:val="nil"/>
              <w:bottom w:val="nil"/>
            </w:tcBorders>
            <w:vAlign w:val="bottom"/>
          </w:tcPr>
          <w:p w14:paraId="0F713F0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3.7</w:t>
            </w:r>
          </w:p>
        </w:tc>
        <w:tc>
          <w:tcPr>
            <w:tcW w:w="850" w:type="dxa"/>
            <w:tcBorders>
              <w:top w:val="nil"/>
              <w:bottom w:val="nil"/>
            </w:tcBorders>
            <w:vAlign w:val="bottom"/>
          </w:tcPr>
          <w:p w14:paraId="068B1C2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tcPr>
          <w:p w14:paraId="21C3B14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r>
      <w:tr w:rsidR="00CD5F12" w:rsidRPr="00CD5F12" w14:paraId="5B09F1D0" w14:textId="77777777" w:rsidTr="001611C8">
        <w:trPr>
          <w:jc w:val="center"/>
        </w:trPr>
        <w:tc>
          <w:tcPr>
            <w:tcW w:w="3489" w:type="dxa"/>
            <w:tcBorders>
              <w:top w:val="nil"/>
              <w:bottom w:val="nil"/>
            </w:tcBorders>
          </w:tcPr>
          <w:p w14:paraId="76CE65B7"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Haití</w:t>
            </w:r>
          </w:p>
        </w:tc>
        <w:tc>
          <w:tcPr>
            <w:tcW w:w="863" w:type="dxa"/>
            <w:tcBorders>
              <w:top w:val="nil"/>
              <w:bottom w:val="nil"/>
            </w:tcBorders>
            <w:vAlign w:val="bottom"/>
          </w:tcPr>
          <w:p w14:paraId="6721189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3.1</w:t>
            </w:r>
          </w:p>
        </w:tc>
        <w:tc>
          <w:tcPr>
            <w:tcW w:w="900" w:type="dxa"/>
            <w:tcBorders>
              <w:top w:val="nil"/>
              <w:bottom w:val="nil"/>
            </w:tcBorders>
          </w:tcPr>
          <w:p w14:paraId="7BB91D1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-5.5</w:t>
            </w:r>
          </w:p>
        </w:tc>
        <w:tc>
          <w:tcPr>
            <w:tcW w:w="850" w:type="dxa"/>
            <w:tcBorders>
              <w:top w:val="nil"/>
              <w:bottom w:val="nil"/>
            </w:tcBorders>
          </w:tcPr>
          <w:p w14:paraId="079ECD9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5.5</w:t>
            </w:r>
          </w:p>
        </w:tc>
        <w:tc>
          <w:tcPr>
            <w:tcW w:w="850" w:type="dxa"/>
            <w:tcBorders>
              <w:top w:val="nil"/>
              <w:bottom w:val="nil"/>
            </w:tcBorders>
          </w:tcPr>
          <w:p w14:paraId="7241A44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2.9</w:t>
            </w:r>
          </w:p>
        </w:tc>
        <w:tc>
          <w:tcPr>
            <w:tcW w:w="850" w:type="dxa"/>
            <w:tcBorders>
              <w:top w:val="nil"/>
              <w:bottom w:val="nil"/>
            </w:tcBorders>
            <w:vAlign w:val="bottom"/>
          </w:tcPr>
          <w:p w14:paraId="5B47CE6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4.3</w:t>
            </w:r>
          </w:p>
        </w:tc>
        <w:tc>
          <w:tcPr>
            <w:tcW w:w="850" w:type="dxa"/>
            <w:tcBorders>
              <w:top w:val="nil"/>
              <w:bottom w:val="nil"/>
            </w:tcBorders>
            <w:vAlign w:val="bottom"/>
          </w:tcPr>
          <w:p w14:paraId="6CC6D9A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3.5</w:t>
            </w:r>
          </w:p>
        </w:tc>
        <w:tc>
          <w:tcPr>
            <w:tcW w:w="850" w:type="dxa"/>
            <w:tcBorders>
              <w:top w:val="nil"/>
              <w:bottom w:val="nil"/>
            </w:tcBorders>
          </w:tcPr>
          <w:p w14:paraId="2399B6E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3.5</w:t>
            </w:r>
          </w:p>
        </w:tc>
      </w:tr>
      <w:tr w:rsidR="00CD5F12" w:rsidRPr="00CD5F12" w14:paraId="63730447" w14:textId="77777777" w:rsidTr="001611C8">
        <w:trPr>
          <w:jc w:val="center"/>
        </w:trPr>
        <w:tc>
          <w:tcPr>
            <w:tcW w:w="3489" w:type="dxa"/>
            <w:tcBorders>
              <w:top w:val="nil"/>
              <w:bottom w:val="nil"/>
            </w:tcBorders>
          </w:tcPr>
          <w:p w14:paraId="278EA01D"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Honduras</w:t>
            </w:r>
          </w:p>
        </w:tc>
        <w:tc>
          <w:tcPr>
            <w:tcW w:w="863" w:type="dxa"/>
            <w:tcBorders>
              <w:top w:val="nil"/>
              <w:bottom w:val="nil"/>
            </w:tcBorders>
            <w:vAlign w:val="bottom"/>
          </w:tcPr>
          <w:p w14:paraId="25A1536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-2.4</w:t>
            </w:r>
          </w:p>
        </w:tc>
        <w:tc>
          <w:tcPr>
            <w:tcW w:w="900" w:type="dxa"/>
            <w:tcBorders>
              <w:top w:val="nil"/>
              <w:bottom w:val="nil"/>
            </w:tcBorders>
          </w:tcPr>
          <w:p w14:paraId="390A3CB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3.7</w:t>
            </w:r>
          </w:p>
        </w:tc>
        <w:tc>
          <w:tcPr>
            <w:tcW w:w="850" w:type="dxa"/>
            <w:tcBorders>
              <w:top w:val="nil"/>
              <w:bottom w:val="nil"/>
            </w:tcBorders>
          </w:tcPr>
          <w:p w14:paraId="58C8E4B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3.8</w:t>
            </w:r>
          </w:p>
        </w:tc>
        <w:tc>
          <w:tcPr>
            <w:tcW w:w="850" w:type="dxa"/>
            <w:tcBorders>
              <w:top w:val="nil"/>
              <w:bottom w:val="nil"/>
            </w:tcBorders>
          </w:tcPr>
          <w:p w14:paraId="2DFB3A5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4.1</w:t>
            </w:r>
          </w:p>
        </w:tc>
        <w:tc>
          <w:tcPr>
            <w:tcW w:w="850" w:type="dxa"/>
            <w:tcBorders>
              <w:top w:val="nil"/>
              <w:bottom w:val="nil"/>
            </w:tcBorders>
            <w:vAlign w:val="bottom"/>
          </w:tcPr>
          <w:p w14:paraId="19F8F63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2.6</w:t>
            </w:r>
          </w:p>
        </w:tc>
        <w:tc>
          <w:tcPr>
            <w:tcW w:w="850" w:type="dxa"/>
            <w:tcBorders>
              <w:top w:val="nil"/>
              <w:bottom w:val="nil"/>
            </w:tcBorders>
            <w:vAlign w:val="bottom"/>
          </w:tcPr>
          <w:p w14:paraId="7F0B609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c>
          <w:tcPr>
            <w:tcW w:w="850" w:type="dxa"/>
            <w:tcBorders>
              <w:top w:val="nil"/>
              <w:bottom w:val="nil"/>
            </w:tcBorders>
          </w:tcPr>
          <w:p w14:paraId="728495C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r>
      <w:tr w:rsidR="00CD5F12" w:rsidRPr="00CD5F12" w14:paraId="09E41EC7" w14:textId="77777777" w:rsidTr="001611C8">
        <w:trPr>
          <w:jc w:val="center"/>
        </w:trPr>
        <w:tc>
          <w:tcPr>
            <w:tcW w:w="3489" w:type="dxa"/>
            <w:tcBorders>
              <w:top w:val="nil"/>
              <w:bottom w:val="nil"/>
            </w:tcBorders>
          </w:tcPr>
          <w:p w14:paraId="4E7803EA"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México</w:t>
            </w:r>
          </w:p>
        </w:tc>
        <w:tc>
          <w:tcPr>
            <w:tcW w:w="863" w:type="dxa"/>
            <w:tcBorders>
              <w:top w:val="nil"/>
              <w:bottom w:val="nil"/>
            </w:tcBorders>
            <w:vAlign w:val="bottom"/>
          </w:tcPr>
          <w:p w14:paraId="6D3B05F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-4.7</w:t>
            </w:r>
          </w:p>
        </w:tc>
        <w:tc>
          <w:tcPr>
            <w:tcW w:w="900" w:type="dxa"/>
            <w:tcBorders>
              <w:top w:val="nil"/>
              <w:bottom w:val="nil"/>
            </w:tcBorders>
          </w:tcPr>
          <w:p w14:paraId="0C60CC6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5.2</w:t>
            </w:r>
          </w:p>
        </w:tc>
        <w:tc>
          <w:tcPr>
            <w:tcW w:w="850" w:type="dxa"/>
            <w:tcBorders>
              <w:top w:val="nil"/>
              <w:bottom w:val="nil"/>
            </w:tcBorders>
          </w:tcPr>
          <w:p w14:paraId="788DF55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3.9</w:t>
            </w:r>
          </w:p>
        </w:tc>
        <w:tc>
          <w:tcPr>
            <w:tcW w:w="850" w:type="dxa"/>
            <w:tcBorders>
              <w:top w:val="nil"/>
              <w:bottom w:val="nil"/>
            </w:tcBorders>
          </w:tcPr>
          <w:p w14:paraId="7908E7D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vAlign w:val="bottom"/>
          </w:tcPr>
          <w:p w14:paraId="65B3CF0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1.1</w:t>
            </w:r>
          </w:p>
        </w:tc>
        <w:tc>
          <w:tcPr>
            <w:tcW w:w="850" w:type="dxa"/>
            <w:tcBorders>
              <w:top w:val="nil"/>
              <w:bottom w:val="nil"/>
            </w:tcBorders>
            <w:vAlign w:val="bottom"/>
          </w:tcPr>
          <w:p w14:paraId="3E1AB70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2.1</w:t>
            </w:r>
          </w:p>
        </w:tc>
        <w:tc>
          <w:tcPr>
            <w:tcW w:w="850" w:type="dxa"/>
            <w:tcBorders>
              <w:top w:val="nil"/>
              <w:bottom w:val="nil"/>
            </w:tcBorders>
          </w:tcPr>
          <w:p w14:paraId="21EC862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3.2</w:t>
            </w:r>
          </w:p>
        </w:tc>
      </w:tr>
      <w:tr w:rsidR="00CD5F12" w:rsidRPr="00CD5F12" w14:paraId="36B8B7CA" w14:textId="77777777" w:rsidTr="001611C8">
        <w:trPr>
          <w:jc w:val="center"/>
        </w:trPr>
        <w:tc>
          <w:tcPr>
            <w:tcW w:w="3489" w:type="dxa"/>
            <w:tcBorders>
              <w:top w:val="nil"/>
              <w:bottom w:val="nil"/>
            </w:tcBorders>
          </w:tcPr>
          <w:p w14:paraId="0F7D7523"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Nicaragua</w:t>
            </w:r>
          </w:p>
        </w:tc>
        <w:tc>
          <w:tcPr>
            <w:tcW w:w="863" w:type="dxa"/>
            <w:tcBorders>
              <w:top w:val="nil"/>
              <w:bottom w:val="nil"/>
            </w:tcBorders>
            <w:vAlign w:val="bottom"/>
          </w:tcPr>
          <w:p w14:paraId="5B03861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-2.8</w:t>
            </w:r>
          </w:p>
        </w:tc>
        <w:tc>
          <w:tcPr>
            <w:tcW w:w="900" w:type="dxa"/>
            <w:tcBorders>
              <w:top w:val="nil"/>
              <w:bottom w:val="nil"/>
            </w:tcBorders>
          </w:tcPr>
          <w:p w14:paraId="313B4FE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3.3</w:t>
            </w:r>
          </w:p>
        </w:tc>
        <w:tc>
          <w:tcPr>
            <w:tcW w:w="850" w:type="dxa"/>
            <w:tcBorders>
              <w:top w:val="nil"/>
              <w:bottom w:val="nil"/>
            </w:tcBorders>
          </w:tcPr>
          <w:p w14:paraId="4B7467C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5.7</w:t>
            </w:r>
          </w:p>
        </w:tc>
        <w:tc>
          <w:tcPr>
            <w:tcW w:w="850" w:type="dxa"/>
            <w:tcBorders>
              <w:top w:val="nil"/>
              <w:bottom w:val="nil"/>
            </w:tcBorders>
          </w:tcPr>
          <w:p w14:paraId="4BBEB6A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5.0</w:t>
            </w:r>
          </w:p>
        </w:tc>
        <w:tc>
          <w:tcPr>
            <w:tcW w:w="850" w:type="dxa"/>
            <w:tcBorders>
              <w:top w:val="nil"/>
              <w:bottom w:val="nil"/>
            </w:tcBorders>
            <w:vAlign w:val="bottom"/>
          </w:tcPr>
          <w:p w14:paraId="6E7211B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4.6</w:t>
            </w:r>
          </w:p>
        </w:tc>
        <w:tc>
          <w:tcPr>
            <w:tcW w:w="850" w:type="dxa"/>
            <w:tcBorders>
              <w:top w:val="nil"/>
              <w:bottom w:val="nil"/>
            </w:tcBorders>
            <w:vAlign w:val="bottom"/>
          </w:tcPr>
          <w:p w14:paraId="291D71C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4.5</w:t>
            </w:r>
          </w:p>
        </w:tc>
        <w:tc>
          <w:tcPr>
            <w:tcW w:w="850" w:type="dxa"/>
            <w:tcBorders>
              <w:top w:val="nil"/>
              <w:bottom w:val="nil"/>
            </w:tcBorders>
          </w:tcPr>
          <w:p w14:paraId="69A33F1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5.0</w:t>
            </w:r>
          </w:p>
        </w:tc>
      </w:tr>
      <w:tr w:rsidR="00CD5F12" w:rsidRPr="00CD5F12" w14:paraId="2AF106A3" w14:textId="77777777" w:rsidTr="001611C8">
        <w:trPr>
          <w:jc w:val="center"/>
        </w:trPr>
        <w:tc>
          <w:tcPr>
            <w:tcW w:w="3489" w:type="dxa"/>
            <w:tcBorders>
              <w:top w:val="nil"/>
              <w:bottom w:val="nil"/>
            </w:tcBorders>
          </w:tcPr>
          <w:p w14:paraId="676F9713"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Panamá</w:t>
            </w:r>
          </w:p>
        </w:tc>
        <w:tc>
          <w:tcPr>
            <w:tcW w:w="863" w:type="dxa"/>
            <w:tcBorders>
              <w:top w:val="nil"/>
              <w:bottom w:val="nil"/>
            </w:tcBorders>
            <w:vAlign w:val="bottom"/>
          </w:tcPr>
          <w:p w14:paraId="3F0393D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900" w:type="dxa"/>
            <w:tcBorders>
              <w:top w:val="nil"/>
              <w:bottom w:val="nil"/>
            </w:tcBorders>
          </w:tcPr>
          <w:p w14:paraId="074A593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5.9</w:t>
            </w:r>
          </w:p>
        </w:tc>
        <w:tc>
          <w:tcPr>
            <w:tcW w:w="850" w:type="dxa"/>
            <w:tcBorders>
              <w:top w:val="nil"/>
              <w:bottom w:val="nil"/>
            </w:tcBorders>
          </w:tcPr>
          <w:p w14:paraId="4A4D9E3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10.8</w:t>
            </w:r>
          </w:p>
        </w:tc>
        <w:tc>
          <w:tcPr>
            <w:tcW w:w="850" w:type="dxa"/>
            <w:tcBorders>
              <w:top w:val="nil"/>
              <w:bottom w:val="nil"/>
            </w:tcBorders>
          </w:tcPr>
          <w:p w14:paraId="1EBAD0B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10.2</w:t>
            </w:r>
          </w:p>
        </w:tc>
        <w:tc>
          <w:tcPr>
            <w:tcW w:w="850" w:type="dxa"/>
            <w:tcBorders>
              <w:top w:val="nil"/>
              <w:bottom w:val="nil"/>
            </w:tcBorders>
            <w:vAlign w:val="bottom"/>
          </w:tcPr>
          <w:p w14:paraId="7FE69DB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8.4</w:t>
            </w:r>
          </w:p>
        </w:tc>
        <w:tc>
          <w:tcPr>
            <w:tcW w:w="850" w:type="dxa"/>
            <w:tcBorders>
              <w:top w:val="nil"/>
              <w:bottom w:val="nil"/>
            </w:tcBorders>
            <w:vAlign w:val="bottom"/>
          </w:tcPr>
          <w:p w14:paraId="4D3CE15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6.0</w:t>
            </w:r>
          </w:p>
        </w:tc>
        <w:tc>
          <w:tcPr>
            <w:tcW w:w="850" w:type="dxa"/>
            <w:tcBorders>
              <w:top w:val="nil"/>
              <w:bottom w:val="nil"/>
            </w:tcBorders>
          </w:tcPr>
          <w:p w14:paraId="339D0C6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7.0</w:t>
            </w:r>
          </w:p>
        </w:tc>
      </w:tr>
      <w:tr w:rsidR="00CD5F12" w:rsidRPr="00CD5F12" w14:paraId="3EBDCDFA" w14:textId="77777777" w:rsidTr="001611C8">
        <w:trPr>
          <w:jc w:val="center"/>
        </w:trPr>
        <w:tc>
          <w:tcPr>
            <w:tcW w:w="3489" w:type="dxa"/>
            <w:tcBorders>
              <w:top w:val="nil"/>
              <w:bottom w:val="nil"/>
            </w:tcBorders>
          </w:tcPr>
          <w:p w14:paraId="7B98586E"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Paraguay</w:t>
            </w:r>
          </w:p>
        </w:tc>
        <w:tc>
          <w:tcPr>
            <w:tcW w:w="863" w:type="dxa"/>
            <w:tcBorders>
              <w:top w:val="nil"/>
              <w:bottom w:val="nil"/>
            </w:tcBorders>
            <w:vAlign w:val="bottom"/>
          </w:tcPr>
          <w:p w14:paraId="1E855D2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900" w:type="dxa"/>
            <w:tcBorders>
              <w:top w:val="nil"/>
              <w:bottom w:val="nil"/>
            </w:tcBorders>
          </w:tcPr>
          <w:p w14:paraId="7D53C8A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13.1</w:t>
            </w:r>
          </w:p>
        </w:tc>
        <w:tc>
          <w:tcPr>
            <w:tcW w:w="850" w:type="dxa"/>
            <w:tcBorders>
              <w:top w:val="nil"/>
              <w:bottom w:val="nil"/>
            </w:tcBorders>
          </w:tcPr>
          <w:p w14:paraId="1244C76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4.3</w:t>
            </w:r>
          </w:p>
        </w:tc>
        <w:tc>
          <w:tcPr>
            <w:tcW w:w="850" w:type="dxa"/>
            <w:tcBorders>
              <w:top w:val="nil"/>
              <w:bottom w:val="nil"/>
            </w:tcBorders>
          </w:tcPr>
          <w:p w14:paraId="73A3225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c>
          <w:tcPr>
            <w:tcW w:w="850" w:type="dxa"/>
            <w:tcBorders>
              <w:top w:val="nil"/>
              <w:bottom w:val="nil"/>
            </w:tcBorders>
            <w:vAlign w:val="bottom"/>
          </w:tcPr>
          <w:p w14:paraId="5468847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14.2</w:t>
            </w:r>
          </w:p>
        </w:tc>
        <w:tc>
          <w:tcPr>
            <w:tcW w:w="850" w:type="dxa"/>
            <w:tcBorders>
              <w:top w:val="nil"/>
              <w:bottom w:val="nil"/>
            </w:tcBorders>
            <w:vAlign w:val="bottom"/>
          </w:tcPr>
          <w:p w14:paraId="48ADEF8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tcPr>
          <w:p w14:paraId="53CB711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r>
      <w:tr w:rsidR="00CD5F12" w:rsidRPr="00CD5F12" w14:paraId="716986C6" w14:textId="77777777" w:rsidTr="001611C8">
        <w:trPr>
          <w:jc w:val="center"/>
        </w:trPr>
        <w:tc>
          <w:tcPr>
            <w:tcW w:w="3489" w:type="dxa"/>
            <w:tcBorders>
              <w:top w:val="nil"/>
              <w:bottom w:val="nil"/>
            </w:tcBorders>
          </w:tcPr>
          <w:p w14:paraId="1293D520"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Perú</w:t>
            </w:r>
          </w:p>
        </w:tc>
        <w:tc>
          <w:tcPr>
            <w:tcW w:w="863" w:type="dxa"/>
            <w:tcBorders>
              <w:top w:val="nil"/>
              <w:bottom w:val="nil"/>
            </w:tcBorders>
            <w:vAlign w:val="bottom"/>
          </w:tcPr>
          <w:p w14:paraId="4C63F64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c>
          <w:tcPr>
            <w:tcW w:w="900" w:type="dxa"/>
            <w:tcBorders>
              <w:top w:val="nil"/>
              <w:bottom w:val="nil"/>
            </w:tcBorders>
          </w:tcPr>
          <w:p w14:paraId="31EBF0D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8.5</w:t>
            </w:r>
          </w:p>
        </w:tc>
        <w:tc>
          <w:tcPr>
            <w:tcW w:w="850" w:type="dxa"/>
            <w:tcBorders>
              <w:top w:val="nil"/>
              <w:bottom w:val="nil"/>
            </w:tcBorders>
          </w:tcPr>
          <w:p w14:paraId="438322E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6.5</w:t>
            </w:r>
          </w:p>
        </w:tc>
        <w:tc>
          <w:tcPr>
            <w:tcW w:w="850" w:type="dxa"/>
            <w:tcBorders>
              <w:top w:val="nil"/>
              <w:bottom w:val="nil"/>
            </w:tcBorders>
          </w:tcPr>
          <w:p w14:paraId="18DFA82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6.0</w:t>
            </w:r>
          </w:p>
        </w:tc>
        <w:tc>
          <w:tcPr>
            <w:tcW w:w="850" w:type="dxa"/>
            <w:tcBorders>
              <w:top w:val="nil"/>
              <w:bottom w:val="nil"/>
            </w:tcBorders>
            <w:vAlign w:val="bottom"/>
          </w:tcPr>
          <w:p w14:paraId="5741BF2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5.8</w:t>
            </w:r>
          </w:p>
        </w:tc>
        <w:tc>
          <w:tcPr>
            <w:tcW w:w="850" w:type="dxa"/>
            <w:tcBorders>
              <w:top w:val="nil"/>
              <w:bottom w:val="nil"/>
            </w:tcBorders>
            <w:vAlign w:val="bottom"/>
          </w:tcPr>
          <w:p w14:paraId="104EE16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2.8</w:t>
            </w:r>
          </w:p>
        </w:tc>
        <w:tc>
          <w:tcPr>
            <w:tcW w:w="850" w:type="dxa"/>
            <w:tcBorders>
              <w:top w:val="nil"/>
              <w:bottom w:val="nil"/>
            </w:tcBorders>
          </w:tcPr>
          <w:p w14:paraId="3D29388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5.0</w:t>
            </w:r>
          </w:p>
        </w:tc>
      </w:tr>
      <w:tr w:rsidR="00CD5F12" w:rsidRPr="00CD5F12" w14:paraId="12A0C2BB" w14:textId="77777777" w:rsidTr="001611C8">
        <w:trPr>
          <w:jc w:val="center"/>
        </w:trPr>
        <w:tc>
          <w:tcPr>
            <w:tcW w:w="3489" w:type="dxa"/>
            <w:tcBorders>
              <w:top w:val="nil"/>
              <w:bottom w:val="nil"/>
            </w:tcBorders>
          </w:tcPr>
          <w:p w14:paraId="786458EE"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República Dominicana</w:t>
            </w:r>
          </w:p>
        </w:tc>
        <w:tc>
          <w:tcPr>
            <w:tcW w:w="863" w:type="dxa"/>
            <w:tcBorders>
              <w:top w:val="nil"/>
              <w:bottom w:val="nil"/>
            </w:tcBorders>
            <w:vAlign w:val="bottom"/>
          </w:tcPr>
          <w:p w14:paraId="3CB49E2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0.9</w:t>
            </w:r>
          </w:p>
        </w:tc>
        <w:tc>
          <w:tcPr>
            <w:tcW w:w="900" w:type="dxa"/>
            <w:tcBorders>
              <w:top w:val="nil"/>
              <w:bottom w:val="nil"/>
            </w:tcBorders>
          </w:tcPr>
          <w:p w14:paraId="7824AD4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8.3</w:t>
            </w:r>
          </w:p>
        </w:tc>
        <w:tc>
          <w:tcPr>
            <w:tcW w:w="850" w:type="dxa"/>
            <w:tcBorders>
              <w:top w:val="nil"/>
              <w:bottom w:val="nil"/>
            </w:tcBorders>
          </w:tcPr>
          <w:p w14:paraId="3217D4C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2.9</w:t>
            </w:r>
          </w:p>
        </w:tc>
        <w:tc>
          <w:tcPr>
            <w:tcW w:w="850" w:type="dxa"/>
            <w:tcBorders>
              <w:top w:val="nil"/>
              <w:bottom w:val="nil"/>
            </w:tcBorders>
          </w:tcPr>
          <w:p w14:paraId="574AD6C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2.7</w:t>
            </w:r>
          </w:p>
        </w:tc>
        <w:tc>
          <w:tcPr>
            <w:tcW w:w="850" w:type="dxa"/>
            <w:tcBorders>
              <w:top w:val="nil"/>
              <w:bottom w:val="nil"/>
            </w:tcBorders>
            <w:vAlign w:val="bottom"/>
          </w:tcPr>
          <w:p w14:paraId="6D1F174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4.6</w:t>
            </w:r>
          </w:p>
        </w:tc>
        <w:tc>
          <w:tcPr>
            <w:tcW w:w="850" w:type="dxa"/>
            <w:tcBorders>
              <w:top w:val="nil"/>
              <w:bottom w:val="nil"/>
            </w:tcBorders>
            <w:vAlign w:val="bottom"/>
          </w:tcPr>
          <w:p w14:paraId="5CCD612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6.0</w:t>
            </w:r>
          </w:p>
        </w:tc>
        <w:tc>
          <w:tcPr>
            <w:tcW w:w="850" w:type="dxa"/>
            <w:tcBorders>
              <w:top w:val="nil"/>
              <w:bottom w:val="nil"/>
            </w:tcBorders>
          </w:tcPr>
          <w:p w14:paraId="4E14E4F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5.0</w:t>
            </w:r>
          </w:p>
        </w:tc>
      </w:tr>
      <w:tr w:rsidR="00CD5F12" w:rsidRPr="00CD5F12" w14:paraId="1467A1D6" w14:textId="77777777" w:rsidTr="001611C8">
        <w:trPr>
          <w:jc w:val="center"/>
        </w:trPr>
        <w:tc>
          <w:tcPr>
            <w:tcW w:w="3489" w:type="dxa"/>
            <w:tcBorders>
              <w:top w:val="nil"/>
              <w:bottom w:val="nil"/>
            </w:tcBorders>
          </w:tcPr>
          <w:p w14:paraId="3C5B4219"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Uruguay</w:t>
            </w:r>
          </w:p>
        </w:tc>
        <w:tc>
          <w:tcPr>
            <w:tcW w:w="863" w:type="dxa"/>
            <w:tcBorders>
              <w:top w:val="nil"/>
              <w:bottom w:val="nil"/>
            </w:tcBorders>
            <w:vAlign w:val="bottom"/>
          </w:tcPr>
          <w:p w14:paraId="14037B7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2.4</w:t>
            </w:r>
          </w:p>
        </w:tc>
        <w:tc>
          <w:tcPr>
            <w:tcW w:w="900" w:type="dxa"/>
            <w:tcBorders>
              <w:top w:val="nil"/>
              <w:bottom w:val="nil"/>
            </w:tcBorders>
          </w:tcPr>
          <w:p w14:paraId="64A481E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8.4</w:t>
            </w:r>
          </w:p>
        </w:tc>
        <w:tc>
          <w:tcPr>
            <w:tcW w:w="850" w:type="dxa"/>
            <w:tcBorders>
              <w:top w:val="nil"/>
              <w:bottom w:val="nil"/>
            </w:tcBorders>
          </w:tcPr>
          <w:p w14:paraId="1617AC6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7.3</w:t>
            </w:r>
          </w:p>
        </w:tc>
        <w:tc>
          <w:tcPr>
            <w:tcW w:w="850" w:type="dxa"/>
            <w:tcBorders>
              <w:top w:val="nil"/>
              <w:bottom w:val="nil"/>
            </w:tcBorders>
          </w:tcPr>
          <w:p w14:paraId="253D6AB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3.7</w:t>
            </w:r>
          </w:p>
        </w:tc>
        <w:tc>
          <w:tcPr>
            <w:tcW w:w="850" w:type="dxa"/>
            <w:tcBorders>
              <w:top w:val="nil"/>
              <w:bottom w:val="nil"/>
            </w:tcBorders>
            <w:vAlign w:val="bottom"/>
          </w:tcPr>
          <w:p w14:paraId="4034E2E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4.4</w:t>
            </w:r>
          </w:p>
        </w:tc>
        <w:tc>
          <w:tcPr>
            <w:tcW w:w="850" w:type="dxa"/>
            <w:tcBorders>
              <w:top w:val="nil"/>
              <w:bottom w:val="nil"/>
            </w:tcBorders>
            <w:vAlign w:val="bottom"/>
          </w:tcPr>
          <w:p w14:paraId="47F07BC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3.5</w:t>
            </w:r>
          </w:p>
        </w:tc>
        <w:tc>
          <w:tcPr>
            <w:tcW w:w="850" w:type="dxa"/>
            <w:tcBorders>
              <w:top w:val="nil"/>
              <w:bottom w:val="nil"/>
            </w:tcBorders>
          </w:tcPr>
          <w:p w14:paraId="6FC930F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3.5</w:t>
            </w:r>
          </w:p>
        </w:tc>
      </w:tr>
      <w:tr w:rsidR="00CD5F12" w:rsidRPr="00CD5F12" w14:paraId="00E7ECE8" w14:textId="77777777" w:rsidTr="001611C8">
        <w:trPr>
          <w:jc w:val="center"/>
        </w:trPr>
        <w:tc>
          <w:tcPr>
            <w:tcW w:w="3489" w:type="dxa"/>
            <w:tcBorders>
              <w:top w:val="nil"/>
              <w:bottom w:val="nil"/>
            </w:tcBorders>
          </w:tcPr>
          <w:p w14:paraId="66B85433"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Venezuela (República Bolivariana de)</w:t>
            </w:r>
          </w:p>
        </w:tc>
        <w:tc>
          <w:tcPr>
            <w:tcW w:w="863" w:type="dxa"/>
            <w:tcBorders>
              <w:top w:val="nil"/>
              <w:bottom w:val="nil"/>
            </w:tcBorders>
            <w:vAlign w:val="bottom"/>
          </w:tcPr>
          <w:p w14:paraId="488310F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-3.2</w:t>
            </w:r>
          </w:p>
        </w:tc>
        <w:tc>
          <w:tcPr>
            <w:tcW w:w="900" w:type="dxa"/>
            <w:tcBorders>
              <w:top w:val="nil"/>
              <w:bottom w:val="nil"/>
            </w:tcBorders>
          </w:tcPr>
          <w:p w14:paraId="672F289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-1.5</w:t>
            </w:r>
          </w:p>
        </w:tc>
        <w:tc>
          <w:tcPr>
            <w:tcW w:w="850" w:type="dxa"/>
            <w:tcBorders>
              <w:top w:val="nil"/>
              <w:bottom w:val="nil"/>
            </w:tcBorders>
          </w:tcPr>
          <w:p w14:paraId="1735775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4.2</w:t>
            </w:r>
          </w:p>
        </w:tc>
        <w:tc>
          <w:tcPr>
            <w:tcW w:w="850" w:type="dxa"/>
            <w:tcBorders>
              <w:top w:val="nil"/>
              <w:bottom w:val="nil"/>
            </w:tcBorders>
          </w:tcPr>
          <w:p w14:paraId="7930CEF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5.6</w:t>
            </w:r>
          </w:p>
        </w:tc>
        <w:tc>
          <w:tcPr>
            <w:tcW w:w="850" w:type="dxa"/>
            <w:tcBorders>
              <w:top w:val="nil"/>
              <w:bottom w:val="nil"/>
            </w:tcBorders>
            <w:vAlign w:val="bottom"/>
          </w:tcPr>
          <w:p w14:paraId="60811C6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1.3</w:t>
            </w:r>
          </w:p>
        </w:tc>
        <w:tc>
          <w:tcPr>
            <w:tcW w:w="850" w:type="dxa"/>
            <w:tcBorders>
              <w:top w:val="nil"/>
              <w:bottom w:val="nil"/>
            </w:tcBorders>
            <w:vAlign w:val="bottom"/>
          </w:tcPr>
          <w:p w14:paraId="542B24E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c>
          <w:tcPr>
            <w:tcW w:w="850" w:type="dxa"/>
            <w:tcBorders>
              <w:top w:val="nil"/>
              <w:bottom w:val="nil"/>
            </w:tcBorders>
          </w:tcPr>
          <w:p w14:paraId="1634C14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r>
      <w:tr w:rsidR="00CD5F12" w:rsidRPr="00CD5F12" w14:paraId="196B6215" w14:textId="77777777" w:rsidTr="001611C8">
        <w:trPr>
          <w:jc w:val="center"/>
        </w:trPr>
        <w:tc>
          <w:tcPr>
            <w:tcW w:w="3489" w:type="dxa"/>
            <w:tcBorders>
              <w:top w:val="nil"/>
              <w:bottom w:val="nil"/>
            </w:tcBorders>
          </w:tcPr>
          <w:p w14:paraId="5C783C86" w14:textId="77777777" w:rsidR="00CD5F12" w:rsidRPr="00CD5F12" w:rsidRDefault="00CD5F12" w:rsidP="00CD5F12">
            <w:pPr>
              <w:ind w:left="170"/>
              <w:jc w:val="both"/>
              <w:rPr>
                <w:rFonts w:eastAsia="Times New Roman"/>
                <w:b/>
                <w:sz w:val="16"/>
                <w:szCs w:val="16"/>
                <w:lang w:val="es-ES"/>
              </w:rPr>
            </w:pPr>
            <w:r w:rsidRPr="00CD5F12">
              <w:rPr>
                <w:rFonts w:eastAsia="Times New Roman"/>
                <w:b/>
                <w:sz w:val="16"/>
                <w:szCs w:val="16"/>
                <w:lang w:val="es-ES"/>
              </w:rPr>
              <w:t>Subtotal de América Latina</w:t>
            </w:r>
          </w:p>
        </w:tc>
        <w:tc>
          <w:tcPr>
            <w:tcW w:w="863" w:type="dxa"/>
            <w:tcBorders>
              <w:top w:val="nil"/>
              <w:bottom w:val="nil"/>
            </w:tcBorders>
            <w:vAlign w:val="bottom"/>
          </w:tcPr>
          <w:p w14:paraId="0BB6BC06" w14:textId="77777777" w:rsidR="00CD5F12" w:rsidRPr="00CD5F12" w:rsidRDefault="00CD5F12" w:rsidP="00CD5F12">
            <w:pPr>
              <w:ind w:right="227"/>
              <w:jc w:val="right"/>
              <w:rPr>
                <w:rFonts w:eastAsia="Times New Roman"/>
                <w:b/>
                <w:sz w:val="16"/>
                <w:szCs w:val="16"/>
                <w:lang w:val="es-ES"/>
              </w:rPr>
            </w:pPr>
            <w:r w:rsidRPr="00CD5F12">
              <w:rPr>
                <w:rFonts w:eastAsia="Times New Roman"/>
                <w:b/>
                <w:sz w:val="16"/>
                <w:szCs w:val="16"/>
                <w:lang w:val="es-ES"/>
              </w:rPr>
              <w:t>-1.2</w:t>
            </w:r>
          </w:p>
        </w:tc>
        <w:tc>
          <w:tcPr>
            <w:tcW w:w="900" w:type="dxa"/>
            <w:tcBorders>
              <w:top w:val="nil"/>
              <w:bottom w:val="nil"/>
            </w:tcBorders>
          </w:tcPr>
          <w:p w14:paraId="7C57DADD" w14:textId="77777777" w:rsidR="00CD5F12" w:rsidRPr="00CD5F12" w:rsidRDefault="00CD5F12" w:rsidP="00CD5F12">
            <w:pPr>
              <w:ind w:right="227"/>
              <w:jc w:val="right"/>
              <w:rPr>
                <w:rFonts w:eastAsia="Times New Roman"/>
                <w:b/>
                <w:sz w:val="16"/>
                <w:szCs w:val="16"/>
                <w:lang w:val="es-ES"/>
              </w:rPr>
            </w:pPr>
            <w:r w:rsidRPr="00CD5F12">
              <w:rPr>
                <w:rFonts w:eastAsia="Times New Roman"/>
                <w:b/>
                <w:sz w:val="16"/>
                <w:szCs w:val="16"/>
                <w:lang w:val="es-ES"/>
              </w:rPr>
              <w:t>6.2</w:t>
            </w:r>
          </w:p>
        </w:tc>
        <w:tc>
          <w:tcPr>
            <w:tcW w:w="850" w:type="dxa"/>
            <w:tcBorders>
              <w:top w:val="nil"/>
              <w:bottom w:val="nil"/>
            </w:tcBorders>
          </w:tcPr>
          <w:p w14:paraId="51744253" w14:textId="77777777" w:rsidR="00CD5F12" w:rsidRPr="00CD5F12" w:rsidRDefault="00CD5F12" w:rsidP="00CD5F12">
            <w:pPr>
              <w:ind w:right="227"/>
              <w:jc w:val="right"/>
              <w:rPr>
                <w:rFonts w:eastAsia="Times New Roman"/>
                <w:b/>
                <w:sz w:val="16"/>
                <w:szCs w:val="16"/>
                <w:lang w:val="es-ES"/>
              </w:rPr>
            </w:pPr>
            <w:r w:rsidRPr="00CD5F12">
              <w:rPr>
                <w:rFonts w:eastAsia="Times New Roman"/>
                <w:b/>
                <w:sz w:val="16"/>
                <w:szCs w:val="16"/>
                <w:lang w:val="es-ES"/>
              </w:rPr>
              <w:t>4.3</w:t>
            </w:r>
          </w:p>
        </w:tc>
        <w:tc>
          <w:tcPr>
            <w:tcW w:w="850" w:type="dxa"/>
            <w:tcBorders>
              <w:top w:val="nil"/>
              <w:bottom w:val="nil"/>
            </w:tcBorders>
          </w:tcPr>
          <w:p w14:paraId="742155AC" w14:textId="77777777" w:rsidR="00CD5F12" w:rsidRPr="00CD5F12" w:rsidRDefault="00CD5F12" w:rsidP="00CD5F12">
            <w:pPr>
              <w:ind w:right="227"/>
              <w:jc w:val="right"/>
              <w:rPr>
                <w:rFonts w:eastAsia="Times New Roman"/>
                <w:b/>
                <w:sz w:val="16"/>
                <w:szCs w:val="16"/>
                <w:lang w:val="es-ES"/>
              </w:rPr>
            </w:pPr>
            <w:r w:rsidRPr="00CD5F12">
              <w:rPr>
                <w:rFonts w:eastAsia="Times New Roman"/>
                <w:b/>
                <w:sz w:val="16"/>
                <w:szCs w:val="16"/>
                <w:lang w:val="es-ES"/>
              </w:rPr>
              <w:t>2.7</w:t>
            </w:r>
          </w:p>
        </w:tc>
        <w:tc>
          <w:tcPr>
            <w:tcW w:w="850" w:type="dxa"/>
            <w:tcBorders>
              <w:top w:val="nil"/>
              <w:bottom w:val="nil"/>
            </w:tcBorders>
            <w:vAlign w:val="bottom"/>
          </w:tcPr>
          <w:p w14:paraId="3DE09A6D" w14:textId="77777777" w:rsidR="00CD5F12" w:rsidRPr="00CD5F12" w:rsidRDefault="00CD5F12" w:rsidP="00CD5F12">
            <w:pPr>
              <w:ind w:right="227"/>
              <w:jc w:val="right"/>
              <w:rPr>
                <w:rFonts w:eastAsia="Times New Roman"/>
                <w:b/>
                <w:sz w:val="16"/>
                <w:szCs w:val="16"/>
                <w:lang w:val="es-ES"/>
              </w:rPr>
            </w:pPr>
            <w:r w:rsidRPr="00CD5F12">
              <w:rPr>
                <w:rFonts w:eastAsia="Times New Roman"/>
                <w:b/>
                <w:sz w:val="16"/>
                <w:szCs w:val="16"/>
                <w:lang w:val="es-ES"/>
              </w:rPr>
              <w:t>2.7</w:t>
            </w:r>
          </w:p>
        </w:tc>
        <w:tc>
          <w:tcPr>
            <w:tcW w:w="850" w:type="dxa"/>
            <w:tcBorders>
              <w:top w:val="nil"/>
              <w:bottom w:val="nil"/>
            </w:tcBorders>
            <w:vAlign w:val="bottom"/>
          </w:tcPr>
          <w:p w14:paraId="6C9113A6" w14:textId="77777777" w:rsidR="00CD5F12" w:rsidRPr="00CD5F12" w:rsidRDefault="00CD5F12" w:rsidP="00CD5F12">
            <w:pPr>
              <w:ind w:right="227"/>
              <w:jc w:val="right"/>
              <w:rPr>
                <w:rFonts w:eastAsia="Times New Roman"/>
                <w:b/>
                <w:sz w:val="16"/>
                <w:szCs w:val="16"/>
                <w:lang w:val="es-ES"/>
              </w:rPr>
            </w:pPr>
            <w:r w:rsidRPr="00CD5F12">
              <w:rPr>
                <w:rFonts w:eastAsia="Times New Roman"/>
                <w:b/>
                <w:sz w:val="16"/>
                <w:szCs w:val="16"/>
                <w:lang w:val="es-ES"/>
              </w:rPr>
              <w:t>1.1</w:t>
            </w:r>
          </w:p>
        </w:tc>
        <w:tc>
          <w:tcPr>
            <w:tcW w:w="850" w:type="dxa"/>
            <w:tcBorders>
              <w:top w:val="nil"/>
              <w:bottom w:val="nil"/>
            </w:tcBorders>
          </w:tcPr>
          <w:p w14:paraId="14ABAF29" w14:textId="77777777" w:rsidR="00CD5F12" w:rsidRPr="00CD5F12" w:rsidRDefault="00CD5F12" w:rsidP="00CD5F12">
            <w:pPr>
              <w:ind w:right="227"/>
              <w:jc w:val="right"/>
              <w:rPr>
                <w:rFonts w:eastAsia="Times New Roman"/>
                <w:b/>
                <w:sz w:val="16"/>
                <w:szCs w:val="16"/>
                <w:lang w:val="es-ES"/>
              </w:rPr>
            </w:pPr>
            <w:r w:rsidRPr="00CD5F12">
              <w:rPr>
                <w:rFonts w:eastAsia="Times New Roman"/>
                <w:b/>
                <w:sz w:val="16"/>
                <w:szCs w:val="16"/>
                <w:lang w:val="es-ES"/>
              </w:rPr>
              <w:t>2.2</w:t>
            </w:r>
          </w:p>
        </w:tc>
      </w:tr>
      <w:tr w:rsidR="00CD5F12" w:rsidRPr="00CD5F12" w14:paraId="4C301F1C" w14:textId="77777777" w:rsidTr="001611C8">
        <w:trPr>
          <w:jc w:val="center"/>
        </w:trPr>
        <w:tc>
          <w:tcPr>
            <w:tcW w:w="3489" w:type="dxa"/>
            <w:tcBorders>
              <w:top w:val="nil"/>
              <w:bottom w:val="nil"/>
            </w:tcBorders>
          </w:tcPr>
          <w:p w14:paraId="479E7D38"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Antigua y Barbuda</w:t>
            </w:r>
          </w:p>
        </w:tc>
        <w:tc>
          <w:tcPr>
            <w:tcW w:w="863" w:type="dxa"/>
            <w:tcBorders>
              <w:top w:val="nil"/>
              <w:bottom w:val="nil"/>
            </w:tcBorders>
            <w:vAlign w:val="bottom"/>
          </w:tcPr>
          <w:p w14:paraId="2636B30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-12.0</w:t>
            </w:r>
          </w:p>
        </w:tc>
        <w:tc>
          <w:tcPr>
            <w:tcW w:w="900" w:type="dxa"/>
            <w:tcBorders>
              <w:top w:val="nil"/>
              <w:bottom w:val="nil"/>
            </w:tcBorders>
          </w:tcPr>
          <w:p w14:paraId="1B7EB35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-7.1</w:t>
            </w:r>
          </w:p>
        </w:tc>
        <w:tc>
          <w:tcPr>
            <w:tcW w:w="850" w:type="dxa"/>
            <w:tcBorders>
              <w:top w:val="nil"/>
              <w:bottom w:val="nil"/>
            </w:tcBorders>
          </w:tcPr>
          <w:p w14:paraId="66B1DE8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-1.8</w:t>
            </w:r>
          </w:p>
        </w:tc>
        <w:tc>
          <w:tcPr>
            <w:tcW w:w="850" w:type="dxa"/>
            <w:tcBorders>
              <w:top w:val="nil"/>
              <w:bottom w:val="nil"/>
            </w:tcBorders>
          </w:tcPr>
          <w:p w14:paraId="50B1B78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vAlign w:val="bottom"/>
          </w:tcPr>
          <w:p w14:paraId="4CDBA15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-0.1</w:t>
            </w:r>
          </w:p>
        </w:tc>
        <w:tc>
          <w:tcPr>
            <w:tcW w:w="850" w:type="dxa"/>
            <w:tcBorders>
              <w:top w:val="nil"/>
              <w:bottom w:val="nil"/>
            </w:tcBorders>
            <w:vAlign w:val="bottom"/>
          </w:tcPr>
          <w:p w14:paraId="20CA8AB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2.7</w:t>
            </w:r>
          </w:p>
        </w:tc>
        <w:tc>
          <w:tcPr>
            <w:tcW w:w="850" w:type="dxa"/>
            <w:tcBorders>
              <w:top w:val="nil"/>
              <w:bottom w:val="nil"/>
            </w:tcBorders>
          </w:tcPr>
          <w:p w14:paraId="1539243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2.5</w:t>
            </w:r>
          </w:p>
        </w:tc>
      </w:tr>
      <w:tr w:rsidR="00CD5F12" w:rsidRPr="00CD5F12" w14:paraId="7621BA3D" w14:textId="77777777" w:rsidTr="001611C8">
        <w:trPr>
          <w:jc w:val="center"/>
        </w:trPr>
        <w:tc>
          <w:tcPr>
            <w:tcW w:w="3489" w:type="dxa"/>
            <w:tcBorders>
              <w:top w:val="nil"/>
              <w:bottom w:val="nil"/>
            </w:tcBorders>
          </w:tcPr>
          <w:p w14:paraId="6D26650A"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Bahamas</w:t>
            </w:r>
          </w:p>
        </w:tc>
        <w:tc>
          <w:tcPr>
            <w:tcW w:w="863" w:type="dxa"/>
            <w:tcBorders>
              <w:top w:val="nil"/>
              <w:bottom w:val="nil"/>
            </w:tcBorders>
            <w:vAlign w:val="bottom"/>
          </w:tcPr>
          <w:p w14:paraId="74FF11B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-4.2</w:t>
            </w:r>
          </w:p>
        </w:tc>
        <w:tc>
          <w:tcPr>
            <w:tcW w:w="900" w:type="dxa"/>
            <w:tcBorders>
              <w:top w:val="nil"/>
              <w:bottom w:val="nil"/>
            </w:tcBorders>
          </w:tcPr>
          <w:p w14:paraId="7858691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1.5</w:t>
            </w:r>
          </w:p>
        </w:tc>
        <w:tc>
          <w:tcPr>
            <w:tcW w:w="850" w:type="dxa"/>
            <w:tcBorders>
              <w:top w:val="nil"/>
              <w:bottom w:val="nil"/>
            </w:tcBorders>
          </w:tcPr>
          <w:p w14:paraId="72C43A5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1.1</w:t>
            </w:r>
          </w:p>
        </w:tc>
        <w:tc>
          <w:tcPr>
            <w:tcW w:w="850" w:type="dxa"/>
            <w:tcBorders>
              <w:top w:val="nil"/>
              <w:bottom w:val="nil"/>
            </w:tcBorders>
          </w:tcPr>
          <w:p w14:paraId="6CFF3B9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c>
          <w:tcPr>
            <w:tcW w:w="850" w:type="dxa"/>
            <w:tcBorders>
              <w:top w:val="nil"/>
              <w:bottom w:val="nil"/>
            </w:tcBorders>
            <w:vAlign w:val="bottom"/>
          </w:tcPr>
          <w:p w14:paraId="169D6F1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0.7</w:t>
            </w:r>
          </w:p>
        </w:tc>
        <w:tc>
          <w:tcPr>
            <w:tcW w:w="850" w:type="dxa"/>
            <w:tcBorders>
              <w:top w:val="nil"/>
              <w:bottom w:val="nil"/>
            </w:tcBorders>
            <w:vAlign w:val="bottom"/>
          </w:tcPr>
          <w:p w14:paraId="30BC76F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2.3</w:t>
            </w:r>
          </w:p>
        </w:tc>
        <w:tc>
          <w:tcPr>
            <w:tcW w:w="850" w:type="dxa"/>
            <w:tcBorders>
              <w:top w:val="nil"/>
              <w:bottom w:val="nil"/>
            </w:tcBorders>
          </w:tcPr>
          <w:p w14:paraId="492D9E6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2.8</w:t>
            </w:r>
          </w:p>
        </w:tc>
      </w:tr>
      <w:tr w:rsidR="00CD5F12" w:rsidRPr="00CD5F12" w14:paraId="16DD3D50" w14:textId="77777777" w:rsidTr="001611C8">
        <w:trPr>
          <w:jc w:val="center"/>
        </w:trPr>
        <w:tc>
          <w:tcPr>
            <w:tcW w:w="3489" w:type="dxa"/>
            <w:tcBorders>
              <w:top w:val="nil"/>
              <w:bottom w:val="nil"/>
            </w:tcBorders>
          </w:tcPr>
          <w:p w14:paraId="06F2AF8C"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Barbados</w:t>
            </w:r>
          </w:p>
        </w:tc>
        <w:tc>
          <w:tcPr>
            <w:tcW w:w="863" w:type="dxa"/>
            <w:tcBorders>
              <w:top w:val="nil"/>
              <w:bottom w:val="nil"/>
            </w:tcBorders>
            <w:vAlign w:val="bottom"/>
          </w:tcPr>
          <w:p w14:paraId="27454B3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-4.1</w:t>
            </w:r>
          </w:p>
        </w:tc>
        <w:tc>
          <w:tcPr>
            <w:tcW w:w="900" w:type="dxa"/>
            <w:tcBorders>
              <w:top w:val="nil"/>
              <w:bottom w:val="nil"/>
            </w:tcBorders>
          </w:tcPr>
          <w:p w14:paraId="2863C0D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0.3</w:t>
            </w:r>
          </w:p>
        </w:tc>
        <w:tc>
          <w:tcPr>
            <w:tcW w:w="850" w:type="dxa"/>
            <w:tcBorders>
              <w:top w:val="nil"/>
              <w:bottom w:val="nil"/>
            </w:tcBorders>
          </w:tcPr>
          <w:p w14:paraId="15E9F0F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0.8</w:t>
            </w:r>
          </w:p>
        </w:tc>
        <w:tc>
          <w:tcPr>
            <w:tcW w:w="850" w:type="dxa"/>
            <w:tcBorders>
              <w:top w:val="nil"/>
              <w:bottom w:val="nil"/>
            </w:tcBorders>
          </w:tcPr>
          <w:p w14:paraId="4ACE0D0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0.2</w:t>
            </w:r>
          </w:p>
        </w:tc>
        <w:tc>
          <w:tcPr>
            <w:tcW w:w="850" w:type="dxa"/>
            <w:tcBorders>
              <w:top w:val="nil"/>
              <w:bottom w:val="nil"/>
            </w:tcBorders>
            <w:vAlign w:val="bottom"/>
          </w:tcPr>
          <w:p w14:paraId="5DD74C9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0.3</w:t>
            </w:r>
          </w:p>
        </w:tc>
        <w:tc>
          <w:tcPr>
            <w:tcW w:w="850" w:type="dxa"/>
            <w:tcBorders>
              <w:top w:val="nil"/>
              <w:bottom w:val="nil"/>
            </w:tcBorders>
            <w:vAlign w:val="bottom"/>
          </w:tcPr>
          <w:p w14:paraId="27A3194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0.0</w:t>
            </w:r>
          </w:p>
        </w:tc>
        <w:tc>
          <w:tcPr>
            <w:tcW w:w="850" w:type="dxa"/>
            <w:tcBorders>
              <w:top w:val="nil"/>
              <w:bottom w:val="nil"/>
            </w:tcBorders>
          </w:tcPr>
          <w:p w14:paraId="370D5E0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r>
      <w:tr w:rsidR="00CD5F12" w:rsidRPr="00CD5F12" w14:paraId="7B2C65E0" w14:textId="77777777" w:rsidTr="001611C8">
        <w:trPr>
          <w:jc w:val="center"/>
        </w:trPr>
        <w:tc>
          <w:tcPr>
            <w:tcW w:w="3489" w:type="dxa"/>
            <w:tcBorders>
              <w:top w:val="nil"/>
              <w:bottom w:val="nil"/>
            </w:tcBorders>
          </w:tcPr>
          <w:p w14:paraId="4085E8D3"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Belice</w:t>
            </w:r>
          </w:p>
        </w:tc>
        <w:tc>
          <w:tcPr>
            <w:tcW w:w="863" w:type="dxa"/>
            <w:tcBorders>
              <w:top w:val="nil"/>
              <w:bottom w:val="nil"/>
            </w:tcBorders>
            <w:vAlign w:val="bottom"/>
          </w:tcPr>
          <w:p w14:paraId="6C41BA6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0.7</w:t>
            </w:r>
          </w:p>
        </w:tc>
        <w:tc>
          <w:tcPr>
            <w:tcW w:w="900" w:type="dxa"/>
            <w:tcBorders>
              <w:top w:val="nil"/>
              <w:bottom w:val="nil"/>
            </w:tcBorders>
          </w:tcPr>
          <w:p w14:paraId="30999DE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3.3</w:t>
            </w:r>
          </w:p>
        </w:tc>
        <w:tc>
          <w:tcPr>
            <w:tcW w:w="850" w:type="dxa"/>
            <w:tcBorders>
              <w:top w:val="nil"/>
              <w:bottom w:val="nil"/>
            </w:tcBorders>
          </w:tcPr>
          <w:p w14:paraId="104C34B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2.1</w:t>
            </w:r>
          </w:p>
        </w:tc>
        <w:tc>
          <w:tcPr>
            <w:tcW w:w="850" w:type="dxa"/>
            <w:tcBorders>
              <w:top w:val="nil"/>
              <w:bottom w:val="nil"/>
            </w:tcBorders>
          </w:tcPr>
          <w:p w14:paraId="568FED8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3.8</w:t>
            </w:r>
          </w:p>
        </w:tc>
        <w:tc>
          <w:tcPr>
            <w:tcW w:w="850" w:type="dxa"/>
            <w:tcBorders>
              <w:top w:val="nil"/>
              <w:bottom w:val="nil"/>
            </w:tcBorders>
            <w:vAlign w:val="bottom"/>
          </w:tcPr>
          <w:p w14:paraId="6A976C9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1.5</w:t>
            </w:r>
          </w:p>
        </w:tc>
        <w:tc>
          <w:tcPr>
            <w:tcW w:w="850" w:type="dxa"/>
            <w:tcBorders>
              <w:top w:val="nil"/>
              <w:bottom w:val="nil"/>
            </w:tcBorders>
            <w:vAlign w:val="bottom"/>
          </w:tcPr>
          <w:p w14:paraId="4E2CD66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3.4</w:t>
            </w:r>
          </w:p>
        </w:tc>
        <w:tc>
          <w:tcPr>
            <w:tcW w:w="850" w:type="dxa"/>
            <w:tcBorders>
              <w:top w:val="nil"/>
              <w:bottom w:val="nil"/>
            </w:tcBorders>
          </w:tcPr>
          <w:p w14:paraId="292B3F6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2.1</w:t>
            </w:r>
          </w:p>
        </w:tc>
      </w:tr>
      <w:tr w:rsidR="00CD5F12" w:rsidRPr="00CD5F12" w14:paraId="54B5A771" w14:textId="77777777" w:rsidTr="001611C8">
        <w:trPr>
          <w:jc w:val="center"/>
        </w:trPr>
        <w:tc>
          <w:tcPr>
            <w:tcW w:w="3489" w:type="dxa"/>
            <w:tcBorders>
              <w:top w:val="nil"/>
              <w:bottom w:val="nil"/>
            </w:tcBorders>
          </w:tcPr>
          <w:p w14:paraId="714D2E32"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Dominica</w:t>
            </w:r>
          </w:p>
        </w:tc>
        <w:tc>
          <w:tcPr>
            <w:tcW w:w="863" w:type="dxa"/>
            <w:tcBorders>
              <w:top w:val="nil"/>
              <w:bottom w:val="nil"/>
            </w:tcBorders>
          </w:tcPr>
          <w:p w14:paraId="38F21CB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-1.1</w:t>
            </w:r>
          </w:p>
        </w:tc>
        <w:tc>
          <w:tcPr>
            <w:tcW w:w="900" w:type="dxa"/>
            <w:tcBorders>
              <w:top w:val="nil"/>
              <w:bottom w:val="nil"/>
            </w:tcBorders>
          </w:tcPr>
          <w:p w14:paraId="3B4374C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1.1</w:t>
            </w:r>
          </w:p>
        </w:tc>
        <w:tc>
          <w:tcPr>
            <w:tcW w:w="850" w:type="dxa"/>
            <w:tcBorders>
              <w:top w:val="nil"/>
              <w:bottom w:val="nil"/>
            </w:tcBorders>
          </w:tcPr>
          <w:p w14:paraId="25E33B1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-0.1</w:t>
            </w:r>
          </w:p>
        </w:tc>
        <w:tc>
          <w:tcPr>
            <w:tcW w:w="850" w:type="dxa"/>
            <w:tcBorders>
              <w:top w:val="nil"/>
              <w:bottom w:val="nil"/>
            </w:tcBorders>
            <w:vAlign w:val="bottom"/>
          </w:tcPr>
          <w:p w14:paraId="195F1B4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-1.4</w:t>
            </w:r>
          </w:p>
        </w:tc>
        <w:tc>
          <w:tcPr>
            <w:tcW w:w="850" w:type="dxa"/>
            <w:tcBorders>
              <w:top w:val="nil"/>
              <w:bottom w:val="nil"/>
            </w:tcBorders>
            <w:vAlign w:val="bottom"/>
          </w:tcPr>
          <w:p w14:paraId="70A5590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-0.9</w:t>
            </w:r>
          </w:p>
        </w:tc>
        <w:tc>
          <w:tcPr>
            <w:tcW w:w="850" w:type="dxa"/>
            <w:tcBorders>
              <w:top w:val="nil"/>
              <w:bottom w:val="nil"/>
            </w:tcBorders>
            <w:vAlign w:val="bottom"/>
          </w:tcPr>
          <w:p w14:paraId="1255B8F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1.1</w:t>
            </w:r>
          </w:p>
        </w:tc>
        <w:tc>
          <w:tcPr>
            <w:tcW w:w="850" w:type="dxa"/>
            <w:tcBorders>
              <w:top w:val="nil"/>
              <w:bottom w:val="nil"/>
            </w:tcBorders>
          </w:tcPr>
          <w:p w14:paraId="7DA5979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1.3</w:t>
            </w:r>
          </w:p>
        </w:tc>
      </w:tr>
      <w:tr w:rsidR="00CD5F12" w:rsidRPr="00CD5F12" w14:paraId="2AAFE6CB" w14:textId="77777777" w:rsidTr="001611C8">
        <w:trPr>
          <w:jc w:val="center"/>
        </w:trPr>
        <w:tc>
          <w:tcPr>
            <w:tcW w:w="3489" w:type="dxa"/>
            <w:tcBorders>
              <w:top w:val="nil"/>
              <w:bottom w:val="nil"/>
            </w:tcBorders>
          </w:tcPr>
          <w:p w14:paraId="57E57264"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Granada</w:t>
            </w:r>
          </w:p>
        </w:tc>
        <w:tc>
          <w:tcPr>
            <w:tcW w:w="863" w:type="dxa"/>
            <w:tcBorders>
              <w:top w:val="nil"/>
              <w:bottom w:val="nil"/>
            </w:tcBorders>
            <w:vAlign w:val="bottom"/>
          </w:tcPr>
          <w:p w14:paraId="1862461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-6.6</w:t>
            </w:r>
          </w:p>
        </w:tc>
        <w:tc>
          <w:tcPr>
            <w:tcW w:w="900" w:type="dxa"/>
            <w:tcBorders>
              <w:top w:val="nil"/>
              <w:bottom w:val="nil"/>
            </w:tcBorders>
          </w:tcPr>
          <w:p w14:paraId="0D27991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-0.5</w:t>
            </w:r>
          </w:p>
        </w:tc>
        <w:tc>
          <w:tcPr>
            <w:tcW w:w="850" w:type="dxa"/>
            <w:tcBorders>
              <w:top w:val="nil"/>
              <w:bottom w:val="nil"/>
            </w:tcBorders>
          </w:tcPr>
          <w:p w14:paraId="43285B0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0.8</w:t>
            </w:r>
          </w:p>
        </w:tc>
        <w:tc>
          <w:tcPr>
            <w:tcW w:w="850" w:type="dxa"/>
            <w:tcBorders>
              <w:top w:val="nil"/>
              <w:bottom w:val="nil"/>
            </w:tcBorders>
          </w:tcPr>
          <w:p w14:paraId="7E37D47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c>
          <w:tcPr>
            <w:tcW w:w="850" w:type="dxa"/>
            <w:tcBorders>
              <w:top w:val="nil"/>
              <w:bottom w:val="nil"/>
            </w:tcBorders>
            <w:vAlign w:val="bottom"/>
          </w:tcPr>
          <w:p w14:paraId="3EDE74F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2.4</w:t>
            </w:r>
          </w:p>
        </w:tc>
        <w:tc>
          <w:tcPr>
            <w:tcW w:w="850" w:type="dxa"/>
            <w:tcBorders>
              <w:top w:val="nil"/>
              <w:bottom w:val="nil"/>
            </w:tcBorders>
            <w:vAlign w:val="bottom"/>
          </w:tcPr>
          <w:p w14:paraId="7739969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1.3</w:t>
            </w:r>
          </w:p>
        </w:tc>
        <w:tc>
          <w:tcPr>
            <w:tcW w:w="850" w:type="dxa"/>
            <w:tcBorders>
              <w:top w:val="nil"/>
              <w:bottom w:val="nil"/>
            </w:tcBorders>
          </w:tcPr>
          <w:p w14:paraId="7752486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1.7</w:t>
            </w:r>
          </w:p>
        </w:tc>
      </w:tr>
      <w:tr w:rsidR="00CD5F12" w:rsidRPr="00CD5F12" w14:paraId="088E8904" w14:textId="77777777" w:rsidTr="001611C8">
        <w:trPr>
          <w:jc w:val="center"/>
        </w:trPr>
        <w:tc>
          <w:tcPr>
            <w:tcW w:w="3489" w:type="dxa"/>
            <w:tcBorders>
              <w:top w:val="nil"/>
              <w:bottom w:val="nil"/>
            </w:tcBorders>
          </w:tcPr>
          <w:p w14:paraId="3935B1B8"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Guyana</w:t>
            </w:r>
          </w:p>
        </w:tc>
        <w:tc>
          <w:tcPr>
            <w:tcW w:w="863" w:type="dxa"/>
            <w:tcBorders>
              <w:top w:val="nil"/>
              <w:bottom w:val="nil"/>
            </w:tcBorders>
            <w:vAlign w:val="bottom"/>
          </w:tcPr>
          <w:p w14:paraId="5BEFAD9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3.3</w:t>
            </w:r>
          </w:p>
        </w:tc>
        <w:tc>
          <w:tcPr>
            <w:tcW w:w="900" w:type="dxa"/>
            <w:tcBorders>
              <w:top w:val="nil"/>
              <w:bottom w:val="nil"/>
            </w:tcBorders>
          </w:tcPr>
          <w:p w14:paraId="14E4751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4.4</w:t>
            </w:r>
          </w:p>
        </w:tc>
        <w:tc>
          <w:tcPr>
            <w:tcW w:w="850" w:type="dxa"/>
            <w:tcBorders>
              <w:top w:val="nil"/>
              <w:bottom w:val="nil"/>
            </w:tcBorders>
          </w:tcPr>
          <w:p w14:paraId="1B6BF1E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5.4</w:t>
            </w:r>
          </w:p>
        </w:tc>
        <w:tc>
          <w:tcPr>
            <w:tcW w:w="850" w:type="dxa"/>
            <w:tcBorders>
              <w:top w:val="nil"/>
              <w:bottom w:val="nil"/>
            </w:tcBorders>
          </w:tcPr>
          <w:p w14:paraId="172B236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4.8</w:t>
            </w:r>
          </w:p>
        </w:tc>
        <w:tc>
          <w:tcPr>
            <w:tcW w:w="850" w:type="dxa"/>
            <w:tcBorders>
              <w:top w:val="nil"/>
              <w:bottom w:val="nil"/>
            </w:tcBorders>
            <w:vAlign w:val="bottom"/>
          </w:tcPr>
          <w:p w14:paraId="6CF8DD2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5.2</w:t>
            </w:r>
          </w:p>
        </w:tc>
        <w:tc>
          <w:tcPr>
            <w:tcW w:w="850" w:type="dxa"/>
            <w:tcBorders>
              <w:top w:val="nil"/>
              <w:bottom w:val="nil"/>
            </w:tcBorders>
            <w:vAlign w:val="bottom"/>
          </w:tcPr>
          <w:p w14:paraId="22494C1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4.5</w:t>
            </w:r>
          </w:p>
        </w:tc>
        <w:tc>
          <w:tcPr>
            <w:tcW w:w="850" w:type="dxa"/>
            <w:tcBorders>
              <w:top w:val="nil"/>
              <w:bottom w:val="nil"/>
            </w:tcBorders>
          </w:tcPr>
          <w:p w14:paraId="70F8818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4.2</w:t>
            </w:r>
          </w:p>
        </w:tc>
      </w:tr>
      <w:tr w:rsidR="00CD5F12" w:rsidRPr="00CD5F12" w14:paraId="4A07AAEE" w14:textId="77777777" w:rsidTr="001611C8">
        <w:trPr>
          <w:jc w:val="center"/>
        </w:trPr>
        <w:tc>
          <w:tcPr>
            <w:tcW w:w="3489" w:type="dxa"/>
            <w:tcBorders>
              <w:top w:val="nil"/>
              <w:bottom w:val="nil"/>
            </w:tcBorders>
          </w:tcPr>
          <w:p w14:paraId="5F2B17EC"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Jamaica</w:t>
            </w:r>
          </w:p>
        </w:tc>
        <w:tc>
          <w:tcPr>
            <w:tcW w:w="863" w:type="dxa"/>
            <w:tcBorders>
              <w:top w:val="nil"/>
              <w:bottom w:val="nil"/>
            </w:tcBorders>
            <w:vAlign w:val="bottom"/>
          </w:tcPr>
          <w:p w14:paraId="13419EC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-4.4</w:t>
            </w:r>
          </w:p>
        </w:tc>
        <w:tc>
          <w:tcPr>
            <w:tcW w:w="900" w:type="dxa"/>
            <w:tcBorders>
              <w:top w:val="nil"/>
              <w:bottom w:val="nil"/>
            </w:tcBorders>
          </w:tcPr>
          <w:p w14:paraId="57756DF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-1.5</w:t>
            </w:r>
          </w:p>
        </w:tc>
        <w:tc>
          <w:tcPr>
            <w:tcW w:w="850" w:type="dxa"/>
            <w:tcBorders>
              <w:top w:val="nil"/>
              <w:bottom w:val="nil"/>
            </w:tcBorders>
          </w:tcPr>
          <w:p w14:paraId="4F09957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1.7</w:t>
            </w:r>
          </w:p>
        </w:tc>
        <w:tc>
          <w:tcPr>
            <w:tcW w:w="850" w:type="dxa"/>
            <w:tcBorders>
              <w:top w:val="nil"/>
              <w:bottom w:val="nil"/>
            </w:tcBorders>
          </w:tcPr>
          <w:p w14:paraId="3DB8018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-0.6</w:t>
            </w:r>
          </w:p>
        </w:tc>
        <w:tc>
          <w:tcPr>
            <w:tcW w:w="850" w:type="dxa"/>
            <w:tcBorders>
              <w:top w:val="nil"/>
              <w:bottom w:val="nil"/>
            </w:tcBorders>
            <w:vAlign w:val="bottom"/>
          </w:tcPr>
          <w:p w14:paraId="571F3ED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0.6</w:t>
            </w:r>
          </w:p>
        </w:tc>
        <w:tc>
          <w:tcPr>
            <w:tcW w:w="850" w:type="dxa"/>
            <w:tcBorders>
              <w:top w:val="nil"/>
              <w:bottom w:val="nil"/>
            </w:tcBorders>
            <w:vAlign w:val="bottom"/>
          </w:tcPr>
          <w:p w14:paraId="64BB34D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c>
          <w:tcPr>
            <w:tcW w:w="850" w:type="dxa"/>
            <w:tcBorders>
              <w:top w:val="nil"/>
              <w:bottom w:val="nil"/>
            </w:tcBorders>
          </w:tcPr>
          <w:p w14:paraId="7CE721C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1.6</w:t>
            </w:r>
          </w:p>
        </w:tc>
      </w:tr>
      <w:tr w:rsidR="00CD5F12" w:rsidRPr="00CD5F12" w14:paraId="769B778D" w14:textId="77777777" w:rsidTr="001611C8">
        <w:trPr>
          <w:jc w:val="center"/>
        </w:trPr>
        <w:tc>
          <w:tcPr>
            <w:tcW w:w="3489" w:type="dxa"/>
            <w:tcBorders>
              <w:top w:val="nil"/>
              <w:bottom w:val="nil"/>
            </w:tcBorders>
          </w:tcPr>
          <w:p w14:paraId="23354BFF"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San Cristóbal y Nieves</w:t>
            </w:r>
          </w:p>
        </w:tc>
        <w:tc>
          <w:tcPr>
            <w:tcW w:w="863" w:type="dxa"/>
            <w:tcBorders>
              <w:top w:val="nil"/>
              <w:bottom w:val="nil"/>
            </w:tcBorders>
            <w:vAlign w:val="bottom"/>
          </w:tcPr>
          <w:p w14:paraId="4EB13FD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-5.6</w:t>
            </w:r>
          </w:p>
        </w:tc>
        <w:tc>
          <w:tcPr>
            <w:tcW w:w="900" w:type="dxa"/>
            <w:tcBorders>
              <w:top w:val="nil"/>
              <w:bottom w:val="nil"/>
            </w:tcBorders>
          </w:tcPr>
          <w:p w14:paraId="00EA080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-3.2</w:t>
            </w:r>
          </w:p>
        </w:tc>
        <w:tc>
          <w:tcPr>
            <w:tcW w:w="850" w:type="dxa"/>
            <w:tcBorders>
              <w:top w:val="nil"/>
              <w:bottom w:val="nil"/>
            </w:tcBorders>
          </w:tcPr>
          <w:p w14:paraId="2D42928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1.7</w:t>
            </w:r>
          </w:p>
        </w:tc>
        <w:tc>
          <w:tcPr>
            <w:tcW w:w="850" w:type="dxa"/>
            <w:tcBorders>
              <w:top w:val="nil"/>
              <w:bottom w:val="nil"/>
            </w:tcBorders>
          </w:tcPr>
          <w:p w14:paraId="6DFB9E9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c>
          <w:tcPr>
            <w:tcW w:w="850" w:type="dxa"/>
            <w:tcBorders>
              <w:top w:val="nil"/>
              <w:bottom w:val="nil"/>
            </w:tcBorders>
            <w:vAlign w:val="bottom"/>
          </w:tcPr>
          <w:p w14:paraId="69007EA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4.2</w:t>
            </w:r>
          </w:p>
        </w:tc>
        <w:tc>
          <w:tcPr>
            <w:tcW w:w="850" w:type="dxa"/>
            <w:tcBorders>
              <w:top w:val="nil"/>
              <w:bottom w:val="nil"/>
            </w:tcBorders>
            <w:vAlign w:val="bottom"/>
          </w:tcPr>
          <w:p w14:paraId="5308BDB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2.8</w:t>
            </w:r>
          </w:p>
        </w:tc>
        <w:tc>
          <w:tcPr>
            <w:tcW w:w="850" w:type="dxa"/>
            <w:tcBorders>
              <w:top w:val="nil"/>
              <w:bottom w:val="nil"/>
            </w:tcBorders>
          </w:tcPr>
          <w:p w14:paraId="1161F90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3.9</w:t>
            </w:r>
          </w:p>
        </w:tc>
      </w:tr>
      <w:tr w:rsidR="00CD5F12" w:rsidRPr="00CD5F12" w14:paraId="5FE5D020" w14:textId="77777777" w:rsidTr="001611C8">
        <w:trPr>
          <w:jc w:val="center"/>
        </w:trPr>
        <w:tc>
          <w:tcPr>
            <w:tcW w:w="3489" w:type="dxa"/>
            <w:tcBorders>
              <w:top w:val="nil"/>
              <w:bottom w:val="nil"/>
            </w:tcBorders>
          </w:tcPr>
          <w:p w14:paraId="45465FA6"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San Vicente y las Granadinas</w:t>
            </w:r>
          </w:p>
        </w:tc>
        <w:tc>
          <w:tcPr>
            <w:tcW w:w="863" w:type="dxa"/>
            <w:tcBorders>
              <w:top w:val="nil"/>
              <w:bottom w:val="nil"/>
            </w:tcBorders>
            <w:vAlign w:val="bottom"/>
          </w:tcPr>
          <w:p w14:paraId="37D02DD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-2.1</w:t>
            </w:r>
          </w:p>
        </w:tc>
        <w:tc>
          <w:tcPr>
            <w:tcW w:w="900" w:type="dxa"/>
            <w:tcBorders>
              <w:top w:val="nil"/>
              <w:bottom w:val="nil"/>
            </w:tcBorders>
          </w:tcPr>
          <w:p w14:paraId="487C207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-3.4</w:t>
            </w:r>
          </w:p>
        </w:tc>
        <w:tc>
          <w:tcPr>
            <w:tcW w:w="850" w:type="dxa"/>
            <w:tcBorders>
              <w:top w:val="nil"/>
              <w:bottom w:val="nil"/>
            </w:tcBorders>
          </w:tcPr>
          <w:p w14:paraId="5CF77E3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-0.5</w:t>
            </w:r>
          </w:p>
        </w:tc>
        <w:tc>
          <w:tcPr>
            <w:tcW w:w="850" w:type="dxa"/>
            <w:tcBorders>
              <w:top w:val="nil"/>
              <w:bottom w:val="nil"/>
            </w:tcBorders>
          </w:tcPr>
          <w:p w14:paraId="1DB26BF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c>
          <w:tcPr>
            <w:tcW w:w="850" w:type="dxa"/>
            <w:tcBorders>
              <w:top w:val="nil"/>
              <w:bottom w:val="nil"/>
            </w:tcBorders>
            <w:vAlign w:val="bottom"/>
          </w:tcPr>
          <w:p w14:paraId="60E47DA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1.7</w:t>
            </w:r>
          </w:p>
        </w:tc>
        <w:tc>
          <w:tcPr>
            <w:tcW w:w="850" w:type="dxa"/>
            <w:tcBorders>
              <w:top w:val="nil"/>
              <w:bottom w:val="nil"/>
            </w:tcBorders>
            <w:vAlign w:val="bottom"/>
          </w:tcPr>
          <w:p w14:paraId="38B46B5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2.2</w:t>
            </w:r>
          </w:p>
        </w:tc>
        <w:tc>
          <w:tcPr>
            <w:tcW w:w="850" w:type="dxa"/>
            <w:tcBorders>
              <w:top w:val="nil"/>
              <w:bottom w:val="nil"/>
            </w:tcBorders>
          </w:tcPr>
          <w:p w14:paraId="7C86F159"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2.4</w:t>
            </w:r>
          </w:p>
        </w:tc>
      </w:tr>
      <w:tr w:rsidR="00CD5F12" w:rsidRPr="00CD5F12" w14:paraId="27BAE771" w14:textId="77777777" w:rsidTr="001611C8">
        <w:trPr>
          <w:jc w:val="center"/>
        </w:trPr>
        <w:tc>
          <w:tcPr>
            <w:tcW w:w="3489" w:type="dxa"/>
            <w:tcBorders>
              <w:top w:val="nil"/>
              <w:bottom w:val="nil"/>
            </w:tcBorders>
          </w:tcPr>
          <w:p w14:paraId="0E6E51F1"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Santa Lucía</w:t>
            </w:r>
          </w:p>
        </w:tc>
        <w:tc>
          <w:tcPr>
            <w:tcW w:w="863" w:type="dxa"/>
            <w:tcBorders>
              <w:top w:val="nil"/>
              <w:bottom w:val="nil"/>
            </w:tcBorders>
            <w:vAlign w:val="bottom"/>
          </w:tcPr>
          <w:p w14:paraId="394A36C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0.6</w:t>
            </w:r>
          </w:p>
        </w:tc>
        <w:tc>
          <w:tcPr>
            <w:tcW w:w="900" w:type="dxa"/>
            <w:tcBorders>
              <w:top w:val="nil"/>
              <w:bottom w:val="nil"/>
            </w:tcBorders>
          </w:tcPr>
          <w:p w14:paraId="6F2390C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c>
          <w:tcPr>
            <w:tcW w:w="850" w:type="dxa"/>
            <w:tcBorders>
              <w:top w:val="nil"/>
              <w:bottom w:val="nil"/>
            </w:tcBorders>
          </w:tcPr>
          <w:p w14:paraId="42754BF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c>
          <w:tcPr>
            <w:tcW w:w="850" w:type="dxa"/>
            <w:tcBorders>
              <w:top w:val="nil"/>
              <w:bottom w:val="nil"/>
            </w:tcBorders>
          </w:tcPr>
          <w:p w14:paraId="28F0861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-1.6</w:t>
            </w:r>
          </w:p>
        </w:tc>
        <w:tc>
          <w:tcPr>
            <w:tcW w:w="850" w:type="dxa"/>
            <w:tcBorders>
              <w:top w:val="nil"/>
              <w:bottom w:val="nil"/>
            </w:tcBorders>
            <w:vAlign w:val="bottom"/>
          </w:tcPr>
          <w:p w14:paraId="2E54289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-0.4</w:t>
            </w:r>
          </w:p>
        </w:tc>
        <w:tc>
          <w:tcPr>
            <w:tcW w:w="850" w:type="dxa"/>
            <w:tcBorders>
              <w:top w:val="nil"/>
              <w:bottom w:val="nil"/>
            </w:tcBorders>
            <w:vAlign w:val="bottom"/>
          </w:tcPr>
          <w:p w14:paraId="6DA72B8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-1.4</w:t>
            </w:r>
          </w:p>
        </w:tc>
        <w:tc>
          <w:tcPr>
            <w:tcW w:w="850" w:type="dxa"/>
            <w:tcBorders>
              <w:top w:val="nil"/>
              <w:bottom w:val="nil"/>
            </w:tcBorders>
          </w:tcPr>
          <w:p w14:paraId="413EF7F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0.5</w:t>
            </w:r>
          </w:p>
        </w:tc>
      </w:tr>
      <w:tr w:rsidR="00CD5F12" w:rsidRPr="00CD5F12" w14:paraId="53605B97" w14:textId="77777777" w:rsidTr="001611C8">
        <w:trPr>
          <w:jc w:val="center"/>
        </w:trPr>
        <w:tc>
          <w:tcPr>
            <w:tcW w:w="3489" w:type="dxa"/>
            <w:tcBorders>
              <w:top w:val="nil"/>
              <w:bottom w:val="nil"/>
            </w:tcBorders>
          </w:tcPr>
          <w:p w14:paraId="484D9C70"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Suriname</w:t>
            </w:r>
          </w:p>
        </w:tc>
        <w:tc>
          <w:tcPr>
            <w:tcW w:w="863" w:type="dxa"/>
            <w:tcBorders>
              <w:top w:val="nil"/>
              <w:bottom w:val="nil"/>
            </w:tcBorders>
            <w:vAlign w:val="bottom"/>
          </w:tcPr>
          <w:p w14:paraId="64774BFA"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c>
          <w:tcPr>
            <w:tcW w:w="900" w:type="dxa"/>
            <w:tcBorders>
              <w:top w:val="nil"/>
              <w:bottom w:val="nil"/>
            </w:tcBorders>
          </w:tcPr>
          <w:p w14:paraId="4FAAA71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5.2</w:t>
            </w:r>
          </w:p>
        </w:tc>
        <w:tc>
          <w:tcPr>
            <w:tcW w:w="850" w:type="dxa"/>
            <w:tcBorders>
              <w:top w:val="nil"/>
              <w:bottom w:val="nil"/>
            </w:tcBorders>
          </w:tcPr>
          <w:p w14:paraId="60D9CF9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5.3</w:t>
            </w:r>
          </w:p>
        </w:tc>
        <w:tc>
          <w:tcPr>
            <w:tcW w:w="850" w:type="dxa"/>
            <w:tcBorders>
              <w:top w:val="nil"/>
              <w:bottom w:val="nil"/>
            </w:tcBorders>
          </w:tcPr>
          <w:p w14:paraId="1EFD955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c>
          <w:tcPr>
            <w:tcW w:w="850" w:type="dxa"/>
            <w:tcBorders>
              <w:top w:val="nil"/>
              <w:bottom w:val="nil"/>
            </w:tcBorders>
            <w:vAlign w:val="bottom"/>
          </w:tcPr>
          <w:p w14:paraId="0157215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2.9</w:t>
            </w:r>
          </w:p>
        </w:tc>
        <w:tc>
          <w:tcPr>
            <w:tcW w:w="850" w:type="dxa"/>
            <w:tcBorders>
              <w:top w:val="nil"/>
              <w:bottom w:val="nil"/>
            </w:tcBorders>
            <w:vAlign w:val="bottom"/>
          </w:tcPr>
          <w:p w14:paraId="06A7E92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3.5</w:t>
            </w:r>
          </w:p>
        </w:tc>
        <w:tc>
          <w:tcPr>
            <w:tcW w:w="850" w:type="dxa"/>
            <w:tcBorders>
              <w:top w:val="nil"/>
              <w:bottom w:val="nil"/>
            </w:tcBorders>
          </w:tcPr>
          <w:p w14:paraId="72A8DE2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3.6</w:t>
            </w:r>
          </w:p>
        </w:tc>
      </w:tr>
      <w:tr w:rsidR="00CD5F12" w:rsidRPr="00CD5F12" w14:paraId="60F77DBE" w14:textId="77777777" w:rsidTr="001611C8">
        <w:trPr>
          <w:jc w:val="center"/>
        </w:trPr>
        <w:tc>
          <w:tcPr>
            <w:tcW w:w="3489" w:type="dxa"/>
            <w:tcBorders>
              <w:top w:val="nil"/>
              <w:bottom w:val="nil"/>
            </w:tcBorders>
          </w:tcPr>
          <w:p w14:paraId="32A69862"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Trinidad y Tobago</w:t>
            </w:r>
          </w:p>
        </w:tc>
        <w:tc>
          <w:tcPr>
            <w:tcW w:w="863" w:type="dxa"/>
            <w:tcBorders>
              <w:top w:val="nil"/>
              <w:bottom w:val="nil"/>
            </w:tcBorders>
            <w:vAlign w:val="bottom"/>
          </w:tcPr>
          <w:p w14:paraId="3C30A9F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-4.4</w:t>
            </w:r>
          </w:p>
        </w:tc>
        <w:tc>
          <w:tcPr>
            <w:tcW w:w="900" w:type="dxa"/>
            <w:tcBorders>
              <w:top w:val="nil"/>
              <w:bottom w:val="nil"/>
            </w:tcBorders>
          </w:tcPr>
          <w:p w14:paraId="31F6263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0.2</w:t>
            </w:r>
          </w:p>
        </w:tc>
        <w:tc>
          <w:tcPr>
            <w:tcW w:w="850" w:type="dxa"/>
            <w:tcBorders>
              <w:top w:val="nil"/>
              <w:bottom w:val="nil"/>
            </w:tcBorders>
          </w:tcPr>
          <w:p w14:paraId="4B2463D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-2.6</w:t>
            </w:r>
          </w:p>
        </w:tc>
        <w:tc>
          <w:tcPr>
            <w:tcW w:w="850" w:type="dxa"/>
            <w:tcBorders>
              <w:top w:val="nil"/>
              <w:bottom w:val="nil"/>
            </w:tcBorders>
          </w:tcPr>
          <w:p w14:paraId="4E163B5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1.2</w:t>
            </w:r>
          </w:p>
        </w:tc>
        <w:tc>
          <w:tcPr>
            <w:tcW w:w="850" w:type="dxa"/>
            <w:tcBorders>
              <w:top w:val="nil"/>
              <w:bottom w:val="nil"/>
            </w:tcBorders>
            <w:vAlign w:val="bottom"/>
          </w:tcPr>
          <w:p w14:paraId="45EF6075"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1.6</w:t>
            </w:r>
          </w:p>
        </w:tc>
        <w:tc>
          <w:tcPr>
            <w:tcW w:w="850" w:type="dxa"/>
            <w:tcBorders>
              <w:top w:val="nil"/>
              <w:bottom w:val="nil"/>
            </w:tcBorders>
            <w:vAlign w:val="bottom"/>
          </w:tcPr>
          <w:p w14:paraId="0B5438E8"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1.8</w:t>
            </w:r>
          </w:p>
        </w:tc>
        <w:tc>
          <w:tcPr>
            <w:tcW w:w="850" w:type="dxa"/>
            <w:tcBorders>
              <w:top w:val="nil"/>
              <w:bottom w:val="nil"/>
            </w:tcBorders>
          </w:tcPr>
          <w:p w14:paraId="3917CBF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1.9</w:t>
            </w:r>
          </w:p>
        </w:tc>
      </w:tr>
      <w:tr w:rsidR="00CD5F12" w:rsidRPr="00CD5F12" w14:paraId="1B91EC19" w14:textId="77777777" w:rsidTr="001611C8">
        <w:trPr>
          <w:jc w:val="center"/>
        </w:trPr>
        <w:tc>
          <w:tcPr>
            <w:tcW w:w="3489" w:type="dxa"/>
            <w:tcBorders>
              <w:top w:val="nil"/>
              <w:bottom w:val="nil"/>
            </w:tcBorders>
          </w:tcPr>
          <w:p w14:paraId="119FCDC6"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Subtotal del Caribe</w:t>
            </w:r>
          </w:p>
        </w:tc>
        <w:tc>
          <w:tcPr>
            <w:tcW w:w="863" w:type="dxa"/>
            <w:tcBorders>
              <w:top w:val="nil"/>
              <w:bottom w:val="nil"/>
            </w:tcBorders>
            <w:vAlign w:val="bottom"/>
          </w:tcPr>
          <w:p w14:paraId="3AA5E00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-3.6</w:t>
            </w:r>
          </w:p>
        </w:tc>
        <w:tc>
          <w:tcPr>
            <w:tcW w:w="900" w:type="dxa"/>
            <w:tcBorders>
              <w:top w:val="nil"/>
              <w:bottom w:val="nil"/>
            </w:tcBorders>
          </w:tcPr>
          <w:p w14:paraId="0891124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0.3</w:t>
            </w:r>
          </w:p>
        </w:tc>
        <w:tc>
          <w:tcPr>
            <w:tcW w:w="850" w:type="dxa"/>
            <w:tcBorders>
              <w:top w:val="nil"/>
              <w:bottom w:val="nil"/>
            </w:tcBorders>
          </w:tcPr>
          <w:p w14:paraId="40766F6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0.3</w:t>
            </w:r>
          </w:p>
        </w:tc>
        <w:tc>
          <w:tcPr>
            <w:tcW w:w="850" w:type="dxa"/>
            <w:tcBorders>
              <w:top w:val="nil"/>
              <w:bottom w:val="nil"/>
            </w:tcBorders>
          </w:tcPr>
          <w:p w14:paraId="1A9BAA51"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1.0</w:t>
            </w:r>
          </w:p>
        </w:tc>
        <w:tc>
          <w:tcPr>
            <w:tcW w:w="850" w:type="dxa"/>
            <w:tcBorders>
              <w:top w:val="nil"/>
              <w:bottom w:val="nil"/>
            </w:tcBorders>
            <w:vAlign w:val="bottom"/>
          </w:tcPr>
          <w:p w14:paraId="60E1A33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1.4</w:t>
            </w:r>
          </w:p>
        </w:tc>
        <w:tc>
          <w:tcPr>
            <w:tcW w:w="850" w:type="dxa"/>
            <w:tcBorders>
              <w:top w:val="nil"/>
              <w:bottom w:val="nil"/>
            </w:tcBorders>
            <w:vAlign w:val="bottom"/>
          </w:tcPr>
          <w:p w14:paraId="4B4055B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1.9</w:t>
            </w:r>
          </w:p>
        </w:tc>
        <w:tc>
          <w:tcPr>
            <w:tcW w:w="850" w:type="dxa"/>
            <w:tcBorders>
              <w:top w:val="nil"/>
              <w:bottom w:val="nil"/>
            </w:tcBorders>
          </w:tcPr>
          <w:p w14:paraId="7E263A2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2.2</w:t>
            </w:r>
          </w:p>
        </w:tc>
      </w:tr>
      <w:tr w:rsidR="00CD5F12" w:rsidRPr="00CD5F12" w14:paraId="31546E99" w14:textId="77777777" w:rsidTr="001611C8">
        <w:trPr>
          <w:jc w:val="center"/>
        </w:trPr>
        <w:tc>
          <w:tcPr>
            <w:tcW w:w="3489" w:type="dxa"/>
            <w:tcBorders>
              <w:top w:val="nil"/>
              <w:bottom w:val="nil"/>
            </w:tcBorders>
          </w:tcPr>
          <w:p w14:paraId="481B2D5C"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América Latina y el Caribe</w:t>
            </w:r>
          </w:p>
        </w:tc>
        <w:tc>
          <w:tcPr>
            <w:tcW w:w="863" w:type="dxa"/>
            <w:tcBorders>
              <w:top w:val="nil"/>
              <w:bottom w:val="nil"/>
            </w:tcBorders>
            <w:vAlign w:val="bottom"/>
          </w:tcPr>
          <w:p w14:paraId="55A7F7B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-1.3</w:t>
            </w:r>
          </w:p>
        </w:tc>
        <w:tc>
          <w:tcPr>
            <w:tcW w:w="900" w:type="dxa"/>
            <w:tcBorders>
              <w:top w:val="nil"/>
              <w:bottom w:val="nil"/>
            </w:tcBorders>
          </w:tcPr>
          <w:p w14:paraId="27D60FE7"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6.1</w:t>
            </w:r>
          </w:p>
        </w:tc>
        <w:tc>
          <w:tcPr>
            <w:tcW w:w="850" w:type="dxa"/>
            <w:tcBorders>
              <w:top w:val="nil"/>
              <w:bottom w:val="nil"/>
            </w:tcBorders>
          </w:tcPr>
          <w:p w14:paraId="5A2CD926"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4.2</w:t>
            </w:r>
          </w:p>
        </w:tc>
        <w:tc>
          <w:tcPr>
            <w:tcW w:w="850" w:type="dxa"/>
            <w:tcBorders>
              <w:top w:val="nil"/>
              <w:bottom w:val="nil"/>
            </w:tcBorders>
          </w:tcPr>
          <w:p w14:paraId="0593648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2.6</w:t>
            </w:r>
          </w:p>
        </w:tc>
        <w:tc>
          <w:tcPr>
            <w:tcW w:w="850" w:type="dxa"/>
            <w:tcBorders>
              <w:top w:val="nil"/>
              <w:bottom w:val="nil"/>
            </w:tcBorders>
            <w:vAlign w:val="bottom"/>
          </w:tcPr>
          <w:p w14:paraId="0284E4E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2.7</w:t>
            </w:r>
          </w:p>
        </w:tc>
        <w:tc>
          <w:tcPr>
            <w:tcW w:w="850" w:type="dxa"/>
            <w:tcBorders>
              <w:top w:val="nil"/>
              <w:bottom w:val="nil"/>
            </w:tcBorders>
            <w:vAlign w:val="bottom"/>
          </w:tcPr>
          <w:p w14:paraId="3F4DC1B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1.1</w:t>
            </w:r>
          </w:p>
        </w:tc>
        <w:tc>
          <w:tcPr>
            <w:tcW w:w="850" w:type="dxa"/>
            <w:tcBorders>
              <w:top w:val="nil"/>
              <w:bottom w:val="nil"/>
            </w:tcBorders>
          </w:tcPr>
          <w:p w14:paraId="250E515F"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2.2</w:t>
            </w:r>
          </w:p>
        </w:tc>
      </w:tr>
      <w:tr w:rsidR="00CD5F12" w:rsidRPr="00CD5F12" w14:paraId="57EC87CD" w14:textId="77777777" w:rsidTr="001611C8">
        <w:trPr>
          <w:jc w:val="center"/>
        </w:trPr>
        <w:tc>
          <w:tcPr>
            <w:tcW w:w="3489" w:type="dxa"/>
            <w:tcBorders>
              <w:top w:val="nil"/>
              <w:bottom w:val="nil"/>
            </w:tcBorders>
          </w:tcPr>
          <w:p w14:paraId="0F23A932"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Partidas informativas</w:t>
            </w:r>
          </w:p>
        </w:tc>
        <w:tc>
          <w:tcPr>
            <w:tcW w:w="863" w:type="dxa"/>
            <w:tcBorders>
              <w:top w:val="nil"/>
              <w:bottom w:val="nil"/>
            </w:tcBorders>
            <w:vAlign w:val="bottom"/>
          </w:tcPr>
          <w:p w14:paraId="661E8CD2" w14:textId="77777777" w:rsidR="00CD5F12" w:rsidRPr="00CD5F12" w:rsidRDefault="00CD5F12" w:rsidP="00CD5F12">
            <w:pPr>
              <w:ind w:right="227"/>
              <w:jc w:val="right"/>
              <w:rPr>
                <w:rFonts w:eastAsia="Times New Roman"/>
                <w:sz w:val="16"/>
                <w:szCs w:val="16"/>
                <w:lang w:val="es-ES"/>
              </w:rPr>
            </w:pPr>
          </w:p>
        </w:tc>
        <w:tc>
          <w:tcPr>
            <w:tcW w:w="900" w:type="dxa"/>
            <w:tcBorders>
              <w:top w:val="nil"/>
              <w:bottom w:val="nil"/>
            </w:tcBorders>
          </w:tcPr>
          <w:p w14:paraId="3D0D5431" w14:textId="77777777" w:rsidR="00CD5F12" w:rsidRPr="00CD5F12" w:rsidRDefault="00CD5F12" w:rsidP="00CD5F12">
            <w:pPr>
              <w:ind w:right="227"/>
              <w:jc w:val="right"/>
              <w:rPr>
                <w:rFonts w:eastAsia="Times New Roman"/>
                <w:sz w:val="16"/>
                <w:szCs w:val="16"/>
                <w:lang w:val="es-ES"/>
              </w:rPr>
            </w:pPr>
          </w:p>
        </w:tc>
        <w:tc>
          <w:tcPr>
            <w:tcW w:w="850" w:type="dxa"/>
            <w:tcBorders>
              <w:top w:val="nil"/>
              <w:bottom w:val="nil"/>
            </w:tcBorders>
          </w:tcPr>
          <w:p w14:paraId="4363B7F6" w14:textId="77777777" w:rsidR="00CD5F12" w:rsidRPr="00CD5F12" w:rsidRDefault="00CD5F12" w:rsidP="00CD5F12">
            <w:pPr>
              <w:ind w:right="227"/>
              <w:jc w:val="right"/>
              <w:rPr>
                <w:rFonts w:eastAsia="Times New Roman"/>
                <w:sz w:val="16"/>
                <w:szCs w:val="16"/>
                <w:lang w:val="es-ES"/>
              </w:rPr>
            </w:pPr>
          </w:p>
        </w:tc>
        <w:tc>
          <w:tcPr>
            <w:tcW w:w="850" w:type="dxa"/>
            <w:tcBorders>
              <w:top w:val="nil"/>
              <w:bottom w:val="nil"/>
            </w:tcBorders>
          </w:tcPr>
          <w:p w14:paraId="6395423D" w14:textId="77777777" w:rsidR="00CD5F12" w:rsidRPr="00CD5F12" w:rsidRDefault="00CD5F12" w:rsidP="00CD5F12">
            <w:pPr>
              <w:ind w:right="227"/>
              <w:jc w:val="right"/>
              <w:rPr>
                <w:rFonts w:eastAsia="Times New Roman"/>
                <w:sz w:val="16"/>
                <w:szCs w:val="16"/>
                <w:lang w:val="es-ES"/>
              </w:rPr>
            </w:pPr>
          </w:p>
        </w:tc>
        <w:tc>
          <w:tcPr>
            <w:tcW w:w="850" w:type="dxa"/>
            <w:tcBorders>
              <w:top w:val="nil"/>
              <w:bottom w:val="nil"/>
            </w:tcBorders>
            <w:vAlign w:val="bottom"/>
          </w:tcPr>
          <w:p w14:paraId="701B113F" w14:textId="77777777" w:rsidR="00CD5F12" w:rsidRPr="00CD5F12" w:rsidRDefault="00CD5F12" w:rsidP="00CD5F12">
            <w:pPr>
              <w:ind w:right="227"/>
              <w:jc w:val="right"/>
              <w:rPr>
                <w:rFonts w:eastAsia="Times New Roman"/>
                <w:sz w:val="16"/>
                <w:szCs w:val="16"/>
                <w:lang w:val="es-ES"/>
              </w:rPr>
            </w:pPr>
          </w:p>
        </w:tc>
        <w:tc>
          <w:tcPr>
            <w:tcW w:w="850" w:type="dxa"/>
            <w:tcBorders>
              <w:top w:val="nil"/>
              <w:bottom w:val="nil"/>
            </w:tcBorders>
            <w:vAlign w:val="bottom"/>
          </w:tcPr>
          <w:p w14:paraId="59719E16" w14:textId="77777777" w:rsidR="00CD5F12" w:rsidRPr="00CD5F12" w:rsidRDefault="00CD5F12" w:rsidP="00CD5F12">
            <w:pPr>
              <w:ind w:right="227"/>
              <w:jc w:val="right"/>
              <w:rPr>
                <w:rFonts w:eastAsia="Times New Roman"/>
                <w:sz w:val="16"/>
                <w:szCs w:val="16"/>
                <w:lang w:val="es-ES"/>
              </w:rPr>
            </w:pPr>
          </w:p>
        </w:tc>
        <w:tc>
          <w:tcPr>
            <w:tcW w:w="850" w:type="dxa"/>
            <w:tcBorders>
              <w:top w:val="nil"/>
              <w:bottom w:val="nil"/>
            </w:tcBorders>
          </w:tcPr>
          <w:p w14:paraId="76CAAA19" w14:textId="77777777" w:rsidR="00CD5F12" w:rsidRPr="00CD5F12" w:rsidRDefault="00CD5F12" w:rsidP="00CD5F12">
            <w:pPr>
              <w:ind w:right="227"/>
              <w:jc w:val="right"/>
              <w:rPr>
                <w:rFonts w:eastAsia="Times New Roman"/>
                <w:sz w:val="16"/>
                <w:szCs w:val="16"/>
                <w:lang w:val="es-ES"/>
              </w:rPr>
            </w:pPr>
          </w:p>
        </w:tc>
      </w:tr>
      <w:tr w:rsidR="00CD5F12" w:rsidRPr="00CD5F12" w14:paraId="366ADEC7" w14:textId="77777777" w:rsidTr="001611C8">
        <w:trPr>
          <w:jc w:val="center"/>
        </w:trPr>
        <w:tc>
          <w:tcPr>
            <w:tcW w:w="3489" w:type="dxa"/>
            <w:tcBorders>
              <w:top w:val="nil"/>
              <w:bottom w:val="nil"/>
            </w:tcBorders>
          </w:tcPr>
          <w:p w14:paraId="2822B417"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Centroamérica (9 países)</w:t>
            </w:r>
            <w:r w:rsidRPr="00CD5F12">
              <w:rPr>
                <w:rFonts w:eastAsia="Times New Roman"/>
                <w:sz w:val="16"/>
                <w:szCs w:val="16"/>
                <w:u w:val="single"/>
                <w:vertAlign w:val="superscript"/>
                <w:lang w:val="es-ES"/>
              </w:rPr>
              <w:t>a</w:t>
            </w:r>
            <w:r w:rsidRPr="00CD5F12">
              <w:rPr>
                <w:rFonts w:eastAsia="Times New Roman"/>
                <w:sz w:val="16"/>
                <w:szCs w:val="16"/>
                <w:vertAlign w:val="superscript"/>
                <w:lang w:val="es-ES"/>
              </w:rPr>
              <w:t>/</w:t>
            </w:r>
          </w:p>
        </w:tc>
        <w:tc>
          <w:tcPr>
            <w:tcW w:w="863" w:type="dxa"/>
            <w:tcBorders>
              <w:top w:val="nil"/>
              <w:bottom w:val="nil"/>
            </w:tcBorders>
            <w:vAlign w:val="bottom"/>
          </w:tcPr>
          <w:p w14:paraId="5663B06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0.4</w:t>
            </w:r>
          </w:p>
        </w:tc>
        <w:tc>
          <w:tcPr>
            <w:tcW w:w="900" w:type="dxa"/>
            <w:tcBorders>
              <w:top w:val="nil"/>
              <w:bottom w:val="nil"/>
            </w:tcBorders>
          </w:tcPr>
          <w:p w14:paraId="4973DF73"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4.1</w:t>
            </w:r>
          </w:p>
        </w:tc>
        <w:tc>
          <w:tcPr>
            <w:tcW w:w="850" w:type="dxa"/>
            <w:tcBorders>
              <w:top w:val="nil"/>
              <w:bottom w:val="nil"/>
            </w:tcBorders>
          </w:tcPr>
          <w:p w14:paraId="7D500BC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4.3</w:t>
            </w:r>
          </w:p>
        </w:tc>
        <w:tc>
          <w:tcPr>
            <w:tcW w:w="850" w:type="dxa"/>
            <w:tcBorders>
              <w:top w:val="nil"/>
              <w:bottom w:val="nil"/>
            </w:tcBorders>
          </w:tcPr>
          <w:p w14:paraId="02E1AD3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4.1</w:t>
            </w:r>
          </w:p>
        </w:tc>
        <w:tc>
          <w:tcPr>
            <w:tcW w:w="850" w:type="dxa"/>
            <w:tcBorders>
              <w:top w:val="nil"/>
              <w:bottom w:val="nil"/>
            </w:tcBorders>
            <w:vAlign w:val="bottom"/>
          </w:tcPr>
          <w:p w14:paraId="26BDCBB4"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4.0</w:t>
            </w:r>
          </w:p>
        </w:tc>
        <w:tc>
          <w:tcPr>
            <w:tcW w:w="850" w:type="dxa"/>
            <w:tcBorders>
              <w:top w:val="nil"/>
              <w:bottom w:val="nil"/>
            </w:tcBorders>
            <w:vAlign w:val="bottom"/>
          </w:tcPr>
          <w:p w14:paraId="5A3C73E2"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3.7</w:t>
            </w:r>
          </w:p>
        </w:tc>
        <w:tc>
          <w:tcPr>
            <w:tcW w:w="850" w:type="dxa"/>
            <w:tcBorders>
              <w:top w:val="nil"/>
              <w:bottom w:val="nil"/>
            </w:tcBorders>
          </w:tcPr>
          <w:p w14:paraId="5C369E7C"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4.1</w:t>
            </w:r>
          </w:p>
        </w:tc>
      </w:tr>
      <w:tr w:rsidR="00CD5F12" w:rsidRPr="00CD5F12" w14:paraId="07057E46" w14:textId="77777777" w:rsidTr="001611C8">
        <w:trPr>
          <w:jc w:val="center"/>
        </w:trPr>
        <w:tc>
          <w:tcPr>
            <w:tcW w:w="3489" w:type="dxa"/>
            <w:tcBorders>
              <w:top w:val="nil"/>
              <w:bottom w:val="single" w:sz="4" w:space="0" w:color="auto"/>
            </w:tcBorders>
          </w:tcPr>
          <w:p w14:paraId="3CF14911" w14:textId="77777777" w:rsidR="00CD5F12" w:rsidRPr="00CD5F12" w:rsidRDefault="00CD5F12" w:rsidP="00CD5F12">
            <w:pPr>
              <w:ind w:left="170"/>
              <w:jc w:val="both"/>
              <w:rPr>
                <w:rFonts w:eastAsia="Times New Roman"/>
                <w:sz w:val="16"/>
                <w:szCs w:val="16"/>
                <w:lang w:val="es-ES"/>
              </w:rPr>
            </w:pPr>
            <w:r w:rsidRPr="00CD5F12">
              <w:rPr>
                <w:rFonts w:eastAsia="Times New Roman"/>
                <w:sz w:val="16"/>
                <w:szCs w:val="16"/>
                <w:lang w:val="es-ES"/>
              </w:rPr>
              <w:t>América del Sur (10 países)</w:t>
            </w:r>
            <w:r w:rsidRPr="00CD5F12">
              <w:rPr>
                <w:rFonts w:eastAsia="Times New Roman"/>
                <w:sz w:val="16"/>
                <w:szCs w:val="16"/>
                <w:u w:val="single"/>
                <w:vertAlign w:val="superscript"/>
                <w:lang w:val="es-ES"/>
              </w:rPr>
              <w:t>b</w:t>
            </w:r>
            <w:r w:rsidRPr="00CD5F12">
              <w:rPr>
                <w:rFonts w:eastAsia="Times New Roman"/>
                <w:sz w:val="16"/>
                <w:szCs w:val="16"/>
                <w:vertAlign w:val="superscript"/>
                <w:lang w:val="es-ES"/>
              </w:rPr>
              <w:t>/</w:t>
            </w:r>
          </w:p>
        </w:tc>
        <w:tc>
          <w:tcPr>
            <w:tcW w:w="863" w:type="dxa"/>
            <w:tcBorders>
              <w:top w:val="nil"/>
              <w:bottom w:val="single" w:sz="4" w:space="0" w:color="auto"/>
            </w:tcBorders>
            <w:vAlign w:val="bottom"/>
          </w:tcPr>
          <w:p w14:paraId="0F8CE3A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-0.3</w:t>
            </w:r>
          </w:p>
        </w:tc>
        <w:tc>
          <w:tcPr>
            <w:tcW w:w="900" w:type="dxa"/>
            <w:tcBorders>
              <w:top w:val="nil"/>
              <w:bottom w:val="single" w:sz="4" w:space="0" w:color="auto"/>
            </w:tcBorders>
          </w:tcPr>
          <w:p w14:paraId="2B0716C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6.7</w:t>
            </w:r>
          </w:p>
        </w:tc>
        <w:tc>
          <w:tcPr>
            <w:tcW w:w="850" w:type="dxa"/>
            <w:tcBorders>
              <w:top w:val="nil"/>
              <w:bottom w:val="single" w:sz="4" w:space="0" w:color="auto"/>
            </w:tcBorders>
          </w:tcPr>
          <w:p w14:paraId="4A027DBB"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4.4</w:t>
            </w:r>
          </w:p>
        </w:tc>
        <w:tc>
          <w:tcPr>
            <w:tcW w:w="850" w:type="dxa"/>
            <w:tcBorders>
              <w:top w:val="nil"/>
              <w:bottom w:val="single" w:sz="4" w:space="0" w:color="auto"/>
            </w:tcBorders>
          </w:tcPr>
          <w:p w14:paraId="5C9E3ECE"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2.2</w:t>
            </w:r>
          </w:p>
        </w:tc>
        <w:tc>
          <w:tcPr>
            <w:tcW w:w="850" w:type="dxa"/>
            <w:tcBorders>
              <w:top w:val="nil"/>
              <w:bottom w:val="single" w:sz="4" w:space="0" w:color="auto"/>
            </w:tcBorders>
            <w:vAlign w:val="bottom"/>
          </w:tcPr>
          <w:p w14:paraId="3DDC56CD"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3.0</w:t>
            </w:r>
          </w:p>
        </w:tc>
        <w:tc>
          <w:tcPr>
            <w:tcW w:w="850" w:type="dxa"/>
            <w:tcBorders>
              <w:top w:val="nil"/>
              <w:bottom w:val="single" w:sz="4" w:space="0" w:color="auto"/>
            </w:tcBorders>
            <w:vAlign w:val="bottom"/>
          </w:tcPr>
          <w:p w14:paraId="48FADAE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0.7</w:t>
            </w:r>
          </w:p>
        </w:tc>
        <w:tc>
          <w:tcPr>
            <w:tcW w:w="850" w:type="dxa"/>
            <w:tcBorders>
              <w:top w:val="nil"/>
              <w:bottom w:val="single" w:sz="4" w:space="0" w:color="auto"/>
            </w:tcBorders>
          </w:tcPr>
          <w:p w14:paraId="5AABAC80" w14:textId="77777777" w:rsidR="00CD5F12" w:rsidRPr="00CD5F12" w:rsidRDefault="00CD5F12" w:rsidP="00CD5F12">
            <w:pPr>
              <w:ind w:right="227"/>
              <w:jc w:val="right"/>
              <w:rPr>
                <w:rFonts w:eastAsia="Times New Roman"/>
                <w:sz w:val="16"/>
                <w:szCs w:val="16"/>
                <w:lang w:val="es-ES"/>
              </w:rPr>
            </w:pPr>
            <w:r w:rsidRPr="00CD5F12">
              <w:rPr>
                <w:rFonts w:eastAsia="Times New Roman"/>
                <w:sz w:val="16"/>
                <w:szCs w:val="16"/>
                <w:lang w:val="es-ES"/>
              </w:rPr>
              <w:t>1.8</w:t>
            </w:r>
          </w:p>
        </w:tc>
      </w:tr>
      <w:tr w:rsidR="00CD5F12" w:rsidRPr="00CD5F12" w14:paraId="68CC421E" w14:textId="77777777" w:rsidTr="00835D95">
        <w:trPr>
          <w:jc w:val="center"/>
        </w:trPr>
        <w:tc>
          <w:tcPr>
            <w:tcW w:w="9502" w:type="dxa"/>
            <w:gridSpan w:val="8"/>
            <w:tcBorders>
              <w:top w:val="single" w:sz="4" w:space="0" w:color="auto"/>
              <w:left w:val="nil"/>
              <w:bottom w:val="nil"/>
              <w:right w:val="nil"/>
            </w:tcBorders>
          </w:tcPr>
          <w:p w14:paraId="78C9F9C0" w14:textId="77777777"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a</w:t>
            </w:r>
            <w:r w:rsidRPr="00CD5F12">
              <w:rPr>
                <w:rFonts w:eastAsia="Times New Roman"/>
                <w:sz w:val="16"/>
                <w:szCs w:val="16"/>
                <w:lang w:val="es-ES"/>
              </w:rPr>
              <w:t>/ Estimaciones.</w:t>
            </w:r>
          </w:p>
          <w:p w14:paraId="777F2F09" w14:textId="77777777"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b</w:t>
            </w:r>
            <w:r w:rsidRPr="00CD5F12">
              <w:rPr>
                <w:rFonts w:eastAsia="Times New Roman"/>
                <w:sz w:val="16"/>
                <w:szCs w:val="16"/>
                <w:lang w:val="es-ES"/>
              </w:rPr>
              <w:t>/ Proyecciones.</w:t>
            </w:r>
          </w:p>
          <w:p w14:paraId="653C68E0" w14:textId="77777777"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c</w:t>
            </w:r>
            <w:r w:rsidRPr="00CD5F12">
              <w:rPr>
                <w:rFonts w:eastAsia="Times New Roman"/>
                <w:sz w:val="16"/>
                <w:szCs w:val="16"/>
                <w:lang w:val="es-ES"/>
              </w:rPr>
              <w:t>/ Se incluyen los siguientes países: Costa Rica, Cuba, El Salvador, Guatemala, Haití, Honduras, Nicaragua, Panamá y República Dominicana.</w:t>
            </w:r>
          </w:p>
          <w:p w14:paraId="599035E9" w14:textId="77777777" w:rsidR="00CD5F12" w:rsidRPr="00CD5F12" w:rsidRDefault="00CD5F12" w:rsidP="00CD5F12">
            <w:pPr>
              <w:ind w:left="170" w:right="170" w:hanging="170"/>
              <w:jc w:val="both"/>
              <w:rPr>
                <w:rFonts w:eastAsia="Times New Roman"/>
                <w:sz w:val="16"/>
                <w:szCs w:val="16"/>
                <w:lang w:val="es-ES"/>
              </w:rPr>
            </w:pPr>
            <w:r w:rsidRPr="00CD5F12">
              <w:rPr>
                <w:rFonts w:eastAsia="Times New Roman"/>
                <w:sz w:val="16"/>
                <w:szCs w:val="16"/>
                <w:u w:val="single"/>
                <w:lang w:val="es-ES"/>
              </w:rPr>
              <w:t>d</w:t>
            </w:r>
            <w:r w:rsidRPr="00CD5F12">
              <w:rPr>
                <w:rFonts w:eastAsia="Times New Roman"/>
                <w:sz w:val="16"/>
                <w:szCs w:val="16"/>
                <w:lang w:val="es-ES"/>
              </w:rPr>
              <w:t>/ Se incluyen los siguientes países: Argentina, Bolivia (Estado Plurinacional de), Brasil, Chile, Colombia, Ecuador, Paraguay, Perú, Uruguay y Venezuela (República Bolivariana de).</w:t>
            </w:r>
          </w:p>
          <w:p w14:paraId="0C711200" w14:textId="77777777" w:rsidR="00CD5F12" w:rsidRPr="00CD5F12" w:rsidRDefault="00CD5F12" w:rsidP="00CD5F12">
            <w:pPr>
              <w:ind w:right="170"/>
              <w:jc w:val="both"/>
              <w:rPr>
                <w:rFonts w:eastAsia="Times New Roman"/>
                <w:sz w:val="16"/>
                <w:szCs w:val="16"/>
                <w:lang w:val="es-ES"/>
              </w:rPr>
            </w:pPr>
            <w:r w:rsidRPr="00CD5F12">
              <w:rPr>
                <w:rFonts w:eastAsia="Times New Roman"/>
                <w:sz w:val="16"/>
                <w:szCs w:val="16"/>
                <w:lang w:val="es-ES"/>
              </w:rPr>
              <w:t>FUENTE: Comisión Económica para América Latina y el Caribe (CEPAL), sobre la base de cifras oficiales.</w:t>
            </w:r>
          </w:p>
        </w:tc>
      </w:tr>
    </w:tbl>
    <w:p w14:paraId="7F117AF8" w14:textId="77777777" w:rsidR="00CD5F12" w:rsidRPr="00CD5F12" w:rsidRDefault="00CD5F12" w:rsidP="00CD5F12">
      <w:pPr>
        <w:spacing w:after="360" w:line="360" w:lineRule="auto"/>
        <w:ind w:right="-159"/>
        <w:jc w:val="both"/>
        <w:rPr>
          <w:rFonts w:eastAsia="Calibri"/>
          <w:sz w:val="26"/>
          <w:szCs w:val="26"/>
          <w:lang w:eastAsia="en-US"/>
        </w:rPr>
      </w:pPr>
    </w:p>
    <w:p w14:paraId="5CA788E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Dinamizar el crecimiento económico y revertir la desaceleración en el actual contexto de la economía mundial plantea amplios desafíos para la región. El débil ritmo de crecimiento de los países desarrollados y la moderada expansión de las economías emergentes, junto con la dinámica del comercio mundial posterior a la crisis financiera, hacen prever que el aumento de la demanda externa de la región será lento y complejo, lo que dificultará el aporte que las exportaciones puedan hacer al crecimiento. Por ello, si bien el comercio internacional sigue siendo una fuente de oportunidades, la región </w:t>
      </w:r>
      <w:r w:rsidRPr="00CD5F12">
        <w:rPr>
          <w:rFonts w:eastAsia="Calibri"/>
          <w:sz w:val="26"/>
          <w:szCs w:val="26"/>
          <w:lang w:eastAsia="en-US"/>
        </w:rPr>
        <w:lastRenderedPageBreak/>
        <w:t>debe redoblar sus esfuerzos por volverse más competitiva en sus mercados externos y a la vez incrementar los esfuerzos por abrir nuevos mercados.</w:t>
      </w:r>
    </w:p>
    <w:p w14:paraId="223B2BA2"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este contexto, los procesos de integración regional pueden promover una mayor demanda agregada, a través de la integración comercial, e impulsar una mayor productividad y competitividad, a través de la integración productiva y las cadenas de valor, así como la integración en infraestructura. La cooperación regional también fortalece la capacidad para enfrentar choques externos a través de la integración financiera. </w:t>
      </w:r>
    </w:p>
    <w:p w14:paraId="53059E0C"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A partir de la crisis financiera de 2009, la demanda interna ha sido el principal motor de crecimiento de la región, en tanto que la contribución de las exportaciones netas al crecimiento ha sido negativa desde 2010 hasta 2013. En este contexto, junto con promover el potencial exportador, la región debe ser capaz de sostener e incrementar la demanda interna para revertir la desaceleración. Un componente clave de la demanda interna es la inversión. La pérdida de dinamismo de la inversión ha sido uno de los factores esenciales para explicar la desaceleración en muchas de las economías de América Latina y el Caribe. Es por ello que el principal desafío que hoy enfrentan los países de la región para acelerar el crecimiento económico es aumentar las tasas de inversión pública y privada.</w:t>
      </w:r>
    </w:p>
    <w:p w14:paraId="198D150B"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La capacidad que tienen los países para promover la inversión pública depende de la situación fiscal en que se encuentren y de la capacidad de movilizar recursos. Como ya se mencionó, en promedio el déficit fiscal de la región se mantuvo relativamente estable y los niveles de deuda pública externa e interna, con excepción del Caribe, son relativamente bajos. Por ello, a pesar de las diferencias que se pueden observar entre países, es posible pensar que la región tiene espacios para avanzar en la inversión pública destinada a potenciar la capacidad productiva y la competitividad a través de </w:t>
      </w:r>
      <w:r w:rsidRPr="00CD5F12">
        <w:rPr>
          <w:rFonts w:eastAsia="Calibri"/>
          <w:sz w:val="26"/>
          <w:szCs w:val="26"/>
          <w:lang w:eastAsia="en-US"/>
        </w:rPr>
        <w:lastRenderedPageBreak/>
        <w:t>proyectos de infraestructura. Esta inversión no solo promueve ganancias de productividad, sino que debiera servir también como incentivo a la inversión privada.</w:t>
      </w:r>
    </w:p>
    <w:p w14:paraId="546D02F0"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 los países en que el nivel de la deuda pública es más elevado o donde existen dificultades de financiamiento, el debilitamiento de las cuentas públicas previsto para 2015 se ha traducido en el anuncio de recortes presupuestarios para ese año. Al contemplarse medidas de contención del gasto, será preciso proteger la inversión y evitar círculos viciosos, en que ajustes fiscales excesivos redundarían en un mínimo crecimiento y en menores recursos tributarios y, finalmente, conducirían a una agudización del déficit y a una mayor carga de la deuda pública. </w:t>
      </w:r>
    </w:p>
    <w:p w14:paraId="75169703" w14:textId="77777777" w:rsid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t xml:space="preserve">Enfatizar en el incremento de la inversión pública, y/o de empresas públicas, como un elemento central del crecimiento de la inversión total, plantea nuevos desafíos a la idea de la arquitectura contracíclica en América Latina y el Caribe. La región ha avanzado positivamente en políticas contracíclicas destinadas a suavizar los flujos de ingresos públicos ante cambios cíclicos en las fuentes de estos ingresos. Este avance ha sido crucial para sostener el crecimiento económico y debe potenciarse. A la vez, en la medida en que la inversión pasa a ser una variable central del devenir económico y del crecimiento, se deben buscar, en el marco de la arquitectura contracíclica, mecanismos que aseguren el financiamiento de las necesidades de inversión a lo largo de las distintas fases del ciclo. </w:t>
      </w:r>
    </w:p>
    <w:p w14:paraId="6969A4DB" w14:textId="77777777" w:rsidR="001E7CBA" w:rsidRDefault="001E7CBA" w:rsidP="00CD5F12">
      <w:pPr>
        <w:spacing w:after="360" w:line="360" w:lineRule="auto"/>
        <w:ind w:right="-159"/>
        <w:jc w:val="both"/>
        <w:rPr>
          <w:rFonts w:eastAsia="Calibri"/>
          <w:sz w:val="26"/>
          <w:szCs w:val="26"/>
          <w:lang w:eastAsia="en-US"/>
        </w:rPr>
      </w:pPr>
    </w:p>
    <w:p w14:paraId="14E652F5" w14:textId="77777777" w:rsidR="001E7CBA" w:rsidRDefault="001E7CBA" w:rsidP="00CD5F12">
      <w:pPr>
        <w:spacing w:after="360" w:line="360" w:lineRule="auto"/>
        <w:ind w:right="-159"/>
        <w:jc w:val="both"/>
        <w:rPr>
          <w:rFonts w:eastAsia="Calibri"/>
          <w:sz w:val="26"/>
          <w:szCs w:val="26"/>
          <w:lang w:eastAsia="en-US"/>
        </w:rPr>
      </w:pPr>
    </w:p>
    <w:p w14:paraId="63093BF8" w14:textId="77777777" w:rsidR="001E7CBA" w:rsidRDefault="001E7CBA" w:rsidP="00CD5F12">
      <w:pPr>
        <w:spacing w:after="360" w:line="360" w:lineRule="auto"/>
        <w:ind w:right="-159"/>
        <w:jc w:val="both"/>
        <w:rPr>
          <w:rFonts w:eastAsia="Calibri"/>
          <w:sz w:val="26"/>
          <w:szCs w:val="26"/>
          <w:lang w:eastAsia="en-US"/>
        </w:rPr>
      </w:pPr>
    </w:p>
    <w:p w14:paraId="744E976C" w14:textId="77777777" w:rsidR="001E7CBA" w:rsidRPr="00CD5F12" w:rsidRDefault="001E7CBA" w:rsidP="00CD5F12">
      <w:pPr>
        <w:spacing w:after="360" w:line="360" w:lineRule="auto"/>
        <w:ind w:right="-159"/>
        <w:jc w:val="both"/>
        <w:rPr>
          <w:rFonts w:eastAsia="Calibri"/>
          <w:sz w:val="26"/>
          <w:szCs w:val="26"/>
          <w:lang w:eastAsia="en-US"/>
        </w:rPr>
      </w:pPr>
    </w:p>
    <w:p w14:paraId="7EAC4885" w14:textId="77777777" w:rsidR="00CD5F12" w:rsidRPr="00CD5F12" w:rsidRDefault="00CD5F12" w:rsidP="00CD5F12">
      <w:pPr>
        <w:spacing w:after="360" w:line="360" w:lineRule="auto"/>
        <w:ind w:right="-159"/>
        <w:jc w:val="both"/>
        <w:rPr>
          <w:rFonts w:eastAsia="Calibri"/>
          <w:sz w:val="26"/>
          <w:szCs w:val="26"/>
          <w:lang w:eastAsia="en-US"/>
        </w:rPr>
      </w:pPr>
      <w:r w:rsidRPr="00CD5F12">
        <w:rPr>
          <w:rFonts w:eastAsia="Calibri"/>
          <w:sz w:val="26"/>
          <w:szCs w:val="26"/>
          <w:lang w:eastAsia="en-US"/>
        </w:rPr>
        <w:lastRenderedPageBreak/>
        <w:t>Fortalecer el componente de inversión no solo ayuda a movilizar la demanda interna en el corto plazo y promover el crecimiento, sino que es el principal puente entre los desafíos del ciclo económico y el crecimiento y desarrollo de mediano y largo plazo. En este contexto, la macroeconomía del desarrollo debe orientarse no solo a suavizar los ciclos económicos, sino también a potenciar el desarrollo productivo y el cambio estructural, mediante la protección de la dinámica de la inversión a lo largo del tiempo.</w:t>
      </w:r>
    </w:p>
    <w:p w14:paraId="5721EF1A" w14:textId="77777777" w:rsidR="00CD5F12" w:rsidRPr="00CD5F12" w:rsidRDefault="00CD5F12" w:rsidP="00CD5F12">
      <w:pPr>
        <w:ind w:right="-159"/>
        <w:jc w:val="both"/>
        <w:rPr>
          <w:rFonts w:eastAsia="Calibri"/>
          <w:b/>
          <w:sz w:val="20"/>
          <w:szCs w:val="20"/>
          <w:lang w:eastAsia="en-US"/>
        </w:rPr>
      </w:pPr>
      <w:r w:rsidRPr="00CD5F12">
        <w:rPr>
          <w:rFonts w:eastAsia="Calibri"/>
          <w:b/>
          <w:sz w:val="20"/>
          <w:szCs w:val="20"/>
          <w:lang w:eastAsia="en-US"/>
        </w:rPr>
        <w:t>Fuente de información:</w:t>
      </w:r>
    </w:p>
    <w:p w14:paraId="4BDEA9D0" w14:textId="77777777" w:rsidR="00CD5F12" w:rsidRPr="004F2D91" w:rsidRDefault="003C2C71" w:rsidP="00CD5F12">
      <w:pPr>
        <w:ind w:right="-159"/>
        <w:jc w:val="both"/>
        <w:rPr>
          <w:rFonts w:eastAsia="Calibri"/>
          <w:color w:val="0000FF"/>
          <w:sz w:val="20"/>
          <w:szCs w:val="20"/>
          <w:lang w:eastAsia="en-US"/>
        </w:rPr>
      </w:pPr>
      <w:hyperlink r:id="rId140" w:history="1">
        <w:r w:rsidR="00CD5F12" w:rsidRPr="004F2D91">
          <w:rPr>
            <w:rFonts w:eastAsia="Calibri"/>
            <w:color w:val="0000FF"/>
            <w:sz w:val="20"/>
            <w:szCs w:val="20"/>
            <w:u w:val="single"/>
            <w:lang w:eastAsia="en-US"/>
          </w:rPr>
          <w:t>http://repositorio.cepal.org/bitstream/handle/11362/37344/S1420978_es.pdf?sequence=68</w:t>
        </w:r>
      </w:hyperlink>
      <w:r w:rsidR="00CD5F12" w:rsidRPr="004F2D91">
        <w:rPr>
          <w:rFonts w:eastAsia="Calibri"/>
          <w:color w:val="0000FF"/>
          <w:sz w:val="20"/>
          <w:szCs w:val="20"/>
          <w:lang w:eastAsia="en-US"/>
        </w:rPr>
        <w:t xml:space="preserve"> </w:t>
      </w:r>
    </w:p>
    <w:p w14:paraId="04AA69CE" w14:textId="5AF16F77" w:rsidR="007B288B" w:rsidRDefault="007B288B" w:rsidP="00804E34">
      <w:pPr>
        <w:spacing w:after="360" w:line="360" w:lineRule="auto"/>
        <w:ind w:right="-159"/>
        <w:jc w:val="both"/>
        <w:rPr>
          <w:rFonts w:eastAsia="Calibri"/>
          <w:sz w:val="26"/>
          <w:szCs w:val="26"/>
          <w:lang w:val="es-ES" w:eastAsia="en-US"/>
        </w:rPr>
      </w:pPr>
    </w:p>
    <w:p w14:paraId="63A08EA8" w14:textId="77777777" w:rsidR="00A975BD" w:rsidRDefault="00A975BD" w:rsidP="00804E34">
      <w:pPr>
        <w:spacing w:after="360" w:line="360" w:lineRule="auto"/>
        <w:ind w:right="-159"/>
        <w:jc w:val="both"/>
        <w:rPr>
          <w:rFonts w:eastAsia="Calibri"/>
          <w:sz w:val="26"/>
          <w:szCs w:val="26"/>
          <w:lang w:val="es-ES" w:eastAsia="en-US"/>
        </w:rPr>
      </w:pPr>
    </w:p>
    <w:p w14:paraId="218D9D2C" w14:textId="77777777" w:rsidR="00A975BD" w:rsidRDefault="00A975BD" w:rsidP="00804E34">
      <w:pPr>
        <w:spacing w:after="360" w:line="360" w:lineRule="auto"/>
        <w:ind w:right="-159"/>
        <w:jc w:val="both"/>
        <w:rPr>
          <w:rFonts w:eastAsia="Calibri"/>
          <w:sz w:val="26"/>
          <w:szCs w:val="26"/>
          <w:lang w:val="es-ES" w:eastAsia="en-US"/>
        </w:rPr>
      </w:pPr>
    </w:p>
    <w:sectPr w:rsidR="00A975BD" w:rsidSect="0071395E">
      <w:headerReference w:type="even" r:id="rId141"/>
      <w:headerReference w:type="default" r:id="rId142"/>
      <w:pgSz w:w="12242" w:h="15842" w:code="1"/>
      <w:pgMar w:top="1417" w:right="1701" w:bottom="1417" w:left="1701" w:header="709" w:footer="709" w:gutter="0"/>
      <w:pgNumType w:start="121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A1F933" w14:textId="77777777" w:rsidR="003C2C71" w:rsidRDefault="003C2C71">
      <w:r>
        <w:separator/>
      </w:r>
    </w:p>
  </w:endnote>
  <w:endnote w:type="continuationSeparator" w:id="0">
    <w:p w14:paraId="15FDB475" w14:textId="77777777" w:rsidR="003C2C71" w:rsidRDefault="003C2C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1"/>
    <w:family w:val="roman"/>
    <w:notTrueType/>
    <w:pitch w:val="variable"/>
  </w:font>
  <w:font w:name="Calibri">
    <w:panose1 w:val="020F0502020204030204"/>
    <w:charset w:val="00"/>
    <w:family w:val="swiss"/>
    <w:pitch w:val="variable"/>
    <w:sig w:usb0="E00002FF" w:usb1="4000ACFF" w:usb2="00000001" w:usb3="00000000" w:csb0="0000019F" w:csb1="00000000"/>
  </w:font>
  <w:font w:name="Vladimir Script">
    <w:panose1 w:val="03050402040407070305"/>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1A72B1" w14:textId="77777777" w:rsidR="003C2C71" w:rsidRDefault="003C2C71">
      <w:r>
        <w:separator/>
      </w:r>
    </w:p>
  </w:footnote>
  <w:footnote w:type="continuationSeparator" w:id="0">
    <w:p w14:paraId="4D7F906B" w14:textId="77777777" w:rsidR="003C2C71" w:rsidRDefault="003C2C71">
      <w:r>
        <w:continuationSeparator/>
      </w:r>
    </w:p>
  </w:footnote>
  <w:footnote w:id="1">
    <w:p w14:paraId="1170F6D2" w14:textId="77777777" w:rsidR="00445228" w:rsidRPr="006840FF" w:rsidRDefault="00445228" w:rsidP="002D35A7">
      <w:pPr>
        <w:pStyle w:val="Textonotapie"/>
        <w:ind w:left="126" w:right="-159" w:hanging="126"/>
        <w:jc w:val="both"/>
      </w:pPr>
      <w:r w:rsidRPr="006840FF">
        <w:rPr>
          <w:rStyle w:val="Refdenotaalpie"/>
        </w:rPr>
        <w:footnoteRef/>
      </w:r>
      <w:r w:rsidRPr="006840FF">
        <w:t xml:space="preserve"> La información sobre el mecanismo de fijación de precios se basa en una actualización de Kojima (2013) para las economías de mercados emergentes y en desarrollo, y supone que las economías avanzadas trasladan por completo los precios internacionales a los precios nacionales.</w:t>
      </w:r>
    </w:p>
  </w:footnote>
  <w:footnote w:id="2">
    <w:p w14:paraId="35B9978D" w14:textId="77777777" w:rsidR="00445228" w:rsidRPr="00967E26" w:rsidRDefault="00445228" w:rsidP="009B1CF2">
      <w:pPr>
        <w:pStyle w:val="Textonotapie"/>
      </w:pPr>
      <w:r w:rsidRPr="00967E26">
        <w:rPr>
          <w:rStyle w:val="Refdenotaalpie"/>
        </w:rPr>
        <w:footnoteRef/>
      </w:r>
      <w:r w:rsidRPr="00967E26">
        <w:t xml:space="preserve"> Las cifras del tipo de cambio efectivo real están basadas en los precios relativos al consumidor.</w:t>
      </w:r>
    </w:p>
  </w:footnote>
  <w:footnote w:id="3">
    <w:p w14:paraId="2BF7DE15" w14:textId="77777777" w:rsidR="00445228" w:rsidRPr="00CC4D75" w:rsidRDefault="00445228" w:rsidP="002D35A7">
      <w:pPr>
        <w:pStyle w:val="Textonotapie"/>
        <w:ind w:left="140" w:right="-159" w:hanging="140"/>
        <w:jc w:val="both"/>
      </w:pPr>
      <w:r w:rsidRPr="00CC4D75">
        <w:rPr>
          <w:rStyle w:val="Refdenotaalpie"/>
        </w:rPr>
        <w:footnoteRef/>
      </w:r>
      <w:r w:rsidRPr="00CC4D75">
        <w:t xml:space="preserve"> Las simulaciones pueden ampliarse con desplazamientos de las perspectivas relativas de la demanda agregada. Como los desplazamientos suelen generar movimientos relativamente leves del tipo de cambio, el impacto en la actividad puede medirse añadiendo estos desplazamientos de la demanda, en valores aproximados, al impacto que tiene en la actividad el desplazamiento de las preferencias de cartera.  </w:t>
      </w:r>
    </w:p>
  </w:footnote>
  <w:footnote w:id="4">
    <w:p w14:paraId="5F0F87A5" w14:textId="77777777" w:rsidR="00445228" w:rsidRPr="004A0D3D" w:rsidRDefault="00445228" w:rsidP="002B2982">
      <w:pPr>
        <w:pStyle w:val="Textonotapie"/>
        <w:ind w:left="140" w:right="-159" w:hanging="140"/>
        <w:jc w:val="both"/>
      </w:pPr>
      <w:r w:rsidRPr="004A0D3D">
        <w:rPr>
          <w:rStyle w:val="Refdenotaalpie"/>
        </w:rPr>
        <w:footnoteRef/>
      </w:r>
      <w:r w:rsidRPr="004A0D3D">
        <w:t xml:space="preserve"> Tras una revisión de las estadísticas de las cuentas nacionales y utilizando ahora el ejercicio 2011–12 como base, el crecimiento del</w:t>
      </w:r>
      <w:r>
        <w:t xml:space="preserve"> PIB de India a precios de mercado en 2013 y 2014 experimentó una sustancial revisión al alza.</w:t>
      </w:r>
    </w:p>
  </w:footnote>
  <w:footnote w:id="5">
    <w:p w14:paraId="71D3B1BC" w14:textId="77777777" w:rsidR="00445228" w:rsidRPr="004E555F" w:rsidRDefault="00445228" w:rsidP="002B2982">
      <w:pPr>
        <w:pStyle w:val="Textonotapie"/>
        <w:ind w:left="126" w:right="-159" w:hanging="126"/>
        <w:jc w:val="both"/>
      </w:pPr>
      <w:r w:rsidRPr="004E555F">
        <w:rPr>
          <w:rStyle w:val="Refdenotaalpie"/>
        </w:rPr>
        <w:footnoteRef/>
      </w:r>
      <w:r w:rsidRPr="004E555F">
        <w:t xml:space="preserve"> Sin embargo, en el mismo grupo de países, la correlación de las variaciones del tipo de cambio entre febrero y agosto de 2014 con estas variables es, por el contrario, prácticamente cero, lo cual pone aún más de relieve la dificultad de explicar sistemáticamente los movimientos a corto plazo de los tipos de cambio usando los fundamentos macroeconómicos.</w:t>
      </w:r>
    </w:p>
  </w:footnote>
  <w:footnote w:id="6">
    <w:p w14:paraId="61566F9B" w14:textId="77777777" w:rsidR="00445228" w:rsidRPr="00256A88" w:rsidRDefault="00445228" w:rsidP="002B2982">
      <w:pPr>
        <w:pStyle w:val="Textonotapie"/>
        <w:ind w:left="126" w:right="-159" w:hanging="126"/>
        <w:jc w:val="both"/>
      </w:pPr>
      <w:r w:rsidRPr="00256A88">
        <w:rPr>
          <w:rStyle w:val="Refdenotaalpie"/>
        </w:rPr>
        <w:footnoteRef/>
      </w:r>
      <w:r w:rsidRPr="00256A88">
        <w:t xml:space="preserve"> Los errores de pronóstico para el año en curso y el siguiente suelen ser más grandes en la edición de abril que en la edición de octubre del informe WEO. Véase un análisis en Timmermann (2006).</w:t>
      </w:r>
    </w:p>
  </w:footnote>
  <w:footnote w:id="7">
    <w:p w14:paraId="4C048651" w14:textId="77777777" w:rsidR="00445228" w:rsidRPr="003E4589" w:rsidRDefault="00445228" w:rsidP="002B2982">
      <w:pPr>
        <w:pStyle w:val="Textonotapie"/>
        <w:ind w:left="140" w:right="-159" w:hanging="146"/>
        <w:jc w:val="both"/>
      </w:pPr>
      <w:r w:rsidRPr="003E4589">
        <w:rPr>
          <w:rStyle w:val="Refdenotaalpie"/>
        </w:rPr>
        <w:footnoteRef/>
      </w:r>
      <w:r w:rsidRPr="003E4589">
        <w:t xml:space="preserve"> Algunos bancos centrales, incluido el BCE, han optado por tasas de interés ligeramente negativas para los depósitos bancarios, y los rendimientos de los bonos públicos de países como Alemania y Suiza son ahora negativos con vencimientos a plazos aún más largos.</w:t>
      </w:r>
    </w:p>
  </w:footnote>
  <w:footnote w:id="8">
    <w:p w14:paraId="64A1B8AD" w14:textId="77777777" w:rsidR="00445228" w:rsidRPr="00402B30" w:rsidRDefault="00445228" w:rsidP="009B1CF2">
      <w:pPr>
        <w:pStyle w:val="Textonotapie"/>
      </w:pPr>
      <w:r w:rsidRPr="00402B30">
        <w:rPr>
          <w:rStyle w:val="Refdenotaalpie"/>
        </w:rPr>
        <w:footnoteRef/>
      </w:r>
      <w:r w:rsidRPr="00402B30">
        <w:t xml:space="preserve"> Véase u</w:t>
      </w:r>
      <w:r>
        <w:t>n análisis más detallado en el C</w:t>
      </w:r>
      <w:r w:rsidRPr="00402B30">
        <w:t>apítulo 4 de la edición de abril de 2014 del informe WEO.</w:t>
      </w:r>
    </w:p>
  </w:footnote>
  <w:footnote w:id="9">
    <w:p w14:paraId="2B36AA3A" w14:textId="3C0BA70C" w:rsidR="00445228" w:rsidRPr="00DF0298" w:rsidRDefault="00445228" w:rsidP="00B10A7E">
      <w:pPr>
        <w:pStyle w:val="Textonotapie"/>
        <w:ind w:left="196" w:right="-159" w:hanging="196"/>
        <w:jc w:val="both"/>
      </w:pPr>
      <w:r w:rsidRPr="00DF0298">
        <w:rPr>
          <w:rStyle w:val="Refdenotaalpie"/>
        </w:rPr>
        <w:footnoteRef/>
      </w:r>
      <w:r w:rsidR="00B10A7E">
        <w:tab/>
      </w:r>
      <w:r w:rsidRPr="00DF0298">
        <w:t>El cambio de base a 2010 se ha traducido en una mayor proporción del PIB petrolero (43% frente a un 21% hasta entonces) y, por consiguiente, en menores tasas de crecimiento del PIB real en 2013–14, cuando el crecimiento del PIB petrolero fue moderado.</w:t>
      </w:r>
    </w:p>
  </w:footnote>
  <w:footnote w:id="10">
    <w:p w14:paraId="6B2D43B1" w14:textId="74482586" w:rsidR="00445228" w:rsidRPr="00DF0298" w:rsidRDefault="00445228" w:rsidP="00B10A7E">
      <w:pPr>
        <w:pStyle w:val="Textonotapie"/>
        <w:ind w:left="196" w:right="-159" w:hanging="196"/>
        <w:jc w:val="both"/>
      </w:pPr>
      <w:r w:rsidRPr="00DF0298">
        <w:rPr>
          <w:rStyle w:val="Refdenotaalpie"/>
        </w:rPr>
        <w:footnoteRef/>
      </w:r>
      <w:r w:rsidR="00B10A7E">
        <w:tab/>
      </w:r>
      <w:r w:rsidRPr="00DF0298">
        <w:t>El grupo P5+1 está integrado por los cinco miembros permanentes del Consejo de Seguridad de las Naciones Unidas y Alemania.</w:t>
      </w:r>
    </w:p>
  </w:footnote>
  <w:footnote w:id="11">
    <w:p w14:paraId="2F1304DE" w14:textId="77777777" w:rsidR="00445228" w:rsidRPr="007D7979" w:rsidRDefault="00445228" w:rsidP="00BA5240">
      <w:pPr>
        <w:ind w:left="210" w:right="-159" w:hanging="210"/>
        <w:jc w:val="both"/>
        <w:rPr>
          <w:sz w:val="20"/>
          <w:szCs w:val="20"/>
        </w:rPr>
      </w:pPr>
      <w:r w:rsidRPr="007D7979">
        <w:rPr>
          <w:sz w:val="20"/>
          <w:szCs w:val="20"/>
          <w:vertAlign w:val="superscript"/>
        </w:rPr>
        <w:footnoteRef/>
      </w:r>
      <w:r w:rsidRPr="007D7979">
        <w:rPr>
          <w:sz w:val="20"/>
          <w:szCs w:val="20"/>
        </w:rPr>
        <w:t xml:space="preserve"> Si se mantiene la brusca caída del precio del petróleo verificada en noviembre, se registraría un mayor deterioro de los términos de intercambio de los países exportadores de este recurso, mientras que los países importadores se verían beneficiados.</w:t>
      </w:r>
    </w:p>
  </w:footnote>
  <w:footnote w:id="12">
    <w:p w14:paraId="07AE8C1F" w14:textId="77777777" w:rsidR="00445228" w:rsidRPr="00F958A4" w:rsidRDefault="00445228" w:rsidP="00BA5240">
      <w:pPr>
        <w:autoSpaceDE w:val="0"/>
        <w:autoSpaceDN w:val="0"/>
        <w:adjustRightInd w:val="0"/>
        <w:ind w:left="196" w:right="-159" w:hanging="199"/>
        <w:jc w:val="both"/>
        <w:rPr>
          <w:sz w:val="20"/>
          <w:szCs w:val="20"/>
        </w:rPr>
      </w:pPr>
      <w:r w:rsidRPr="00F958A4">
        <w:rPr>
          <w:sz w:val="20"/>
          <w:szCs w:val="20"/>
          <w:vertAlign w:val="superscript"/>
        </w:rPr>
        <w:footnoteRef/>
      </w:r>
      <w:r w:rsidRPr="00F958A4">
        <w:rPr>
          <w:sz w:val="20"/>
          <w:szCs w:val="20"/>
          <w:vertAlign w:val="superscript"/>
        </w:rPr>
        <w:t xml:space="preserve"> </w:t>
      </w:r>
      <w:r w:rsidRPr="00F958A4">
        <w:rPr>
          <w:sz w:val="20"/>
          <w:szCs w:val="20"/>
        </w:rPr>
        <w:t>El dato regional corresponde a un promedio ponderado de las tasas de inflación de los países, tomando en cuenta su participación relativa en el total de la población regional.</w:t>
      </w:r>
    </w:p>
  </w:footnote>
  <w:footnote w:id="13">
    <w:p w14:paraId="4E424213" w14:textId="77777777" w:rsidR="00445228" w:rsidRPr="007D7979" w:rsidRDefault="00445228" w:rsidP="00BA5240">
      <w:pPr>
        <w:ind w:left="196" w:right="-159" w:hanging="199"/>
        <w:jc w:val="both"/>
        <w:rPr>
          <w:sz w:val="20"/>
          <w:szCs w:val="20"/>
        </w:rPr>
      </w:pPr>
      <w:r w:rsidRPr="007D7979">
        <w:rPr>
          <w:sz w:val="20"/>
          <w:szCs w:val="20"/>
          <w:vertAlign w:val="superscript"/>
        </w:rPr>
        <w:footnoteRef/>
      </w:r>
      <w:r w:rsidRPr="007D7979">
        <w:rPr>
          <w:sz w:val="20"/>
          <w:szCs w:val="20"/>
        </w:rPr>
        <w:t xml:space="preserve"> Para el cálculo de la inflación subyacente no se consideran los siguientes grupos de productos: alimentos y bebidas y combustibles.</w:t>
      </w:r>
    </w:p>
  </w:footnote>
  <w:footnote w:id="14">
    <w:p w14:paraId="5EEDB14F" w14:textId="77777777" w:rsidR="00445228" w:rsidRPr="007D7979" w:rsidRDefault="00445228" w:rsidP="00CD5F12">
      <w:pPr>
        <w:autoSpaceDE w:val="0"/>
        <w:autoSpaceDN w:val="0"/>
        <w:adjustRightInd w:val="0"/>
        <w:ind w:left="142" w:right="-159" w:hanging="142"/>
        <w:jc w:val="both"/>
        <w:rPr>
          <w:sz w:val="20"/>
          <w:szCs w:val="20"/>
        </w:rPr>
      </w:pPr>
      <w:r w:rsidRPr="007D7979">
        <w:rPr>
          <w:sz w:val="20"/>
          <w:szCs w:val="20"/>
          <w:vertAlign w:val="superscript"/>
        </w:rPr>
        <w:footnoteRef/>
      </w:r>
      <w:r w:rsidRPr="007D7979">
        <w:rPr>
          <w:sz w:val="20"/>
          <w:szCs w:val="20"/>
        </w:rPr>
        <w:t xml:space="preserve"> </w:t>
      </w:r>
      <w:r w:rsidRPr="007D7979">
        <w:rPr>
          <w:i/>
          <w:iCs/>
          <w:sz w:val="20"/>
          <w:szCs w:val="20"/>
        </w:rPr>
        <w:t>Global Economic Prospects</w:t>
      </w:r>
      <w:r w:rsidRPr="007D7979">
        <w:rPr>
          <w:sz w:val="20"/>
          <w:szCs w:val="20"/>
        </w:rPr>
        <w:t>, octubre de 2014.</w:t>
      </w:r>
    </w:p>
  </w:footnote>
  <w:footnote w:id="15">
    <w:p w14:paraId="5FB81ECE" w14:textId="77777777" w:rsidR="00445228" w:rsidRPr="007D7979" w:rsidRDefault="00445228" w:rsidP="00BA5240">
      <w:pPr>
        <w:ind w:left="196" w:right="-159" w:hanging="196"/>
        <w:jc w:val="both"/>
        <w:rPr>
          <w:sz w:val="20"/>
          <w:szCs w:val="20"/>
        </w:rPr>
      </w:pPr>
      <w:r w:rsidRPr="007D7979">
        <w:rPr>
          <w:sz w:val="20"/>
          <w:szCs w:val="20"/>
          <w:vertAlign w:val="superscript"/>
        </w:rPr>
        <w:footnoteRef/>
      </w:r>
      <w:r w:rsidRPr="007D7979">
        <w:rPr>
          <w:sz w:val="20"/>
          <w:szCs w:val="20"/>
        </w:rPr>
        <w:t xml:space="preserve"> La mediana de las tasas de crecimiento del PIB de los países de la región fue de un 2.8%, un resultado similar al observado en 2013.</w:t>
      </w:r>
    </w:p>
  </w:footnote>
  <w:footnote w:id="16">
    <w:p w14:paraId="3582AF63" w14:textId="77777777" w:rsidR="00445228" w:rsidRPr="007D7979" w:rsidRDefault="00445228" w:rsidP="00BA5240">
      <w:pPr>
        <w:ind w:left="196" w:right="-159" w:hanging="196"/>
        <w:jc w:val="both"/>
        <w:rPr>
          <w:sz w:val="20"/>
          <w:szCs w:val="20"/>
        </w:rPr>
      </w:pPr>
      <w:r w:rsidRPr="007D7979">
        <w:rPr>
          <w:sz w:val="20"/>
          <w:szCs w:val="20"/>
          <w:vertAlign w:val="superscript"/>
        </w:rPr>
        <w:footnoteRef/>
      </w:r>
      <w:r w:rsidRPr="007D7979">
        <w:rPr>
          <w:sz w:val="20"/>
          <w:szCs w:val="20"/>
        </w:rPr>
        <w:t xml:space="preserve"> El dato regional corresponde a un promedio ponderado de las tasas de inflación de los países, tomando en consideración su participación relativa en el total de la población regional.</w:t>
      </w:r>
    </w:p>
  </w:footnote>
  <w:footnote w:id="17">
    <w:p w14:paraId="718F27AD" w14:textId="77777777" w:rsidR="00445228" w:rsidRPr="007D7979" w:rsidRDefault="00445228" w:rsidP="00BA5240">
      <w:pPr>
        <w:autoSpaceDE w:val="0"/>
        <w:autoSpaceDN w:val="0"/>
        <w:adjustRightInd w:val="0"/>
        <w:ind w:left="210" w:right="-159" w:hanging="210"/>
        <w:jc w:val="both"/>
        <w:rPr>
          <w:sz w:val="20"/>
          <w:szCs w:val="20"/>
        </w:rPr>
      </w:pPr>
      <w:r w:rsidRPr="007D7979">
        <w:rPr>
          <w:sz w:val="20"/>
          <w:szCs w:val="20"/>
          <w:vertAlign w:val="superscript"/>
        </w:rPr>
        <w:footnoteRef/>
      </w:r>
      <w:r w:rsidRPr="007D7979">
        <w:rPr>
          <w:sz w:val="20"/>
          <w:szCs w:val="20"/>
        </w:rPr>
        <w:t xml:space="preserve"> Para el cálculo de la inflación subyacente no se consideran los siguientes grupos de productos: alimentos y bebidas, y combustibles.</w:t>
      </w:r>
    </w:p>
  </w:footnote>
  <w:footnote w:id="18">
    <w:p w14:paraId="1BF21954" w14:textId="77777777" w:rsidR="00445228" w:rsidRPr="007D7979" w:rsidRDefault="00445228" w:rsidP="00CD5F12">
      <w:pPr>
        <w:rPr>
          <w:sz w:val="20"/>
          <w:szCs w:val="20"/>
        </w:rPr>
      </w:pPr>
      <w:r w:rsidRPr="007D7979">
        <w:rPr>
          <w:sz w:val="20"/>
          <w:szCs w:val="20"/>
          <w:vertAlign w:val="superscript"/>
        </w:rPr>
        <w:footnoteRef/>
      </w:r>
      <w:r w:rsidRPr="007D7979">
        <w:rPr>
          <w:sz w:val="20"/>
          <w:szCs w:val="20"/>
        </w:rPr>
        <w:t xml:space="preserve"> Dato de agosto de 2014 con relación a agosto de 2013.</w:t>
      </w:r>
    </w:p>
  </w:footnote>
  <w:footnote w:id="19">
    <w:p w14:paraId="31C25A32" w14:textId="77777777" w:rsidR="00445228" w:rsidRPr="007D7979" w:rsidRDefault="00445228" w:rsidP="00BA5240">
      <w:pPr>
        <w:ind w:left="210" w:right="-159" w:hanging="210"/>
        <w:jc w:val="both"/>
        <w:rPr>
          <w:sz w:val="20"/>
          <w:szCs w:val="20"/>
        </w:rPr>
      </w:pPr>
      <w:r w:rsidRPr="007D7979">
        <w:rPr>
          <w:sz w:val="20"/>
          <w:szCs w:val="20"/>
          <w:vertAlign w:val="superscript"/>
        </w:rPr>
        <w:footnoteRef/>
      </w:r>
      <w:r w:rsidRPr="007D7979">
        <w:rPr>
          <w:sz w:val="20"/>
          <w:szCs w:val="20"/>
        </w:rPr>
        <w:t xml:space="preserve"> Para el cálculo de la cifra de inflación en 12 meses a octubre de 2014 del rubro de alimentos y bebidas, se utilizaron los datos publicados por el Instituto Nacional de Estadística y Censos (INDEC) referentes al índice de precios al consumidor del Gran Buenos Aires (IPC-GBA) (datos de 2013) y al índice de precios al consumidor nacional urbano (IPCNu), publicados desde enero de 2014.</w:t>
      </w:r>
    </w:p>
  </w:footnote>
  <w:footnote w:id="20">
    <w:p w14:paraId="080B103A" w14:textId="77777777" w:rsidR="00445228" w:rsidRPr="007D7979" w:rsidRDefault="00445228" w:rsidP="00BA5240">
      <w:pPr>
        <w:ind w:left="210" w:right="-159" w:hanging="210"/>
        <w:jc w:val="both"/>
        <w:rPr>
          <w:sz w:val="20"/>
          <w:szCs w:val="20"/>
        </w:rPr>
      </w:pPr>
      <w:r w:rsidRPr="007D7979">
        <w:rPr>
          <w:sz w:val="20"/>
          <w:szCs w:val="20"/>
          <w:vertAlign w:val="superscript"/>
        </w:rPr>
        <w:footnoteRef/>
      </w:r>
      <w:r w:rsidRPr="007D7979">
        <w:rPr>
          <w:sz w:val="20"/>
          <w:szCs w:val="20"/>
        </w:rPr>
        <w:t xml:space="preserve"> Véase CEPAL, Estudios Económicos de América Latina y el Caribe 2014 (LC/G.2619-P), Santiago de Chile, 2014, págs. 148-152.</w:t>
      </w:r>
    </w:p>
  </w:footnote>
  <w:footnote w:id="21">
    <w:p w14:paraId="2B7A2F4D" w14:textId="77777777" w:rsidR="00445228" w:rsidRPr="007D7979" w:rsidRDefault="00445228" w:rsidP="00BA5240">
      <w:pPr>
        <w:ind w:left="210" w:right="-159" w:hanging="210"/>
        <w:jc w:val="both"/>
        <w:rPr>
          <w:sz w:val="20"/>
          <w:szCs w:val="20"/>
        </w:rPr>
      </w:pPr>
      <w:r w:rsidRPr="007D7979">
        <w:rPr>
          <w:sz w:val="20"/>
          <w:szCs w:val="20"/>
          <w:vertAlign w:val="superscript"/>
        </w:rPr>
        <w:footnoteRef/>
      </w:r>
      <w:r w:rsidRPr="007D7979">
        <w:rPr>
          <w:sz w:val="20"/>
          <w:szCs w:val="20"/>
        </w:rPr>
        <w:t xml:space="preserve"> Como promedio ponderado de dichos países, la participación del empleo del conjunto de las tres ramas se contrajo menos (0.1 puntos porcentuales), en tanto que la caída estuvo más centrada en el comercio (0.2 puntos porcentuales) y la participación del empleo en los servicios comunales, sociales y personales se expandió levemente.</w:t>
      </w:r>
    </w:p>
  </w:footnote>
  <w:footnote w:id="22">
    <w:p w14:paraId="09757996" w14:textId="77777777" w:rsidR="00445228" w:rsidRPr="007D7979" w:rsidRDefault="00445228" w:rsidP="00BA5240">
      <w:pPr>
        <w:autoSpaceDE w:val="0"/>
        <w:autoSpaceDN w:val="0"/>
        <w:adjustRightInd w:val="0"/>
        <w:ind w:left="210" w:right="-159" w:hanging="210"/>
        <w:jc w:val="both"/>
        <w:rPr>
          <w:sz w:val="20"/>
          <w:szCs w:val="20"/>
        </w:rPr>
      </w:pPr>
      <w:r w:rsidRPr="007D7979">
        <w:rPr>
          <w:sz w:val="20"/>
          <w:szCs w:val="20"/>
          <w:vertAlign w:val="superscript"/>
        </w:rPr>
        <w:footnoteRef/>
      </w:r>
      <w:r w:rsidRPr="007D7979">
        <w:rPr>
          <w:sz w:val="20"/>
          <w:szCs w:val="20"/>
        </w:rPr>
        <w:t xml:space="preserve"> El empleo registrado puede surgir como resultado de la generación de nuevos puestos de trabajo o de la formalización de empleos informales preexistentes.</w:t>
      </w:r>
    </w:p>
  </w:footnote>
  <w:footnote w:id="23">
    <w:p w14:paraId="7AC63672" w14:textId="4338909B" w:rsidR="00445228" w:rsidRPr="007D7979" w:rsidRDefault="00445228" w:rsidP="00BA5240">
      <w:pPr>
        <w:ind w:left="224" w:right="-159" w:hanging="224"/>
        <w:jc w:val="both"/>
        <w:rPr>
          <w:sz w:val="20"/>
          <w:szCs w:val="20"/>
        </w:rPr>
      </w:pPr>
      <w:r w:rsidRPr="007D7979">
        <w:rPr>
          <w:sz w:val="20"/>
          <w:szCs w:val="20"/>
          <w:vertAlign w:val="superscript"/>
        </w:rPr>
        <w:footnoteRef/>
      </w:r>
      <w:r w:rsidR="00BA5240">
        <w:rPr>
          <w:sz w:val="20"/>
          <w:szCs w:val="20"/>
        </w:rPr>
        <w:tab/>
      </w:r>
      <w:r w:rsidRPr="007D7979">
        <w:rPr>
          <w:sz w:val="20"/>
          <w:szCs w:val="20"/>
        </w:rPr>
        <w:t>En Argentina, según la Encuesta de Indicadores Laborales, el empleo registrado del sector privado en los principales centros urbanos se expandió un 0.3% como promedio de los primeros tres trimestres de 2014.</w:t>
      </w:r>
    </w:p>
  </w:footnote>
  <w:footnote w:id="24">
    <w:p w14:paraId="2123B425" w14:textId="4A328ABF" w:rsidR="00445228" w:rsidRPr="007D7979" w:rsidRDefault="00445228" w:rsidP="00BA5240">
      <w:pPr>
        <w:ind w:left="224" w:right="-159" w:hanging="224"/>
        <w:jc w:val="both"/>
        <w:rPr>
          <w:sz w:val="20"/>
          <w:szCs w:val="20"/>
        </w:rPr>
      </w:pPr>
      <w:r w:rsidRPr="007D7979">
        <w:rPr>
          <w:sz w:val="20"/>
          <w:szCs w:val="20"/>
          <w:vertAlign w:val="superscript"/>
        </w:rPr>
        <w:footnoteRef/>
      </w:r>
      <w:r w:rsidR="00BA5240">
        <w:rPr>
          <w:sz w:val="20"/>
          <w:szCs w:val="20"/>
        </w:rPr>
        <w:tab/>
      </w:r>
      <w:r w:rsidRPr="007D7979">
        <w:rPr>
          <w:sz w:val="20"/>
          <w:szCs w:val="20"/>
        </w:rPr>
        <w:t>El subempleo horario se refiere a aquellas personas ocupadas que trabajan menos que un determinado número de horas establecido a nivel nacional, quieren trabajar más y están disponibles para hacerlo.</w:t>
      </w:r>
    </w:p>
  </w:footnote>
  <w:footnote w:id="25">
    <w:p w14:paraId="71C2A550" w14:textId="77777777" w:rsidR="00445228" w:rsidRPr="007D7979" w:rsidRDefault="00445228" w:rsidP="00BA5240">
      <w:pPr>
        <w:ind w:left="252" w:right="-159" w:hanging="216"/>
        <w:jc w:val="both"/>
        <w:rPr>
          <w:sz w:val="20"/>
          <w:szCs w:val="20"/>
        </w:rPr>
      </w:pPr>
      <w:r w:rsidRPr="007D7979">
        <w:rPr>
          <w:sz w:val="20"/>
          <w:szCs w:val="20"/>
          <w:vertAlign w:val="superscript"/>
        </w:rPr>
        <w:footnoteRef/>
      </w:r>
      <w:r w:rsidRPr="007D7979">
        <w:rPr>
          <w:sz w:val="20"/>
          <w:szCs w:val="20"/>
        </w:rPr>
        <w:t xml:space="preserve"> Véase Shwetlena Sabarwal, Nistha Sinha y Mayra Buvicin, </w:t>
      </w:r>
      <w:r w:rsidRPr="007D7979">
        <w:rPr>
          <w:i/>
          <w:sz w:val="20"/>
          <w:szCs w:val="20"/>
        </w:rPr>
        <w:t>“How do women weather economic shocks? A review of the evidence”, Policy Research Working Paper</w:t>
      </w:r>
      <w:r w:rsidRPr="007D7979">
        <w:rPr>
          <w:sz w:val="20"/>
          <w:szCs w:val="20"/>
        </w:rPr>
        <w:t>, No 5496, Washington, D.C., Banco Mundial, 2010.</w:t>
      </w:r>
    </w:p>
  </w:footnote>
  <w:footnote w:id="26">
    <w:p w14:paraId="534CDEE7" w14:textId="77777777" w:rsidR="00445228" w:rsidRPr="007D7979" w:rsidRDefault="00445228" w:rsidP="00BA6702">
      <w:pPr>
        <w:ind w:left="255" w:right="-159" w:hanging="255"/>
        <w:jc w:val="both"/>
        <w:rPr>
          <w:sz w:val="20"/>
          <w:szCs w:val="20"/>
        </w:rPr>
      </w:pPr>
      <w:r w:rsidRPr="00BA6702">
        <w:rPr>
          <w:sz w:val="20"/>
          <w:szCs w:val="20"/>
          <w:vertAlign w:val="superscript"/>
        </w:rPr>
        <w:footnoteRef/>
      </w:r>
      <w:r w:rsidRPr="00BA6702">
        <w:rPr>
          <w:sz w:val="20"/>
          <w:szCs w:val="20"/>
        </w:rPr>
        <w:t xml:space="preserve"> Véase CEPAL, Panorama Fiscal de América Latina y el Caribe: reformas tributarias y</w:t>
      </w:r>
      <w:r w:rsidRPr="007D7979">
        <w:t xml:space="preserve"> </w:t>
      </w:r>
      <w:r w:rsidRPr="007D7979">
        <w:rPr>
          <w:sz w:val="20"/>
          <w:szCs w:val="20"/>
        </w:rPr>
        <w:t>renovación del pacto fiscal (LC/L.3580), Santiago de Chile, 2013; J. Gómez Sabaini y D. Morán, “Política tributaria en América Latina: agenda para una segunda generación de reformas”, serie Macroeconomía del Desarrollo, No. 133 (LC/L.3632), Santiago de Chile, 2013.</w:t>
      </w:r>
    </w:p>
  </w:footnote>
  <w:footnote w:id="27">
    <w:p w14:paraId="47103309" w14:textId="77777777" w:rsidR="00445228" w:rsidRPr="00BA6702" w:rsidRDefault="00445228" w:rsidP="00BA6702">
      <w:pPr>
        <w:autoSpaceDE w:val="0"/>
        <w:autoSpaceDN w:val="0"/>
        <w:adjustRightInd w:val="0"/>
        <w:ind w:left="255" w:right="-159" w:hanging="255"/>
        <w:jc w:val="both"/>
        <w:rPr>
          <w:sz w:val="20"/>
          <w:szCs w:val="20"/>
        </w:rPr>
      </w:pPr>
      <w:r w:rsidRPr="00BA6702">
        <w:rPr>
          <w:sz w:val="20"/>
          <w:szCs w:val="20"/>
          <w:vertAlign w:val="superscript"/>
        </w:rPr>
        <w:footnoteRef/>
      </w:r>
      <w:r w:rsidRPr="00BA6702">
        <w:rPr>
          <w:sz w:val="20"/>
          <w:szCs w:val="20"/>
        </w:rPr>
        <w:t xml:space="preserve"> Véase Instituto Centroamericano de Estudios Fiscales (ICEFI), “Evolución de las reformas tributarias recientes en América Central”, </w:t>
      </w:r>
      <w:r w:rsidRPr="00BA6702">
        <w:rPr>
          <w:i/>
          <w:iCs/>
          <w:sz w:val="20"/>
          <w:szCs w:val="20"/>
        </w:rPr>
        <w:t xml:space="preserve">Boletín de Estudios Fiscales, </w:t>
      </w:r>
      <w:r w:rsidRPr="00BA6702">
        <w:rPr>
          <w:sz w:val="20"/>
          <w:szCs w:val="20"/>
        </w:rPr>
        <w:t>N°14, 2011; y J.C. Gómez Sabaini y D. Morán, op.cit.</w:t>
      </w:r>
    </w:p>
  </w:footnote>
  <w:footnote w:id="28">
    <w:p w14:paraId="5382C86B" w14:textId="77777777" w:rsidR="00445228" w:rsidRPr="00877DDF" w:rsidRDefault="00445228" w:rsidP="00CD5F12">
      <w:pPr>
        <w:rPr>
          <w:sz w:val="20"/>
          <w:szCs w:val="20"/>
        </w:rPr>
      </w:pPr>
      <w:r w:rsidRPr="00877DDF">
        <w:rPr>
          <w:sz w:val="20"/>
          <w:szCs w:val="20"/>
          <w:vertAlign w:val="superscript"/>
        </w:rPr>
        <w:footnoteRef/>
      </w:r>
      <w:r w:rsidRPr="00877DDF">
        <w:rPr>
          <w:sz w:val="20"/>
          <w:szCs w:val="20"/>
        </w:rPr>
        <w:t xml:space="preserve"> </w:t>
      </w:r>
      <w:r w:rsidRPr="00877DDF">
        <w:rPr>
          <w:i/>
          <w:iCs/>
          <w:sz w:val="20"/>
          <w:szCs w:val="20"/>
        </w:rPr>
        <w:t>Global Economic Prospects</w:t>
      </w:r>
      <w:r w:rsidRPr="00877DDF">
        <w:rPr>
          <w:sz w:val="20"/>
          <w:szCs w:val="20"/>
        </w:rPr>
        <w:t>, octubre de 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445228" w:rsidRPr="005649DE" w:rsidRDefault="00445228" w:rsidP="005649DE">
    <w:pPr>
      <w:pStyle w:val="Encabezado"/>
      <w:pBdr>
        <w:bottom w:val="single" w:sz="4" w:space="1" w:color="660033"/>
      </w:pBdr>
      <w:tabs>
        <w:tab w:val="clear" w:pos="8504"/>
        <w:tab w:val="left" w:pos="4545"/>
        <w:tab w:val="right" w:pos="8820"/>
      </w:tabs>
      <w:ind w:right="-159"/>
      <w:rPr>
        <w:i/>
        <w:color w:val="660033"/>
        <w:sz w:val="22"/>
        <w:szCs w:val="22"/>
      </w:rPr>
    </w:pPr>
    <w:r w:rsidRPr="005649DE">
      <w:rPr>
        <w:rStyle w:val="Nmerodepgina"/>
        <w:i/>
        <w:color w:val="660033"/>
        <w:sz w:val="22"/>
        <w:szCs w:val="22"/>
      </w:rPr>
      <w:fldChar w:fldCharType="begin"/>
    </w:r>
    <w:r w:rsidRPr="005649DE">
      <w:rPr>
        <w:rStyle w:val="Nmerodepgina"/>
        <w:i/>
        <w:color w:val="660033"/>
        <w:sz w:val="22"/>
        <w:szCs w:val="22"/>
      </w:rPr>
      <w:instrText xml:space="preserve"> PAGE </w:instrText>
    </w:r>
    <w:r w:rsidRPr="005649DE">
      <w:rPr>
        <w:rStyle w:val="Nmerodepgina"/>
        <w:i/>
        <w:color w:val="660033"/>
        <w:sz w:val="22"/>
        <w:szCs w:val="22"/>
      </w:rPr>
      <w:fldChar w:fldCharType="separate"/>
    </w:r>
    <w:r w:rsidR="005649DE">
      <w:rPr>
        <w:rStyle w:val="Nmerodepgina"/>
        <w:i/>
        <w:noProof/>
        <w:color w:val="660033"/>
        <w:sz w:val="22"/>
        <w:szCs w:val="22"/>
      </w:rPr>
      <w:t>1232</w:t>
    </w:r>
    <w:r w:rsidRPr="005649DE">
      <w:rPr>
        <w:rStyle w:val="Nmerodepgina"/>
        <w:i/>
        <w:color w:val="660033"/>
        <w:sz w:val="22"/>
        <w:szCs w:val="22"/>
      </w:rPr>
      <w:fldChar w:fldCharType="end"/>
    </w:r>
    <w:r w:rsidRPr="005649DE">
      <w:rPr>
        <w:rStyle w:val="Nmerodepgina"/>
        <w:i/>
        <w:color w:val="660033"/>
        <w:sz w:val="22"/>
        <w:szCs w:val="22"/>
      </w:rPr>
      <w:tab/>
    </w:r>
    <w:r w:rsidRPr="005649DE">
      <w:rPr>
        <w:rStyle w:val="Nmerodepgina"/>
        <w:i/>
        <w:color w:val="660033"/>
        <w:sz w:val="22"/>
        <w:szCs w:val="22"/>
      </w:rPr>
      <w:tab/>
    </w:r>
    <w:r w:rsidRPr="005649DE">
      <w:rPr>
        <w:rStyle w:val="Nmerodepgina"/>
        <w:i/>
        <w:color w:val="660033"/>
        <w:sz w:val="22"/>
        <w:szCs w:val="22"/>
      </w:rPr>
      <w:tab/>
    </w:r>
    <w:r w:rsidRPr="005649DE">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309EEF20" w:rsidR="00445228" w:rsidRPr="005649DE" w:rsidRDefault="00445228" w:rsidP="005649DE">
    <w:pPr>
      <w:pStyle w:val="Encabezado"/>
      <w:pBdr>
        <w:bottom w:val="single" w:sz="4" w:space="1" w:color="660033"/>
      </w:pBdr>
      <w:tabs>
        <w:tab w:val="clear" w:pos="8504"/>
        <w:tab w:val="right" w:pos="9000"/>
      </w:tabs>
      <w:ind w:right="-159"/>
      <w:rPr>
        <w:i/>
        <w:color w:val="660033"/>
        <w:sz w:val="22"/>
        <w:szCs w:val="22"/>
      </w:rPr>
    </w:pPr>
    <w:r w:rsidRPr="005649DE">
      <w:rPr>
        <w:i/>
        <w:color w:val="660033"/>
        <w:sz w:val="22"/>
        <w:szCs w:val="22"/>
      </w:rPr>
      <w:t>P</w:t>
    </w:r>
    <w:r w:rsidR="00A303E8" w:rsidRPr="005649DE">
      <w:rPr>
        <w:i/>
        <w:color w:val="660033"/>
        <w:sz w:val="22"/>
        <w:szCs w:val="22"/>
      </w:rPr>
      <w:t>erspectivas para 2015-2016</w:t>
    </w:r>
    <w:r w:rsidRPr="005649DE">
      <w:rPr>
        <w:i/>
        <w:color w:val="660033"/>
        <w:sz w:val="22"/>
        <w:szCs w:val="22"/>
      </w:rPr>
      <w:tab/>
    </w:r>
    <w:r w:rsidRPr="005649DE">
      <w:rPr>
        <w:i/>
        <w:color w:val="660033"/>
        <w:sz w:val="22"/>
        <w:szCs w:val="22"/>
      </w:rPr>
      <w:tab/>
      <w:t xml:space="preserve">    </w:t>
    </w:r>
    <w:r w:rsidRPr="005649DE">
      <w:rPr>
        <w:rStyle w:val="Nmerodepgina"/>
        <w:i/>
        <w:color w:val="660033"/>
        <w:sz w:val="22"/>
        <w:szCs w:val="22"/>
      </w:rPr>
      <w:fldChar w:fldCharType="begin"/>
    </w:r>
    <w:r w:rsidRPr="005649DE">
      <w:rPr>
        <w:rStyle w:val="Nmerodepgina"/>
        <w:i/>
        <w:color w:val="660033"/>
        <w:sz w:val="22"/>
        <w:szCs w:val="22"/>
      </w:rPr>
      <w:instrText xml:space="preserve"> PAGE </w:instrText>
    </w:r>
    <w:r w:rsidRPr="005649DE">
      <w:rPr>
        <w:rStyle w:val="Nmerodepgina"/>
        <w:i/>
        <w:color w:val="660033"/>
        <w:sz w:val="22"/>
        <w:szCs w:val="22"/>
      </w:rPr>
      <w:fldChar w:fldCharType="separate"/>
    </w:r>
    <w:r w:rsidR="005649DE">
      <w:rPr>
        <w:rStyle w:val="Nmerodepgina"/>
        <w:i/>
        <w:noProof/>
        <w:color w:val="660033"/>
        <w:sz w:val="22"/>
        <w:szCs w:val="22"/>
      </w:rPr>
      <w:t>1233</w:t>
    </w:r>
    <w:r w:rsidRPr="005649DE">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10669AE"/>
    <w:multiLevelType w:val="hybridMultilevel"/>
    <w:tmpl w:val="FEF82AFC"/>
    <w:lvl w:ilvl="0" w:tplc="7520DBFC">
      <w:start w:val="1"/>
      <w:numFmt w:val="bullet"/>
      <w:lvlText w:val="–"/>
      <w:lvlJc w:val="left"/>
      <w:pPr>
        <w:ind w:left="1008" w:hanging="360"/>
      </w:pPr>
      <w:rPr>
        <w:rFonts w:ascii="Times New Roman" w:hAnsi="Times New Roman" w:cs="Times New Roman"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6">
    <w:nsid w:val="014C6262"/>
    <w:multiLevelType w:val="hybridMultilevel"/>
    <w:tmpl w:val="16C4B478"/>
    <w:lvl w:ilvl="0" w:tplc="080A0005">
      <w:start w:val="1"/>
      <w:numFmt w:val="bullet"/>
      <w:lvlText w:val=""/>
      <w:lvlJc w:val="left"/>
      <w:pPr>
        <w:ind w:left="720" w:hanging="360"/>
      </w:pPr>
      <w:rPr>
        <w:rFonts w:ascii="Wingdings" w:hAnsi="Wingdings" w:hint="default"/>
      </w:rPr>
    </w:lvl>
    <w:lvl w:ilvl="1" w:tplc="080A0005">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8">
    <w:nsid w:val="03324292"/>
    <w:multiLevelType w:val="hybridMultilevel"/>
    <w:tmpl w:val="29AAD4A0"/>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038F225A"/>
    <w:multiLevelType w:val="hybridMultilevel"/>
    <w:tmpl w:val="30DCB6D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39A66FE"/>
    <w:multiLevelType w:val="hybridMultilevel"/>
    <w:tmpl w:val="F89614BA"/>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3AD38EC"/>
    <w:multiLevelType w:val="hybridMultilevel"/>
    <w:tmpl w:val="186ADAFC"/>
    <w:lvl w:ilvl="0" w:tplc="07128468">
      <w:start w:val="6"/>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2">
    <w:nsid w:val="03ED418D"/>
    <w:multiLevelType w:val="hybridMultilevel"/>
    <w:tmpl w:val="0DCA6E6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04240CCD"/>
    <w:multiLevelType w:val="hybridMultilevel"/>
    <w:tmpl w:val="95CEA89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45B5845"/>
    <w:multiLevelType w:val="hybridMultilevel"/>
    <w:tmpl w:val="2B0007F2"/>
    <w:lvl w:ilvl="0" w:tplc="4420CF3C">
      <w:start w:val="1"/>
      <w:numFmt w:val="decimal"/>
      <w:lvlText w:val="%1."/>
      <w:lvlJc w:val="left"/>
      <w:pPr>
        <w:ind w:left="1008" w:hanging="360"/>
      </w:pPr>
      <w:rPr>
        <w:rFonts w:hint="default"/>
        <w:b w:val="0"/>
        <w:i w:val="0"/>
        <w:color w:val="auto"/>
        <w:sz w:val="26"/>
      </w:rPr>
    </w:lvl>
    <w:lvl w:ilvl="1" w:tplc="080A0019" w:tentative="1">
      <w:start w:val="1"/>
      <w:numFmt w:val="lowerLetter"/>
      <w:lvlText w:val="%2."/>
      <w:lvlJc w:val="left"/>
      <w:pPr>
        <w:ind w:left="1728" w:hanging="360"/>
      </w:pPr>
    </w:lvl>
    <w:lvl w:ilvl="2" w:tplc="080A001B" w:tentative="1">
      <w:start w:val="1"/>
      <w:numFmt w:val="lowerRoman"/>
      <w:lvlText w:val="%3."/>
      <w:lvlJc w:val="right"/>
      <w:pPr>
        <w:ind w:left="2448" w:hanging="180"/>
      </w:pPr>
    </w:lvl>
    <w:lvl w:ilvl="3" w:tplc="080A000F" w:tentative="1">
      <w:start w:val="1"/>
      <w:numFmt w:val="decimal"/>
      <w:lvlText w:val="%4."/>
      <w:lvlJc w:val="left"/>
      <w:pPr>
        <w:ind w:left="3168" w:hanging="360"/>
      </w:pPr>
    </w:lvl>
    <w:lvl w:ilvl="4" w:tplc="080A0019" w:tentative="1">
      <w:start w:val="1"/>
      <w:numFmt w:val="lowerLetter"/>
      <w:lvlText w:val="%5."/>
      <w:lvlJc w:val="left"/>
      <w:pPr>
        <w:ind w:left="3888" w:hanging="360"/>
      </w:pPr>
    </w:lvl>
    <w:lvl w:ilvl="5" w:tplc="080A001B" w:tentative="1">
      <w:start w:val="1"/>
      <w:numFmt w:val="lowerRoman"/>
      <w:lvlText w:val="%6."/>
      <w:lvlJc w:val="right"/>
      <w:pPr>
        <w:ind w:left="4608" w:hanging="180"/>
      </w:pPr>
    </w:lvl>
    <w:lvl w:ilvl="6" w:tplc="080A000F" w:tentative="1">
      <w:start w:val="1"/>
      <w:numFmt w:val="decimal"/>
      <w:lvlText w:val="%7."/>
      <w:lvlJc w:val="left"/>
      <w:pPr>
        <w:ind w:left="5328" w:hanging="360"/>
      </w:pPr>
    </w:lvl>
    <w:lvl w:ilvl="7" w:tplc="080A0019" w:tentative="1">
      <w:start w:val="1"/>
      <w:numFmt w:val="lowerLetter"/>
      <w:lvlText w:val="%8."/>
      <w:lvlJc w:val="left"/>
      <w:pPr>
        <w:ind w:left="6048" w:hanging="360"/>
      </w:pPr>
    </w:lvl>
    <w:lvl w:ilvl="8" w:tplc="080A001B" w:tentative="1">
      <w:start w:val="1"/>
      <w:numFmt w:val="lowerRoman"/>
      <w:lvlText w:val="%9."/>
      <w:lvlJc w:val="right"/>
      <w:pPr>
        <w:ind w:left="6768" w:hanging="180"/>
      </w:pPr>
    </w:lvl>
  </w:abstractNum>
  <w:abstractNum w:abstractNumId="16">
    <w:nsid w:val="04776FA3"/>
    <w:multiLevelType w:val="hybridMultilevel"/>
    <w:tmpl w:val="93EC457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04E61AE8"/>
    <w:multiLevelType w:val="hybridMultilevel"/>
    <w:tmpl w:val="37B8DFEA"/>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
    <w:nsid w:val="053C00B6"/>
    <w:multiLevelType w:val="hybridMultilevel"/>
    <w:tmpl w:val="EEA0355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063F5FAC"/>
    <w:multiLevelType w:val="hybridMultilevel"/>
    <w:tmpl w:val="76E0139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71A2032"/>
    <w:multiLevelType w:val="hybridMultilevel"/>
    <w:tmpl w:val="CD34BEC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073B2070"/>
    <w:multiLevelType w:val="hybridMultilevel"/>
    <w:tmpl w:val="4D04F5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081C3F12"/>
    <w:multiLevelType w:val="hybridMultilevel"/>
    <w:tmpl w:val="BED8E8F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08B065C7"/>
    <w:multiLevelType w:val="hybridMultilevel"/>
    <w:tmpl w:val="2FE00C9E"/>
    <w:lvl w:ilvl="0" w:tplc="E654A1BE">
      <w:start w:val="1"/>
      <w:numFmt w:val="bullet"/>
      <w:lvlText w:val=""/>
      <w:lvlJc w:val="left"/>
      <w:pPr>
        <w:ind w:left="720" w:hanging="360"/>
      </w:pPr>
      <w:rPr>
        <w:rFonts w:ascii="Symbol" w:hAnsi="Symbol" w:hint="default"/>
      </w:rPr>
    </w:lvl>
    <w:lvl w:ilvl="1" w:tplc="49FE2694">
      <w:start w:val="3"/>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0B1026E1"/>
    <w:multiLevelType w:val="hybridMultilevel"/>
    <w:tmpl w:val="688638C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0BE2036D"/>
    <w:multiLevelType w:val="hybridMultilevel"/>
    <w:tmpl w:val="3DF8E34E"/>
    <w:lvl w:ilvl="0" w:tplc="A41C4156">
      <w:start w:val="1"/>
      <w:numFmt w:val="bullet"/>
      <w:lvlText w:val="–"/>
      <w:lvlJc w:val="left"/>
      <w:pPr>
        <w:ind w:left="-1068" w:hanging="360"/>
      </w:pPr>
      <w:rPr>
        <w:rFonts w:ascii="Vrinda" w:hAnsi="Vrinda" w:hint="default"/>
        <w:sz w:val="24"/>
      </w:rPr>
    </w:lvl>
    <w:lvl w:ilvl="1" w:tplc="B14AE8D8">
      <w:start w:val="3"/>
      <w:numFmt w:val="bullet"/>
      <w:lvlText w:val="–"/>
      <w:lvlJc w:val="left"/>
      <w:pPr>
        <w:ind w:left="-348" w:hanging="360"/>
      </w:pPr>
      <w:rPr>
        <w:rFonts w:ascii="Times New Roman" w:eastAsiaTheme="minorHAnsi" w:hAnsi="Times New Roman" w:cs="Times New Roman" w:hint="default"/>
      </w:rPr>
    </w:lvl>
    <w:lvl w:ilvl="2" w:tplc="080A0005" w:tentative="1">
      <w:start w:val="1"/>
      <w:numFmt w:val="bullet"/>
      <w:lvlText w:val=""/>
      <w:lvlJc w:val="left"/>
      <w:pPr>
        <w:ind w:left="372" w:hanging="360"/>
      </w:pPr>
      <w:rPr>
        <w:rFonts w:ascii="Wingdings" w:hAnsi="Wingdings" w:hint="default"/>
      </w:rPr>
    </w:lvl>
    <w:lvl w:ilvl="3" w:tplc="080A0001" w:tentative="1">
      <w:start w:val="1"/>
      <w:numFmt w:val="bullet"/>
      <w:lvlText w:val=""/>
      <w:lvlJc w:val="left"/>
      <w:pPr>
        <w:ind w:left="1092" w:hanging="360"/>
      </w:pPr>
      <w:rPr>
        <w:rFonts w:ascii="Symbol" w:hAnsi="Symbol" w:hint="default"/>
      </w:rPr>
    </w:lvl>
    <w:lvl w:ilvl="4" w:tplc="080A0003" w:tentative="1">
      <w:start w:val="1"/>
      <w:numFmt w:val="bullet"/>
      <w:lvlText w:val="o"/>
      <w:lvlJc w:val="left"/>
      <w:pPr>
        <w:ind w:left="1812" w:hanging="360"/>
      </w:pPr>
      <w:rPr>
        <w:rFonts w:ascii="Courier New" w:hAnsi="Courier New" w:cs="Courier New" w:hint="default"/>
      </w:rPr>
    </w:lvl>
    <w:lvl w:ilvl="5" w:tplc="080A0005" w:tentative="1">
      <w:start w:val="1"/>
      <w:numFmt w:val="bullet"/>
      <w:lvlText w:val=""/>
      <w:lvlJc w:val="left"/>
      <w:pPr>
        <w:ind w:left="2532" w:hanging="360"/>
      </w:pPr>
      <w:rPr>
        <w:rFonts w:ascii="Wingdings" w:hAnsi="Wingdings" w:hint="default"/>
      </w:rPr>
    </w:lvl>
    <w:lvl w:ilvl="6" w:tplc="080A0001" w:tentative="1">
      <w:start w:val="1"/>
      <w:numFmt w:val="bullet"/>
      <w:lvlText w:val=""/>
      <w:lvlJc w:val="left"/>
      <w:pPr>
        <w:ind w:left="3252" w:hanging="360"/>
      </w:pPr>
      <w:rPr>
        <w:rFonts w:ascii="Symbol" w:hAnsi="Symbol" w:hint="default"/>
      </w:rPr>
    </w:lvl>
    <w:lvl w:ilvl="7" w:tplc="080A0003" w:tentative="1">
      <w:start w:val="1"/>
      <w:numFmt w:val="bullet"/>
      <w:lvlText w:val="o"/>
      <w:lvlJc w:val="left"/>
      <w:pPr>
        <w:ind w:left="3972" w:hanging="360"/>
      </w:pPr>
      <w:rPr>
        <w:rFonts w:ascii="Courier New" w:hAnsi="Courier New" w:cs="Courier New" w:hint="default"/>
      </w:rPr>
    </w:lvl>
    <w:lvl w:ilvl="8" w:tplc="080A0005" w:tentative="1">
      <w:start w:val="1"/>
      <w:numFmt w:val="bullet"/>
      <w:lvlText w:val=""/>
      <w:lvlJc w:val="left"/>
      <w:pPr>
        <w:ind w:left="4692" w:hanging="360"/>
      </w:pPr>
      <w:rPr>
        <w:rFonts w:ascii="Wingdings" w:hAnsi="Wingdings" w:hint="default"/>
      </w:rPr>
    </w:lvl>
  </w:abstractNum>
  <w:abstractNum w:abstractNumId="27">
    <w:nsid w:val="0C6B10B4"/>
    <w:multiLevelType w:val="hybridMultilevel"/>
    <w:tmpl w:val="A1F4B7D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8">
    <w:nsid w:val="0C750696"/>
    <w:multiLevelType w:val="hybridMultilevel"/>
    <w:tmpl w:val="B23ADF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0ED377C5"/>
    <w:multiLevelType w:val="hybridMultilevel"/>
    <w:tmpl w:val="39025E24"/>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nsid w:val="0F8B6779"/>
    <w:multiLevelType w:val="hybridMultilevel"/>
    <w:tmpl w:val="C8CCACD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10E30907"/>
    <w:multiLevelType w:val="hybridMultilevel"/>
    <w:tmpl w:val="1BE6A3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1243C34"/>
    <w:multiLevelType w:val="hybridMultilevel"/>
    <w:tmpl w:val="5BD43F66"/>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11FD3EE8"/>
    <w:multiLevelType w:val="hybridMultilevel"/>
    <w:tmpl w:val="F34E83C0"/>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126015CC"/>
    <w:multiLevelType w:val="hybridMultilevel"/>
    <w:tmpl w:val="FC2CCB36"/>
    <w:lvl w:ilvl="0" w:tplc="E654A1BE">
      <w:start w:val="1"/>
      <w:numFmt w:val="bullet"/>
      <w:lvlText w:val=""/>
      <w:lvlJc w:val="left"/>
      <w:pPr>
        <w:ind w:left="720" w:hanging="360"/>
      </w:pPr>
      <w:rPr>
        <w:rFonts w:ascii="Symbol" w:hAnsi="Symbol" w:hint="default"/>
      </w:rPr>
    </w:lvl>
    <w:lvl w:ilvl="1" w:tplc="C818FEF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12737A20"/>
    <w:multiLevelType w:val="hybridMultilevel"/>
    <w:tmpl w:val="68DC60D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7">
    <w:nsid w:val="12A90822"/>
    <w:multiLevelType w:val="hybridMultilevel"/>
    <w:tmpl w:val="AC443DB4"/>
    <w:lvl w:ilvl="0" w:tplc="91F25FC6">
      <w:start w:val="1"/>
      <w:numFmt w:val="upperRoman"/>
      <w:lvlText w:val="%1."/>
      <w:lvlJc w:val="left"/>
      <w:pPr>
        <w:ind w:left="720" w:hanging="720"/>
      </w:pPr>
      <w:rPr>
        <w:rFonts w:hint="default"/>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8">
    <w:nsid w:val="132A657A"/>
    <w:multiLevelType w:val="multilevel"/>
    <w:tmpl w:val="74DE0B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nsid w:val="13487507"/>
    <w:multiLevelType w:val="hybridMultilevel"/>
    <w:tmpl w:val="A268FCE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13C636B7"/>
    <w:multiLevelType w:val="hybridMultilevel"/>
    <w:tmpl w:val="B75E38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15383E0C"/>
    <w:multiLevelType w:val="hybridMultilevel"/>
    <w:tmpl w:val="A0B26F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16B85466"/>
    <w:multiLevelType w:val="hybridMultilevel"/>
    <w:tmpl w:val="B1466566"/>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17085024"/>
    <w:multiLevelType w:val="hybridMultilevel"/>
    <w:tmpl w:val="5A62D89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18036C5F"/>
    <w:multiLevelType w:val="hybridMultilevel"/>
    <w:tmpl w:val="88FCBF42"/>
    <w:lvl w:ilvl="0" w:tplc="A41C4156">
      <w:start w:val="1"/>
      <w:numFmt w:val="bullet"/>
      <w:lvlText w:val="–"/>
      <w:lvlJc w:val="left"/>
      <w:pPr>
        <w:ind w:left="360" w:hanging="360"/>
      </w:pPr>
      <w:rPr>
        <w:rFonts w:ascii="Vrinda" w:hAnsi="Vrinda"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181C1064"/>
    <w:multiLevelType w:val="hybridMultilevel"/>
    <w:tmpl w:val="508459B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18AE0BAA"/>
    <w:multiLevelType w:val="hybridMultilevel"/>
    <w:tmpl w:val="E6DC1962"/>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1A7820A3"/>
    <w:multiLevelType w:val="hybridMultilevel"/>
    <w:tmpl w:val="784EB0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1ABC6539"/>
    <w:multiLevelType w:val="hybridMultilevel"/>
    <w:tmpl w:val="0646107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1B5F4E9D"/>
    <w:multiLevelType w:val="hybridMultilevel"/>
    <w:tmpl w:val="33246E2E"/>
    <w:lvl w:ilvl="0" w:tplc="52DC1858">
      <w:start w:val="1"/>
      <w:numFmt w:val="decimal"/>
      <w:lvlText w:val="%1."/>
      <w:lvlJc w:val="left"/>
      <w:pPr>
        <w:ind w:left="720" w:hanging="360"/>
      </w:pPr>
      <w:rPr>
        <w:rFonts w:ascii="Times New Roman" w:hAnsi="Times New Roman" w:hint="default"/>
        <w:sz w:val="26"/>
        <w:szCs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1BF77B2B"/>
    <w:multiLevelType w:val="hybridMultilevel"/>
    <w:tmpl w:val="21480D6C"/>
    <w:lvl w:ilvl="0" w:tplc="DA7C6524">
      <w:start w:val="1"/>
      <w:numFmt w:val="decimal"/>
      <w:lvlText w:val="%1."/>
      <w:lvlJc w:val="left"/>
      <w:pPr>
        <w:ind w:left="720" w:hanging="360"/>
      </w:pPr>
      <w:rPr>
        <w:rFonts w:ascii="Times New Roman" w:hAnsi="Times New Roman"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6A5476B2">
      <w:start w:val="1"/>
      <w:numFmt w:val="decimal"/>
      <w:lvlText w:val="%4."/>
      <w:lvlJc w:val="left"/>
      <w:pPr>
        <w:ind w:left="2880" w:hanging="360"/>
      </w:pPr>
      <w:rPr>
        <w:rFonts w:ascii="Times New Roman" w:hAnsi="Times New Roman" w:hint="default"/>
        <w:b w:val="0"/>
        <w:i w:val="0"/>
        <w:sz w:val="26"/>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1C4365E5"/>
    <w:multiLevelType w:val="hybridMultilevel"/>
    <w:tmpl w:val="B3E87E9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1D7D687D"/>
    <w:multiLevelType w:val="hybridMultilevel"/>
    <w:tmpl w:val="42DC73D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1DE463C8"/>
    <w:multiLevelType w:val="hybridMultilevel"/>
    <w:tmpl w:val="52B2FDF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1E0D1A6E"/>
    <w:multiLevelType w:val="hybridMultilevel"/>
    <w:tmpl w:val="22A6B688"/>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1F4A15A5"/>
    <w:multiLevelType w:val="hybridMultilevel"/>
    <w:tmpl w:val="8428873C"/>
    <w:lvl w:ilvl="0" w:tplc="E654A1BE">
      <w:start w:val="1"/>
      <w:numFmt w:val="bullet"/>
      <w:lvlText w:val=""/>
      <w:lvlJc w:val="left"/>
      <w:pPr>
        <w:ind w:left="720" w:hanging="360"/>
      </w:pPr>
      <w:rPr>
        <w:rFonts w:ascii="Symbol" w:hAnsi="Symbol" w:hint="default"/>
      </w:rPr>
    </w:lvl>
    <w:lvl w:ilvl="1" w:tplc="8238193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1FFC518B"/>
    <w:multiLevelType w:val="hybridMultilevel"/>
    <w:tmpl w:val="F90AA23C"/>
    <w:lvl w:ilvl="0" w:tplc="AD90E8EA">
      <w:start w:val="1"/>
      <w:numFmt w:val="bullet"/>
      <w:lvlText w:val="-"/>
      <w:lvlJc w:val="left"/>
      <w:pPr>
        <w:ind w:left="1440" w:hanging="360"/>
      </w:pPr>
      <w:rPr>
        <w:rFonts w:ascii="Courier New" w:hAnsi="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8">
    <w:nsid w:val="21336BE7"/>
    <w:multiLevelType w:val="hybridMultilevel"/>
    <w:tmpl w:val="BC0CB0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218D57A5"/>
    <w:multiLevelType w:val="hybridMultilevel"/>
    <w:tmpl w:val="4364EA5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224C7F8C"/>
    <w:multiLevelType w:val="hybridMultilevel"/>
    <w:tmpl w:val="0A140990"/>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1">
    <w:nsid w:val="229A3551"/>
    <w:multiLevelType w:val="hybridMultilevel"/>
    <w:tmpl w:val="5A8E4F1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22F134CC"/>
    <w:multiLevelType w:val="hybridMultilevel"/>
    <w:tmpl w:val="85A6C5E6"/>
    <w:lvl w:ilvl="0" w:tplc="8ED02F22">
      <w:start w:val="1"/>
      <w:numFmt w:val="decimal"/>
      <w:lvlText w:val="%1."/>
      <w:lvlJc w:val="left"/>
      <w:pPr>
        <w:ind w:left="720" w:hanging="360"/>
      </w:pPr>
      <w:rPr>
        <w:rFonts w:ascii="Times New Roman" w:hAnsi="Times New Roman" w:cs="Tahoma"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23EE19A4"/>
    <w:multiLevelType w:val="hybridMultilevel"/>
    <w:tmpl w:val="B4408604"/>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256015D5"/>
    <w:multiLevelType w:val="hybridMultilevel"/>
    <w:tmpl w:val="85404C7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265C6305"/>
    <w:multiLevelType w:val="hybridMultilevel"/>
    <w:tmpl w:val="F04A0100"/>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8446241"/>
    <w:multiLevelType w:val="hybridMultilevel"/>
    <w:tmpl w:val="35D6B1AA"/>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8">
    <w:nsid w:val="2853409C"/>
    <w:multiLevelType w:val="hybridMultilevel"/>
    <w:tmpl w:val="CFDA89A2"/>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9">
    <w:nsid w:val="28627A17"/>
    <w:multiLevelType w:val="hybridMultilevel"/>
    <w:tmpl w:val="AEBA83A8"/>
    <w:lvl w:ilvl="0" w:tplc="E654A1BE">
      <w:start w:val="1"/>
      <w:numFmt w:val="bullet"/>
      <w:lvlText w:val=""/>
      <w:lvlJc w:val="left"/>
      <w:pPr>
        <w:ind w:left="720" w:hanging="360"/>
      </w:pPr>
      <w:rPr>
        <w:rFonts w:ascii="Symbol" w:hAnsi="Symbol" w:hint="default"/>
      </w:rPr>
    </w:lvl>
    <w:lvl w:ilvl="1" w:tplc="E654A1BE">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28BF6E27"/>
    <w:multiLevelType w:val="hybridMultilevel"/>
    <w:tmpl w:val="17662C76"/>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29350233"/>
    <w:multiLevelType w:val="hybridMultilevel"/>
    <w:tmpl w:val="07D036F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2A5408D4"/>
    <w:multiLevelType w:val="hybridMultilevel"/>
    <w:tmpl w:val="CF50C44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nsid w:val="2AA83CBF"/>
    <w:multiLevelType w:val="hybridMultilevel"/>
    <w:tmpl w:val="4D02C960"/>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74">
    <w:nsid w:val="2B0214B8"/>
    <w:multiLevelType w:val="hybridMultilevel"/>
    <w:tmpl w:val="D060B23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5">
    <w:nsid w:val="2C100D17"/>
    <w:multiLevelType w:val="hybridMultilevel"/>
    <w:tmpl w:val="CC0A20D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2CC531D6"/>
    <w:multiLevelType w:val="hybridMultilevel"/>
    <w:tmpl w:val="17E2A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2D7E771E"/>
    <w:multiLevelType w:val="hybridMultilevel"/>
    <w:tmpl w:val="0488183C"/>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9">
    <w:nsid w:val="2DFB4279"/>
    <w:multiLevelType w:val="hybridMultilevel"/>
    <w:tmpl w:val="9FA4FBF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2EA51E14"/>
    <w:multiLevelType w:val="hybridMultilevel"/>
    <w:tmpl w:val="40485A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2F382C25"/>
    <w:multiLevelType w:val="hybridMultilevel"/>
    <w:tmpl w:val="06542D02"/>
    <w:lvl w:ilvl="0" w:tplc="100CF0A2">
      <w:start w:val="1"/>
      <w:numFmt w:val="upperRoman"/>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2F411138"/>
    <w:multiLevelType w:val="hybridMultilevel"/>
    <w:tmpl w:val="4112C450"/>
    <w:lvl w:ilvl="0" w:tplc="90C665FC">
      <w:start w:val="1"/>
      <w:numFmt w:val="upperRoman"/>
      <w:lvlText w:val="%1."/>
      <w:lvlJc w:val="left"/>
      <w:pPr>
        <w:ind w:left="720" w:hanging="360"/>
      </w:pPr>
      <w:rPr>
        <w:rFonts w:hint="default"/>
        <w:b w:val="0"/>
        <w:i w:val="0"/>
        <w:snapToGrid/>
        <w:spacing w:val="16"/>
        <w:sz w:val="26"/>
        <w:szCs w:val="14"/>
      </w:rPr>
    </w:lvl>
    <w:lvl w:ilvl="1" w:tplc="D0ACF0B0">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nsid w:val="2F6E3B9C"/>
    <w:multiLevelType w:val="hybridMultilevel"/>
    <w:tmpl w:val="2E92235E"/>
    <w:lvl w:ilvl="0" w:tplc="7520DBFC">
      <w:start w:val="1"/>
      <w:numFmt w:val="bullet"/>
      <w:lvlText w:val="–"/>
      <w:lvlJc w:val="left"/>
      <w:pPr>
        <w:ind w:left="6" w:hanging="360"/>
      </w:pPr>
      <w:rPr>
        <w:rFonts w:ascii="Times New Roman" w:hAnsi="Times New Roman" w:cs="Times New Roman" w:hint="default"/>
        <w:sz w:val="24"/>
      </w:rPr>
    </w:lvl>
    <w:lvl w:ilvl="1" w:tplc="080A0003" w:tentative="1">
      <w:start w:val="1"/>
      <w:numFmt w:val="bullet"/>
      <w:lvlText w:val="o"/>
      <w:lvlJc w:val="left"/>
      <w:pPr>
        <w:ind w:left="726" w:hanging="360"/>
      </w:pPr>
      <w:rPr>
        <w:rFonts w:ascii="Courier New" w:hAnsi="Courier New" w:cs="Courier New" w:hint="default"/>
      </w:rPr>
    </w:lvl>
    <w:lvl w:ilvl="2" w:tplc="080A0005" w:tentative="1">
      <w:start w:val="1"/>
      <w:numFmt w:val="bullet"/>
      <w:lvlText w:val=""/>
      <w:lvlJc w:val="left"/>
      <w:pPr>
        <w:ind w:left="1446" w:hanging="360"/>
      </w:pPr>
      <w:rPr>
        <w:rFonts w:ascii="Wingdings" w:hAnsi="Wingdings" w:hint="default"/>
      </w:rPr>
    </w:lvl>
    <w:lvl w:ilvl="3" w:tplc="080A0001" w:tentative="1">
      <w:start w:val="1"/>
      <w:numFmt w:val="bullet"/>
      <w:lvlText w:val=""/>
      <w:lvlJc w:val="left"/>
      <w:pPr>
        <w:ind w:left="2166" w:hanging="360"/>
      </w:pPr>
      <w:rPr>
        <w:rFonts w:ascii="Symbol" w:hAnsi="Symbol" w:hint="default"/>
      </w:rPr>
    </w:lvl>
    <w:lvl w:ilvl="4" w:tplc="080A0003" w:tentative="1">
      <w:start w:val="1"/>
      <w:numFmt w:val="bullet"/>
      <w:lvlText w:val="o"/>
      <w:lvlJc w:val="left"/>
      <w:pPr>
        <w:ind w:left="2886" w:hanging="360"/>
      </w:pPr>
      <w:rPr>
        <w:rFonts w:ascii="Courier New" w:hAnsi="Courier New" w:cs="Courier New" w:hint="default"/>
      </w:rPr>
    </w:lvl>
    <w:lvl w:ilvl="5" w:tplc="080A0005" w:tentative="1">
      <w:start w:val="1"/>
      <w:numFmt w:val="bullet"/>
      <w:lvlText w:val=""/>
      <w:lvlJc w:val="left"/>
      <w:pPr>
        <w:ind w:left="3606" w:hanging="360"/>
      </w:pPr>
      <w:rPr>
        <w:rFonts w:ascii="Wingdings" w:hAnsi="Wingdings" w:hint="default"/>
      </w:rPr>
    </w:lvl>
    <w:lvl w:ilvl="6" w:tplc="080A0001" w:tentative="1">
      <w:start w:val="1"/>
      <w:numFmt w:val="bullet"/>
      <w:lvlText w:val=""/>
      <w:lvlJc w:val="left"/>
      <w:pPr>
        <w:ind w:left="4326" w:hanging="360"/>
      </w:pPr>
      <w:rPr>
        <w:rFonts w:ascii="Symbol" w:hAnsi="Symbol" w:hint="default"/>
      </w:rPr>
    </w:lvl>
    <w:lvl w:ilvl="7" w:tplc="080A0003" w:tentative="1">
      <w:start w:val="1"/>
      <w:numFmt w:val="bullet"/>
      <w:lvlText w:val="o"/>
      <w:lvlJc w:val="left"/>
      <w:pPr>
        <w:ind w:left="5046" w:hanging="360"/>
      </w:pPr>
      <w:rPr>
        <w:rFonts w:ascii="Courier New" w:hAnsi="Courier New" w:cs="Courier New" w:hint="default"/>
      </w:rPr>
    </w:lvl>
    <w:lvl w:ilvl="8" w:tplc="080A0005" w:tentative="1">
      <w:start w:val="1"/>
      <w:numFmt w:val="bullet"/>
      <w:lvlText w:val=""/>
      <w:lvlJc w:val="left"/>
      <w:pPr>
        <w:ind w:left="5766" w:hanging="360"/>
      </w:pPr>
      <w:rPr>
        <w:rFonts w:ascii="Wingdings" w:hAnsi="Wingdings" w:hint="default"/>
      </w:rPr>
    </w:lvl>
  </w:abstractNum>
  <w:abstractNum w:abstractNumId="84">
    <w:nsid w:val="305C69E5"/>
    <w:multiLevelType w:val="hybridMultilevel"/>
    <w:tmpl w:val="8FDA113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nsid w:val="3076629F"/>
    <w:multiLevelType w:val="hybridMultilevel"/>
    <w:tmpl w:val="74D69C8A"/>
    <w:lvl w:ilvl="0" w:tplc="7E16A0F6">
      <w:start w:val="1"/>
      <w:numFmt w:val="bullet"/>
      <w:lvlText w:val=""/>
      <w:lvlJc w:val="left"/>
      <w:pPr>
        <w:ind w:left="720" w:hanging="360"/>
      </w:pPr>
      <w:rPr>
        <w:rFonts w:ascii="Symbol" w:hAnsi="Symbol"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31471DA7"/>
    <w:multiLevelType w:val="hybridMultilevel"/>
    <w:tmpl w:val="A62EA11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34D22412"/>
    <w:multiLevelType w:val="hybridMultilevel"/>
    <w:tmpl w:val="042667B8"/>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nsid w:val="3746488B"/>
    <w:multiLevelType w:val="hybridMultilevel"/>
    <w:tmpl w:val="A0C086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0">
    <w:nsid w:val="388F07E9"/>
    <w:multiLevelType w:val="hybridMultilevel"/>
    <w:tmpl w:val="5D78472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3A0E79AB"/>
    <w:multiLevelType w:val="hybridMultilevel"/>
    <w:tmpl w:val="B45E0D6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3BCE0B84"/>
    <w:multiLevelType w:val="hybridMultilevel"/>
    <w:tmpl w:val="D2CA187A"/>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3CC05D43"/>
    <w:multiLevelType w:val="hybridMultilevel"/>
    <w:tmpl w:val="2D92A790"/>
    <w:lvl w:ilvl="0" w:tplc="AD90E8EA">
      <w:start w:val="1"/>
      <w:numFmt w:val="bullet"/>
      <w:lvlText w:val="-"/>
      <w:lvlJc w:val="left"/>
      <w:pPr>
        <w:ind w:left="1077" w:hanging="360"/>
      </w:pPr>
      <w:rPr>
        <w:rFonts w:ascii="Courier New" w:hAnsi="Courier New"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5">
    <w:nsid w:val="3DBE66E2"/>
    <w:multiLevelType w:val="hybridMultilevel"/>
    <w:tmpl w:val="EE8E4820"/>
    <w:lvl w:ilvl="0" w:tplc="AD90E8EA">
      <w:start w:val="1"/>
      <w:numFmt w:val="bullet"/>
      <w:lvlText w:val="-"/>
      <w:lvlJc w:val="left"/>
      <w:pPr>
        <w:ind w:left="720" w:hanging="360"/>
      </w:pPr>
      <w:rPr>
        <w:rFonts w:ascii="Courier New" w:hAnsi="Courier New" w:hint="default"/>
      </w:rPr>
    </w:lvl>
    <w:lvl w:ilvl="1" w:tplc="8A8EF62E">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nsid w:val="3E0E61DA"/>
    <w:multiLevelType w:val="hybridMultilevel"/>
    <w:tmpl w:val="DD9405BA"/>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99ACF712">
      <w:start w:val="1"/>
      <w:numFmt w:val="lowerLetter"/>
      <w:lvlText w:val="%2)"/>
      <w:lvlJc w:val="left"/>
      <w:pPr>
        <w:ind w:left="1440" w:hanging="360"/>
      </w:pPr>
      <w:rPr>
        <w:rFonts w:ascii="Times New Roman" w:hAnsi="Times New Roman" w:hint="default"/>
        <w:b w:val="0"/>
        <w:i w:val="0"/>
        <w:snapToGrid/>
        <w:spacing w:val="16"/>
        <w:sz w:val="26"/>
        <w:szCs w:val="14"/>
      </w:rPr>
    </w:lvl>
    <w:lvl w:ilvl="2" w:tplc="BD66A882">
      <w:start w:val="1"/>
      <w:numFmt w:val="upperRoman"/>
      <w:lvlText w:val="%3."/>
      <w:lvlJc w:val="left"/>
      <w:pPr>
        <w:ind w:left="2700" w:hanging="720"/>
      </w:pPr>
      <w:rPr>
        <w:rFonts w:hint="default"/>
      </w:rPr>
    </w:lvl>
    <w:lvl w:ilvl="3" w:tplc="FDC65120">
      <w:start w:val="1"/>
      <w:numFmt w:val="decimal"/>
      <w:lvlText w:val="%4."/>
      <w:lvlJc w:val="left"/>
      <w:pPr>
        <w:ind w:left="2880" w:hanging="360"/>
      </w:pPr>
      <w:rPr>
        <w:rFonts w:hint="default"/>
        <w:b/>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nsid w:val="3E307B8B"/>
    <w:multiLevelType w:val="hybridMultilevel"/>
    <w:tmpl w:val="CC6838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3E5B691F"/>
    <w:multiLevelType w:val="hybridMultilevel"/>
    <w:tmpl w:val="4014A86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9">
    <w:nsid w:val="3EEC2827"/>
    <w:multiLevelType w:val="hybridMultilevel"/>
    <w:tmpl w:val="95D482D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0">
    <w:nsid w:val="3F9150FB"/>
    <w:multiLevelType w:val="hybridMultilevel"/>
    <w:tmpl w:val="E3EC71E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41383FE1"/>
    <w:multiLevelType w:val="hybridMultilevel"/>
    <w:tmpl w:val="D77AF8D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nsid w:val="414A7B48"/>
    <w:multiLevelType w:val="hybridMultilevel"/>
    <w:tmpl w:val="ED928E6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nsid w:val="42A56AB9"/>
    <w:multiLevelType w:val="hybridMultilevel"/>
    <w:tmpl w:val="E246400E"/>
    <w:lvl w:ilvl="0" w:tplc="080A0017">
      <w:start w:val="1"/>
      <w:numFmt w:val="lowerLetter"/>
      <w:lvlText w:val="%1)"/>
      <w:lvlJc w:val="left"/>
      <w:pPr>
        <w:ind w:left="360" w:hanging="360"/>
      </w:pPr>
      <w:rPr>
        <w:rFonts w:hint="default"/>
      </w:rPr>
    </w:lvl>
    <w:lvl w:ilvl="1" w:tplc="AECE8746">
      <w:start w:val="2"/>
      <w:numFmt w:val="bullet"/>
      <w:lvlText w:val=""/>
      <w:lvlJc w:val="left"/>
      <w:pPr>
        <w:ind w:left="1080" w:hanging="360"/>
      </w:pPr>
      <w:rPr>
        <w:rFonts w:ascii="Symbol" w:eastAsiaTheme="minorHAnsi" w:hAnsi="Symbol" w:cs="Times New Roman"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4">
    <w:nsid w:val="439F656F"/>
    <w:multiLevelType w:val="hybridMultilevel"/>
    <w:tmpl w:val="CA2217FC"/>
    <w:lvl w:ilvl="0" w:tplc="A15CEA5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nsid w:val="44BE68E5"/>
    <w:multiLevelType w:val="hybridMultilevel"/>
    <w:tmpl w:val="C900964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46920168"/>
    <w:multiLevelType w:val="hybridMultilevel"/>
    <w:tmpl w:val="9968A0EE"/>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8">
    <w:nsid w:val="478623A5"/>
    <w:multiLevelType w:val="hybridMultilevel"/>
    <w:tmpl w:val="4BB48668"/>
    <w:lvl w:ilvl="0" w:tplc="B77A6332">
      <w:start w:val="2"/>
      <w:numFmt w:val="bullet"/>
      <w:lvlText w:val=""/>
      <w:lvlJc w:val="left"/>
      <w:pPr>
        <w:ind w:left="360" w:hanging="360"/>
      </w:pPr>
      <w:rPr>
        <w:rFonts w:ascii="Symbol" w:eastAsiaTheme="minorHAnsi" w:hAnsi="Symbol"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9">
    <w:nsid w:val="479322D5"/>
    <w:multiLevelType w:val="hybridMultilevel"/>
    <w:tmpl w:val="EAA4278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47D041BE"/>
    <w:multiLevelType w:val="hybridMultilevel"/>
    <w:tmpl w:val="C60660CC"/>
    <w:lvl w:ilvl="0" w:tplc="90C665FC">
      <w:start w:val="1"/>
      <w:numFmt w:val="upperRoman"/>
      <w:lvlText w:val="%1."/>
      <w:lvlJc w:val="left"/>
      <w:pPr>
        <w:ind w:left="720" w:hanging="360"/>
      </w:pPr>
      <w:rPr>
        <w:rFonts w:hint="default"/>
        <w:b w:val="0"/>
        <w:i w:val="0"/>
        <w:snapToGrid/>
        <w:spacing w:val="16"/>
        <w:sz w:val="26"/>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nsid w:val="488B39C5"/>
    <w:multiLevelType w:val="hybridMultilevel"/>
    <w:tmpl w:val="F800E2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nsid w:val="48C97BDD"/>
    <w:multiLevelType w:val="hybridMultilevel"/>
    <w:tmpl w:val="56A8E27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3">
    <w:nsid w:val="4B055361"/>
    <w:multiLevelType w:val="hybridMultilevel"/>
    <w:tmpl w:val="FD86C128"/>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4">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5">
    <w:nsid w:val="4C691FC3"/>
    <w:multiLevelType w:val="hybridMultilevel"/>
    <w:tmpl w:val="84841B9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6">
    <w:nsid w:val="4C842DD1"/>
    <w:multiLevelType w:val="hybridMultilevel"/>
    <w:tmpl w:val="BCEC5E46"/>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7">
    <w:nsid w:val="4CC309D3"/>
    <w:multiLevelType w:val="hybridMultilevel"/>
    <w:tmpl w:val="80B661E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4D3D5A9E"/>
    <w:multiLevelType w:val="hybridMultilevel"/>
    <w:tmpl w:val="1D280514"/>
    <w:lvl w:ilvl="0" w:tplc="1B54B1CC">
      <w:start w:val="1"/>
      <w:numFmt w:val="decimal"/>
      <w:lvlText w:val="%1."/>
      <w:lvlJc w:val="left"/>
      <w:pPr>
        <w:ind w:left="360" w:hanging="360"/>
      </w:pPr>
      <w:rPr>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nsid w:val="4DE74F38"/>
    <w:multiLevelType w:val="hybridMultilevel"/>
    <w:tmpl w:val="D712535A"/>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0">
    <w:nsid w:val="4E386FB0"/>
    <w:multiLevelType w:val="hybridMultilevel"/>
    <w:tmpl w:val="1E82C76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4E512FEB"/>
    <w:multiLevelType w:val="hybridMultilevel"/>
    <w:tmpl w:val="0FF68C6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4EA4398C"/>
    <w:multiLevelType w:val="hybridMultilevel"/>
    <w:tmpl w:val="DB780C74"/>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123">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4">
    <w:nsid w:val="4F4F4942"/>
    <w:multiLevelType w:val="hybridMultilevel"/>
    <w:tmpl w:val="B1E42B30"/>
    <w:lvl w:ilvl="0" w:tplc="A2A62EE0">
      <w:start w:val="1"/>
      <w:numFmt w:val="upperRoman"/>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nsid w:val="508C4DB5"/>
    <w:multiLevelType w:val="hybridMultilevel"/>
    <w:tmpl w:val="E80A7062"/>
    <w:lvl w:ilvl="0" w:tplc="E654A1BE">
      <w:start w:val="1"/>
      <w:numFmt w:val="bullet"/>
      <w:lvlText w:val=""/>
      <w:lvlJc w:val="left"/>
      <w:pPr>
        <w:ind w:left="720" w:hanging="360"/>
      </w:pPr>
      <w:rPr>
        <w:rFonts w:ascii="Symbol" w:hAnsi="Symbol" w:hint="default"/>
      </w:rPr>
    </w:lvl>
    <w:lvl w:ilvl="1" w:tplc="02F81D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50E537BF"/>
    <w:multiLevelType w:val="hybridMultilevel"/>
    <w:tmpl w:val="CEB2415E"/>
    <w:lvl w:ilvl="0" w:tplc="6A5476B2">
      <w:start w:val="1"/>
      <w:numFmt w:val="decimal"/>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nsid w:val="50F8741C"/>
    <w:multiLevelType w:val="hybridMultilevel"/>
    <w:tmpl w:val="4A40F74A"/>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nsid w:val="51224C0A"/>
    <w:multiLevelType w:val="hybridMultilevel"/>
    <w:tmpl w:val="D6B475A0"/>
    <w:lvl w:ilvl="0" w:tplc="B6B003C4">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9">
    <w:nsid w:val="52DE4C44"/>
    <w:multiLevelType w:val="hybridMultilevel"/>
    <w:tmpl w:val="1E6C8C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0">
    <w:nsid w:val="539A011A"/>
    <w:multiLevelType w:val="hybridMultilevel"/>
    <w:tmpl w:val="EBC6C9B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555D2B91"/>
    <w:multiLevelType w:val="hybridMultilevel"/>
    <w:tmpl w:val="976A2BD4"/>
    <w:lvl w:ilvl="0" w:tplc="080A000F">
      <w:start w:val="1"/>
      <w:numFmt w:val="decimal"/>
      <w:lvlText w:val="%1."/>
      <w:lvlJc w:val="left"/>
      <w:pPr>
        <w:ind w:left="-351" w:hanging="360"/>
      </w:pPr>
      <w:rPr>
        <w:rFonts w:hint="default"/>
      </w:r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132">
    <w:nsid w:val="55FA238E"/>
    <w:multiLevelType w:val="hybridMultilevel"/>
    <w:tmpl w:val="AEAC7422"/>
    <w:lvl w:ilvl="0" w:tplc="E654A1BE">
      <w:start w:val="1"/>
      <w:numFmt w:val="bullet"/>
      <w:lvlText w:val=""/>
      <w:lvlJc w:val="left"/>
      <w:pPr>
        <w:ind w:left="720" w:hanging="360"/>
      </w:pPr>
      <w:rPr>
        <w:rFonts w:ascii="Symbol" w:hAnsi="Symbol" w:hint="default"/>
      </w:rPr>
    </w:lvl>
    <w:lvl w:ilvl="1" w:tplc="BF943E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3">
    <w:nsid w:val="56025205"/>
    <w:multiLevelType w:val="hybridMultilevel"/>
    <w:tmpl w:val="A350A1C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56AA6D5F"/>
    <w:multiLevelType w:val="hybridMultilevel"/>
    <w:tmpl w:val="5E6A7092"/>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nsid w:val="56D15058"/>
    <w:multiLevelType w:val="hybridMultilevel"/>
    <w:tmpl w:val="062E60E2"/>
    <w:lvl w:ilvl="0" w:tplc="6A4ECC3A">
      <w:start w:val="1"/>
      <w:numFmt w:val="upperRoman"/>
      <w:lvlText w:val="%1."/>
      <w:lvlJc w:val="left"/>
      <w:pPr>
        <w:ind w:left="720" w:hanging="360"/>
      </w:pPr>
      <w:rPr>
        <w:rFonts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nsid w:val="57DC5B7F"/>
    <w:multiLevelType w:val="hybridMultilevel"/>
    <w:tmpl w:val="C28E572E"/>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nsid w:val="580924DD"/>
    <w:multiLevelType w:val="hybridMultilevel"/>
    <w:tmpl w:val="CBD07EA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5840490A"/>
    <w:multiLevelType w:val="hybridMultilevel"/>
    <w:tmpl w:val="39E6898E"/>
    <w:lvl w:ilvl="0" w:tplc="080A0017">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9">
    <w:nsid w:val="5A7D446E"/>
    <w:multiLevelType w:val="hybridMultilevel"/>
    <w:tmpl w:val="B1BCE87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0">
    <w:nsid w:val="5AED04B7"/>
    <w:multiLevelType w:val="hybridMultilevel"/>
    <w:tmpl w:val="0CFC9932"/>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5DDA4EE9"/>
    <w:multiLevelType w:val="hybridMultilevel"/>
    <w:tmpl w:val="0C406864"/>
    <w:lvl w:ilvl="0" w:tplc="7520DBFC">
      <w:start w:val="1"/>
      <w:numFmt w:val="bullet"/>
      <w:lvlText w:val="–"/>
      <w:lvlJc w:val="left"/>
      <w:pPr>
        <w:ind w:left="360" w:hanging="360"/>
      </w:pPr>
      <w:rPr>
        <w:rFonts w:ascii="Times New Roman" w:hAnsi="Times New Roman" w:cs="Times New Roman" w:hint="default"/>
        <w:sz w:val="24"/>
      </w:rPr>
    </w:lvl>
    <w:lvl w:ilvl="1" w:tplc="2A4AD092">
      <w:start w:val="1"/>
      <w:numFmt w:val="bullet"/>
      <w:lvlText w:val=""/>
      <w:lvlJc w:val="left"/>
      <w:pPr>
        <w:ind w:left="1080" w:hanging="360"/>
      </w:pPr>
      <w:rPr>
        <w:rFonts w:ascii="Symbol" w:eastAsia="Times New Roman" w:hAnsi="Symbol"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2">
    <w:nsid w:val="5E1214A8"/>
    <w:multiLevelType w:val="hybridMultilevel"/>
    <w:tmpl w:val="99721684"/>
    <w:lvl w:ilvl="0" w:tplc="551EB9D4">
      <w:start w:val="1"/>
      <w:numFmt w:val="decimal"/>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3">
    <w:nsid w:val="5E4F46A9"/>
    <w:multiLevelType w:val="hybridMultilevel"/>
    <w:tmpl w:val="E65029C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nsid w:val="5F1C7C60"/>
    <w:multiLevelType w:val="hybridMultilevel"/>
    <w:tmpl w:val="69009FF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5">
    <w:nsid w:val="5F9A5BAA"/>
    <w:multiLevelType w:val="hybridMultilevel"/>
    <w:tmpl w:val="ADC8677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nsid w:val="5FAF0E6E"/>
    <w:multiLevelType w:val="hybridMultilevel"/>
    <w:tmpl w:val="A9F0C9F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nsid w:val="5FF1687A"/>
    <w:multiLevelType w:val="hybridMultilevel"/>
    <w:tmpl w:val="B5065A88"/>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8">
    <w:nsid w:val="60A5676C"/>
    <w:multiLevelType w:val="hybridMultilevel"/>
    <w:tmpl w:val="F32C66D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9">
    <w:nsid w:val="60C531C7"/>
    <w:multiLevelType w:val="hybridMultilevel"/>
    <w:tmpl w:val="937443E0"/>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0">
    <w:nsid w:val="61C50542"/>
    <w:multiLevelType w:val="hybridMultilevel"/>
    <w:tmpl w:val="7592C65E"/>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1">
    <w:nsid w:val="623F6801"/>
    <w:multiLevelType w:val="hybridMultilevel"/>
    <w:tmpl w:val="525AC3C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nsid w:val="62B32F3C"/>
    <w:multiLevelType w:val="hybridMultilevel"/>
    <w:tmpl w:val="0AA4A240"/>
    <w:lvl w:ilvl="0" w:tplc="EA78A8BC">
      <w:start w:val="1"/>
      <w:numFmt w:val="lowerLetter"/>
      <w:lvlText w:val="%1)"/>
      <w:lvlJc w:val="left"/>
      <w:pPr>
        <w:ind w:left="6" w:hanging="360"/>
      </w:pPr>
      <w:rPr>
        <w:b w:val="0"/>
      </w:rPr>
    </w:lvl>
    <w:lvl w:ilvl="1" w:tplc="080A0019" w:tentative="1">
      <w:start w:val="1"/>
      <w:numFmt w:val="lowerLetter"/>
      <w:lvlText w:val="%2."/>
      <w:lvlJc w:val="left"/>
      <w:pPr>
        <w:ind w:left="726" w:hanging="360"/>
      </w:pPr>
    </w:lvl>
    <w:lvl w:ilvl="2" w:tplc="080A001B" w:tentative="1">
      <w:start w:val="1"/>
      <w:numFmt w:val="lowerRoman"/>
      <w:lvlText w:val="%3."/>
      <w:lvlJc w:val="right"/>
      <w:pPr>
        <w:ind w:left="1446" w:hanging="180"/>
      </w:pPr>
    </w:lvl>
    <w:lvl w:ilvl="3" w:tplc="080A000F" w:tentative="1">
      <w:start w:val="1"/>
      <w:numFmt w:val="decimal"/>
      <w:lvlText w:val="%4."/>
      <w:lvlJc w:val="left"/>
      <w:pPr>
        <w:ind w:left="2166" w:hanging="360"/>
      </w:pPr>
    </w:lvl>
    <w:lvl w:ilvl="4" w:tplc="080A0019" w:tentative="1">
      <w:start w:val="1"/>
      <w:numFmt w:val="lowerLetter"/>
      <w:lvlText w:val="%5."/>
      <w:lvlJc w:val="left"/>
      <w:pPr>
        <w:ind w:left="2886" w:hanging="360"/>
      </w:pPr>
    </w:lvl>
    <w:lvl w:ilvl="5" w:tplc="080A001B" w:tentative="1">
      <w:start w:val="1"/>
      <w:numFmt w:val="lowerRoman"/>
      <w:lvlText w:val="%6."/>
      <w:lvlJc w:val="right"/>
      <w:pPr>
        <w:ind w:left="3606" w:hanging="180"/>
      </w:pPr>
    </w:lvl>
    <w:lvl w:ilvl="6" w:tplc="080A000F" w:tentative="1">
      <w:start w:val="1"/>
      <w:numFmt w:val="decimal"/>
      <w:lvlText w:val="%7."/>
      <w:lvlJc w:val="left"/>
      <w:pPr>
        <w:ind w:left="4326" w:hanging="360"/>
      </w:pPr>
    </w:lvl>
    <w:lvl w:ilvl="7" w:tplc="080A0019" w:tentative="1">
      <w:start w:val="1"/>
      <w:numFmt w:val="lowerLetter"/>
      <w:lvlText w:val="%8."/>
      <w:lvlJc w:val="left"/>
      <w:pPr>
        <w:ind w:left="5046" w:hanging="360"/>
      </w:pPr>
    </w:lvl>
    <w:lvl w:ilvl="8" w:tplc="080A001B" w:tentative="1">
      <w:start w:val="1"/>
      <w:numFmt w:val="lowerRoman"/>
      <w:lvlText w:val="%9."/>
      <w:lvlJc w:val="right"/>
      <w:pPr>
        <w:ind w:left="5766" w:hanging="180"/>
      </w:pPr>
    </w:lvl>
  </w:abstractNum>
  <w:abstractNum w:abstractNumId="153">
    <w:nsid w:val="644737D1"/>
    <w:multiLevelType w:val="multilevel"/>
    <w:tmpl w:val="F3EE74E0"/>
    <w:lvl w:ilvl="0">
      <w:start w:val="1"/>
      <w:numFmt w:val="bullet"/>
      <w:lvlText w:val="–"/>
      <w:lvlJc w:val="left"/>
      <w:pPr>
        <w:tabs>
          <w:tab w:val="num" w:pos="360"/>
        </w:tabs>
        <w:ind w:left="360" w:hanging="360"/>
      </w:pPr>
      <w:rPr>
        <w:rFonts w:ascii="Vrinda" w:hAnsi="Vrinda"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4">
    <w:nsid w:val="647A7724"/>
    <w:multiLevelType w:val="hybridMultilevel"/>
    <w:tmpl w:val="CF0691D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5">
    <w:nsid w:val="657C1826"/>
    <w:multiLevelType w:val="hybridMultilevel"/>
    <w:tmpl w:val="C79AF1D8"/>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6">
    <w:nsid w:val="65A12B27"/>
    <w:multiLevelType w:val="hybridMultilevel"/>
    <w:tmpl w:val="483238A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7">
    <w:nsid w:val="662441DD"/>
    <w:multiLevelType w:val="hybridMultilevel"/>
    <w:tmpl w:val="E7287344"/>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8">
    <w:nsid w:val="66CE3A06"/>
    <w:multiLevelType w:val="hybridMultilevel"/>
    <w:tmpl w:val="80942BA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9">
    <w:nsid w:val="66D835FE"/>
    <w:multiLevelType w:val="hybridMultilevel"/>
    <w:tmpl w:val="41CC7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0">
    <w:nsid w:val="67A73DD8"/>
    <w:multiLevelType w:val="hybridMultilevel"/>
    <w:tmpl w:val="94528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nsid w:val="67AD3688"/>
    <w:multiLevelType w:val="hybridMultilevel"/>
    <w:tmpl w:val="3890351A"/>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2">
    <w:nsid w:val="68F67111"/>
    <w:multiLevelType w:val="hybridMultilevel"/>
    <w:tmpl w:val="E9DC487A"/>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3">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64">
    <w:nsid w:val="6BC40618"/>
    <w:multiLevelType w:val="hybridMultilevel"/>
    <w:tmpl w:val="DE2CBC1E"/>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5">
    <w:nsid w:val="6BD476F3"/>
    <w:multiLevelType w:val="multilevel"/>
    <w:tmpl w:val="4D08C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6C6D5AB4"/>
    <w:multiLevelType w:val="hybridMultilevel"/>
    <w:tmpl w:val="BA5C0230"/>
    <w:lvl w:ilvl="0" w:tplc="9FB2E6D8">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7">
    <w:nsid w:val="6C956331"/>
    <w:multiLevelType w:val="hybridMultilevel"/>
    <w:tmpl w:val="3C04E33E"/>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8">
    <w:nsid w:val="6CB36300"/>
    <w:multiLevelType w:val="hybridMultilevel"/>
    <w:tmpl w:val="377C135C"/>
    <w:lvl w:ilvl="0" w:tplc="288E1828">
      <w:start w:val="1"/>
      <w:numFmt w:val="upperRoman"/>
      <w:lvlText w:val="%1."/>
      <w:lvlJc w:val="righ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9">
    <w:nsid w:val="6D366E2A"/>
    <w:multiLevelType w:val="hybridMultilevel"/>
    <w:tmpl w:val="4532DD26"/>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0">
    <w:nsid w:val="6F3D4F0E"/>
    <w:multiLevelType w:val="hybridMultilevel"/>
    <w:tmpl w:val="0D804AB0"/>
    <w:lvl w:ilvl="0" w:tplc="A41C4156">
      <w:start w:val="1"/>
      <w:numFmt w:val="bullet"/>
      <w:lvlText w:val="–"/>
      <w:lvlJc w:val="left"/>
      <w:pPr>
        <w:ind w:left="814" w:hanging="360"/>
      </w:pPr>
      <w:rPr>
        <w:rFonts w:ascii="Vrinda" w:hAnsi="Vrinda" w:hint="default"/>
        <w:sz w:val="24"/>
      </w:rPr>
    </w:lvl>
    <w:lvl w:ilvl="1" w:tplc="080A0003" w:tentative="1">
      <w:start w:val="1"/>
      <w:numFmt w:val="bullet"/>
      <w:lvlText w:val="o"/>
      <w:lvlJc w:val="left"/>
      <w:pPr>
        <w:ind w:left="1246" w:hanging="360"/>
      </w:pPr>
      <w:rPr>
        <w:rFonts w:ascii="Courier New" w:hAnsi="Courier New" w:cs="Courier New" w:hint="default"/>
      </w:rPr>
    </w:lvl>
    <w:lvl w:ilvl="2" w:tplc="080A0005" w:tentative="1">
      <w:start w:val="1"/>
      <w:numFmt w:val="bullet"/>
      <w:lvlText w:val=""/>
      <w:lvlJc w:val="left"/>
      <w:pPr>
        <w:ind w:left="1966" w:hanging="360"/>
      </w:pPr>
      <w:rPr>
        <w:rFonts w:ascii="Wingdings" w:hAnsi="Wingdings" w:hint="default"/>
      </w:rPr>
    </w:lvl>
    <w:lvl w:ilvl="3" w:tplc="080A0001" w:tentative="1">
      <w:start w:val="1"/>
      <w:numFmt w:val="bullet"/>
      <w:lvlText w:val=""/>
      <w:lvlJc w:val="left"/>
      <w:pPr>
        <w:ind w:left="2686" w:hanging="360"/>
      </w:pPr>
      <w:rPr>
        <w:rFonts w:ascii="Symbol" w:hAnsi="Symbol" w:hint="default"/>
      </w:rPr>
    </w:lvl>
    <w:lvl w:ilvl="4" w:tplc="080A0003" w:tentative="1">
      <w:start w:val="1"/>
      <w:numFmt w:val="bullet"/>
      <w:lvlText w:val="o"/>
      <w:lvlJc w:val="left"/>
      <w:pPr>
        <w:ind w:left="3406" w:hanging="360"/>
      </w:pPr>
      <w:rPr>
        <w:rFonts w:ascii="Courier New" w:hAnsi="Courier New" w:cs="Courier New" w:hint="default"/>
      </w:rPr>
    </w:lvl>
    <w:lvl w:ilvl="5" w:tplc="080A0005" w:tentative="1">
      <w:start w:val="1"/>
      <w:numFmt w:val="bullet"/>
      <w:lvlText w:val=""/>
      <w:lvlJc w:val="left"/>
      <w:pPr>
        <w:ind w:left="4126" w:hanging="360"/>
      </w:pPr>
      <w:rPr>
        <w:rFonts w:ascii="Wingdings" w:hAnsi="Wingdings" w:hint="default"/>
      </w:rPr>
    </w:lvl>
    <w:lvl w:ilvl="6" w:tplc="080A0001" w:tentative="1">
      <w:start w:val="1"/>
      <w:numFmt w:val="bullet"/>
      <w:lvlText w:val=""/>
      <w:lvlJc w:val="left"/>
      <w:pPr>
        <w:ind w:left="4846" w:hanging="360"/>
      </w:pPr>
      <w:rPr>
        <w:rFonts w:ascii="Symbol" w:hAnsi="Symbol" w:hint="default"/>
      </w:rPr>
    </w:lvl>
    <w:lvl w:ilvl="7" w:tplc="080A0003" w:tentative="1">
      <w:start w:val="1"/>
      <w:numFmt w:val="bullet"/>
      <w:lvlText w:val="o"/>
      <w:lvlJc w:val="left"/>
      <w:pPr>
        <w:ind w:left="5566" w:hanging="360"/>
      </w:pPr>
      <w:rPr>
        <w:rFonts w:ascii="Courier New" w:hAnsi="Courier New" w:cs="Courier New" w:hint="default"/>
      </w:rPr>
    </w:lvl>
    <w:lvl w:ilvl="8" w:tplc="080A0005" w:tentative="1">
      <w:start w:val="1"/>
      <w:numFmt w:val="bullet"/>
      <w:lvlText w:val=""/>
      <w:lvlJc w:val="left"/>
      <w:pPr>
        <w:ind w:left="6286" w:hanging="360"/>
      </w:pPr>
      <w:rPr>
        <w:rFonts w:ascii="Wingdings" w:hAnsi="Wingdings" w:hint="default"/>
      </w:rPr>
    </w:lvl>
  </w:abstractNum>
  <w:abstractNum w:abstractNumId="171">
    <w:nsid w:val="7008290E"/>
    <w:multiLevelType w:val="hybridMultilevel"/>
    <w:tmpl w:val="768EC8AC"/>
    <w:lvl w:ilvl="0" w:tplc="7520DBFC">
      <w:start w:val="1"/>
      <w:numFmt w:val="bullet"/>
      <w:lvlText w:val="–"/>
      <w:lvlJc w:val="left"/>
      <w:pPr>
        <w:ind w:left="360" w:hanging="360"/>
      </w:pPr>
      <w:rPr>
        <w:rFonts w:ascii="Times New Roman" w:hAnsi="Times New Roman" w:cs="Times New Roman" w:hint="default"/>
        <w:sz w:val="24"/>
      </w:rPr>
    </w:lvl>
    <w:lvl w:ilvl="1" w:tplc="7520DBFC">
      <w:start w:val="1"/>
      <w:numFmt w:val="bullet"/>
      <w:lvlText w:val="–"/>
      <w:lvlJc w:val="left"/>
      <w:pPr>
        <w:ind w:left="1080" w:hanging="360"/>
      </w:pPr>
      <w:rPr>
        <w:rFonts w:ascii="Times New Roman" w:hAnsi="Times New Roman" w:cs="Times New Roman"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2">
    <w:nsid w:val="70A37F99"/>
    <w:multiLevelType w:val="hybridMultilevel"/>
    <w:tmpl w:val="2620F3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3">
    <w:nsid w:val="710356B7"/>
    <w:multiLevelType w:val="hybridMultilevel"/>
    <w:tmpl w:val="E084DD8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4">
    <w:nsid w:val="717741DF"/>
    <w:multiLevelType w:val="hybridMultilevel"/>
    <w:tmpl w:val="808290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5">
    <w:nsid w:val="71AD3C57"/>
    <w:multiLevelType w:val="hybridMultilevel"/>
    <w:tmpl w:val="17EC1F9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6">
    <w:nsid w:val="71CA3013"/>
    <w:multiLevelType w:val="hybridMultilevel"/>
    <w:tmpl w:val="55760B96"/>
    <w:lvl w:ilvl="0" w:tplc="5CB61D60">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nsid w:val="758B1D60"/>
    <w:multiLevelType w:val="hybridMultilevel"/>
    <w:tmpl w:val="240EB6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8">
    <w:nsid w:val="76766A3D"/>
    <w:multiLevelType w:val="hybridMultilevel"/>
    <w:tmpl w:val="04F0C60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nsid w:val="779F5309"/>
    <w:multiLevelType w:val="hybridMultilevel"/>
    <w:tmpl w:val="72685D52"/>
    <w:lvl w:ilvl="0" w:tplc="887CA48E">
      <w:start w:val="1"/>
      <w:numFmt w:val="decimal"/>
      <w:lvlText w:val="%1."/>
      <w:lvlJc w:val="left"/>
      <w:pPr>
        <w:ind w:left="644" w:hanging="360"/>
      </w:pPr>
      <w:rPr>
        <w:rFonts w:hint="default"/>
        <w:b w:val="0"/>
        <w:i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80">
    <w:nsid w:val="78D5620A"/>
    <w:multiLevelType w:val="hybridMultilevel"/>
    <w:tmpl w:val="E8209ED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1">
    <w:nsid w:val="794B756F"/>
    <w:multiLevelType w:val="hybridMultilevel"/>
    <w:tmpl w:val="9C4CA55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2">
    <w:nsid w:val="79807063"/>
    <w:multiLevelType w:val="hybridMultilevel"/>
    <w:tmpl w:val="6C4ACD8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3">
    <w:nsid w:val="7B030847"/>
    <w:multiLevelType w:val="hybridMultilevel"/>
    <w:tmpl w:val="87EE579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5">
    <w:nsid w:val="7CEC4DAF"/>
    <w:multiLevelType w:val="hybridMultilevel"/>
    <w:tmpl w:val="E564E0E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6">
    <w:nsid w:val="7DA91125"/>
    <w:multiLevelType w:val="hybridMultilevel"/>
    <w:tmpl w:val="82A09620"/>
    <w:lvl w:ilvl="0" w:tplc="E654A1BE">
      <w:start w:val="1"/>
      <w:numFmt w:val="bullet"/>
      <w:lvlText w:val=""/>
      <w:lvlJc w:val="left"/>
      <w:pPr>
        <w:ind w:left="720" w:hanging="360"/>
      </w:pPr>
      <w:rPr>
        <w:rFonts w:ascii="Symbol" w:hAnsi="Symbol" w:hint="default"/>
      </w:rPr>
    </w:lvl>
    <w:lvl w:ilvl="1" w:tplc="1FA8C36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7">
    <w:nsid w:val="7DF444EE"/>
    <w:multiLevelType w:val="hybridMultilevel"/>
    <w:tmpl w:val="47947598"/>
    <w:lvl w:ilvl="0" w:tplc="80187B4A">
      <w:start w:val="1"/>
      <w:numFmt w:val="decimal"/>
      <w:lvlText w:val="%1."/>
      <w:lvlJc w:val="left"/>
      <w:pPr>
        <w:ind w:left="720" w:hanging="360"/>
      </w:pPr>
      <w:rPr>
        <w:rFonts w:hint="default"/>
        <w:b/>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8">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9">
    <w:nsid w:val="7FCA372B"/>
    <w:multiLevelType w:val="hybridMultilevel"/>
    <w:tmpl w:val="42D208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0">
    <w:nsid w:val="7FEB3A3B"/>
    <w:multiLevelType w:val="hybridMultilevel"/>
    <w:tmpl w:val="4A42349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9"/>
  </w:num>
  <w:num w:numId="2">
    <w:abstractNumId w:val="3"/>
  </w:num>
  <w:num w:numId="3">
    <w:abstractNumId w:val="4"/>
  </w:num>
  <w:num w:numId="4">
    <w:abstractNumId w:val="2"/>
  </w:num>
  <w:num w:numId="5">
    <w:abstractNumId w:val="7"/>
  </w:num>
  <w:num w:numId="6">
    <w:abstractNumId w:val="163"/>
  </w:num>
  <w:num w:numId="7">
    <w:abstractNumId w:val="47"/>
  </w:num>
  <w:num w:numId="8">
    <w:abstractNumId w:val="1"/>
  </w:num>
  <w:num w:numId="9">
    <w:abstractNumId w:val="66"/>
  </w:num>
  <w:num w:numId="10">
    <w:abstractNumId w:val="123"/>
  </w:num>
  <w:num w:numId="11">
    <w:abstractNumId w:val="0"/>
  </w:num>
  <w:num w:numId="12">
    <w:abstractNumId w:val="105"/>
  </w:num>
  <w:num w:numId="13">
    <w:abstractNumId w:val="89"/>
  </w:num>
  <w:num w:numId="14">
    <w:abstractNumId w:val="184"/>
  </w:num>
  <w:num w:numId="15">
    <w:abstractNumId w:val="76"/>
  </w:num>
  <w:num w:numId="16">
    <w:abstractNumId w:val="19"/>
  </w:num>
  <w:num w:numId="17">
    <w:abstractNumId w:val="104"/>
  </w:num>
  <w:num w:numId="18">
    <w:abstractNumId w:val="32"/>
  </w:num>
  <w:num w:numId="19">
    <w:abstractNumId w:val="128"/>
  </w:num>
  <w:num w:numId="20">
    <w:abstractNumId w:val="176"/>
  </w:num>
  <w:num w:numId="21">
    <w:abstractNumId w:val="156"/>
  </w:num>
  <w:num w:numId="22">
    <w:abstractNumId w:val="97"/>
  </w:num>
  <w:num w:numId="23">
    <w:abstractNumId w:val="111"/>
  </w:num>
  <w:num w:numId="24">
    <w:abstractNumId w:val="173"/>
  </w:num>
  <w:num w:numId="25">
    <w:abstractNumId w:val="79"/>
  </w:num>
  <w:num w:numId="26">
    <w:abstractNumId w:val="35"/>
  </w:num>
  <w:num w:numId="27">
    <w:abstractNumId w:val="56"/>
  </w:num>
  <w:num w:numId="28">
    <w:abstractNumId w:val="15"/>
  </w:num>
  <w:num w:numId="29">
    <w:abstractNumId w:val="55"/>
  </w:num>
  <w:num w:numId="30">
    <w:abstractNumId w:val="67"/>
  </w:num>
  <w:num w:numId="31">
    <w:abstractNumId w:val="122"/>
  </w:num>
  <w:num w:numId="32">
    <w:abstractNumId w:val="82"/>
  </w:num>
  <w:num w:numId="33">
    <w:abstractNumId w:val="75"/>
  </w:num>
  <w:num w:numId="34">
    <w:abstractNumId w:val="96"/>
  </w:num>
  <w:num w:numId="35">
    <w:abstractNumId w:val="124"/>
  </w:num>
  <w:num w:numId="36">
    <w:abstractNumId w:val="110"/>
  </w:num>
  <w:num w:numId="37">
    <w:abstractNumId w:val="54"/>
  </w:num>
  <w:num w:numId="38">
    <w:abstractNumId w:val="94"/>
  </w:num>
  <w:num w:numId="39">
    <w:abstractNumId w:val="62"/>
  </w:num>
  <w:num w:numId="40">
    <w:abstractNumId w:val="139"/>
  </w:num>
  <w:num w:numId="41">
    <w:abstractNumId w:val="179"/>
  </w:num>
  <w:num w:numId="42">
    <w:abstractNumId w:val="71"/>
  </w:num>
  <w:num w:numId="43">
    <w:abstractNumId w:val="98"/>
  </w:num>
  <w:num w:numId="44">
    <w:abstractNumId w:val="186"/>
  </w:num>
  <w:num w:numId="45">
    <w:abstractNumId w:val="17"/>
  </w:num>
  <w:num w:numId="46">
    <w:abstractNumId w:val="5"/>
  </w:num>
  <w:num w:numId="47">
    <w:abstractNumId w:val="188"/>
  </w:num>
  <w:num w:numId="48">
    <w:abstractNumId w:val="14"/>
  </w:num>
  <w:num w:numId="49">
    <w:abstractNumId w:val="45"/>
  </w:num>
  <w:num w:numId="50">
    <w:abstractNumId w:val="138"/>
  </w:num>
  <w:num w:numId="51">
    <w:abstractNumId w:val="11"/>
  </w:num>
  <w:num w:numId="52">
    <w:abstractNumId w:val="16"/>
  </w:num>
  <w:num w:numId="53">
    <w:abstractNumId w:val="165"/>
  </w:num>
  <w:num w:numId="54">
    <w:abstractNumId w:val="51"/>
  </w:num>
  <w:num w:numId="55">
    <w:abstractNumId w:val="37"/>
  </w:num>
  <w:num w:numId="56">
    <w:abstractNumId w:val="129"/>
  </w:num>
  <w:num w:numId="57">
    <w:abstractNumId w:val="159"/>
  </w:num>
  <w:num w:numId="58">
    <w:abstractNumId w:val="125"/>
  </w:num>
  <w:num w:numId="59">
    <w:abstractNumId w:val="88"/>
  </w:num>
  <w:num w:numId="60">
    <w:abstractNumId w:val="36"/>
  </w:num>
  <w:num w:numId="61">
    <w:abstractNumId w:val="90"/>
  </w:num>
  <w:num w:numId="62">
    <w:abstractNumId w:val="169"/>
  </w:num>
  <w:num w:numId="63">
    <w:abstractNumId w:val="44"/>
  </w:num>
  <w:num w:numId="64">
    <w:abstractNumId w:val="30"/>
  </w:num>
  <w:num w:numId="65">
    <w:abstractNumId w:val="133"/>
  </w:num>
  <w:num w:numId="66">
    <w:abstractNumId w:val="170"/>
  </w:num>
  <w:num w:numId="67">
    <w:abstractNumId w:val="126"/>
  </w:num>
  <w:num w:numId="68">
    <w:abstractNumId w:val="25"/>
  </w:num>
  <w:num w:numId="69">
    <w:abstractNumId w:val="178"/>
  </w:num>
  <w:num w:numId="70">
    <w:abstractNumId w:val="91"/>
  </w:num>
  <w:num w:numId="71">
    <w:abstractNumId w:val="40"/>
  </w:num>
  <w:num w:numId="72">
    <w:abstractNumId w:val="150"/>
  </w:num>
  <w:num w:numId="73">
    <w:abstractNumId w:val="143"/>
  </w:num>
  <w:num w:numId="74">
    <w:abstractNumId w:val="151"/>
  </w:num>
  <w:num w:numId="75">
    <w:abstractNumId w:val="114"/>
  </w:num>
  <w:num w:numId="76">
    <w:abstractNumId w:val="166"/>
  </w:num>
  <w:num w:numId="77">
    <w:abstractNumId w:val="162"/>
  </w:num>
  <w:num w:numId="78">
    <w:abstractNumId w:val="103"/>
  </w:num>
  <w:num w:numId="79">
    <w:abstractNumId w:val="33"/>
  </w:num>
  <w:num w:numId="80">
    <w:abstractNumId w:val="108"/>
  </w:num>
  <w:num w:numId="81">
    <w:abstractNumId w:val="107"/>
  </w:num>
  <w:num w:numId="82">
    <w:abstractNumId w:val="46"/>
  </w:num>
  <w:num w:numId="83">
    <w:abstractNumId w:val="26"/>
  </w:num>
  <w:num w:numId="84">
    <w:abstractNumId w:val="189"/>
  </w:num>
  <w:num w:numId="85">
    <w:abstractNumId w:val="146"/>
  </w:num>
  <w:num w:numId="86">
    <w:abstractNumId w:val="154"/>
  </w:num>
  <w:num w:numId="87">
    <w:abstractNumId w:val="175"/>
  </w:num>
  <w:num w:numId="88">
    <w:abstractNumId w:val="59"/>
  </w:num>
  <w:num w:numId="89">
    <w:abstractNumId w:val="70"/>
  </w:num>
  <w:num w:numId="90">
    <w:abstractNumId w:val="68"/>
  </w:num>
  <w:num w:numId="91">
    <w:abstractNumId w:val="63"/>
  </w:num>
  <w:num w:numId="92">
    <w:abstractNumId w:val="116"/>
  </w:num>
  <w:num w:numId="93">
    <w:abstractNumId w:val="158"/>
  </w:num>
  <w:num w:numId="94">
    <w:abstractNumId w:val="34"/>
  </w:num>
  <w:num w:numId="95">
    <w:abstractNumId w:val="83"/>
  </w:num>
  <w:num w:numId="96">
    <w:abstractNumId w:val="92"/>
  </w:num>
  <w:num w:numId="97">
    <w:abstractNumId w:val="100"/>
  </w:num>
  <w:num w:numId="98">
    <w:abstractNumId w:val="132"/>
  </w:num>
  <w:num w:numId="99">
    <w:abstractNumId w:val="93"/>
  </w:num>
  <w:num w:numId="100">
    <w:abstractNumId w:val="140"/>
  </w:num>
  <w:num w:numId="101">
    <w:abstractNumId w:val="185"/>
  </w:num>
  <w:num w:numId="102">
    <w:abstractNumId w:val="168"/>
  </w:num>
  <w:num w:numId="103">
    <w:abstractNumId w:val="152"/>
  </w:num>
  <w:num w:numId="104">
    <w:abstractNumId w:val="81"/>
  </w:num>
  <w:num w:numId="105">
    <w:abstractNumId w:val="49"/>
  </w:num>
  <w:num w:numId="106">
    <w:abstractNumId w:val="8"/>
  </w:num>
  <w:num w:numId="107">
    <w:abstractNumId w:val="117"/>
  </w:num>
  <w:num w:numId="108">
    <w:abstractNumId w:val="172"/>
  </w:num>
  <w:num w:numId="109">
    <w:abstractNumId w:val="121"/>
  </w:num>
  <w:num w:numId="110">
    <w:abstractNumId w:val="106"/>
  </w:num>
  <w:num w:numId="111">
    <w:abstractNumId w:val="181"/>
  </w:num>
  <w:num w:numId="112">
    <w:abstractNumId w:val="23"/>
  </w:num>
  <w:num w:numId="113">
    <w:abstractNumId w:val="102"/>
  </w:num>
  <w:num w:numId="114">
    <w:abstractNumId w:val="69"/>
  </w:num>
  <w:num w:numId="115">
    <w:abstractNumId w:val="182"/>
  </w:num>
  <w:num w:numId="116">
    <w:abstractNumId w:val="41"/>
  </w:num>
  <w:num w:numId="117">
    <w:abstractNumId w:val="174"/>
  </w:num>
  <w:num w:numId="118">
    <w:abstractNumId w:val="72"/>
  </w:num>
  <w:num w:numId="119">
    <w:abstractNumId w:val="20"/>
  </w:num>
  <w:num w:numId="120">
    <w:abstractNumId w:val="9"/>
  </w:num>
  <w:num w:numId="121">
    <w:abstractNumId w:val="157"/>
  </w:num>
  <w:num w:numId="122">
    <w:abstractNumId w:val="153"/>
  </w:num>
  <w:num w:numId="123">
    <w:abstractNumId w:val="38"/>
  </w:num>
  <w:num w:numId="124">
    <w:abstractNumId w:val="53"/>
  </w:num>
  <w:num w:numId="125">
    <w:abstractNumId w:val="12"/>
  </w:num>
  <w:num w:numId="126">
    <w:abstractNumId w:val="73"/>
  </w:num>
  <w:num w:numId="127">
    <w:abstractNumId w:val="119"/>
  </w:num>
  <w:num w:numId="128">
    <w:abstractNumId w:val="27"/>
  </w:num>
  <w:num w:numId="129">
    <w:abstractNumId w:val="28"/>
  </w:num>
  <w:num w:numId="130">
    <w:abstractNumId w:val="144"/>
  </w:num>
  <w:num w:numId="131">
    <w:abstractNumId w:val="115"/>
  </w:num>
  <w:num w:numId="132">
    <w:abstractNumId w:val="99"/>
  </w:num>
  <w:num w:numId="133">
    <w:abstractNumId w:val="127"/>
  </w:num>
  <w:num w:numId="134">
    <w:abstractNumId w:val="136"/>
  </w:num>
  <w:num w:numId="135">
    <w:abstractNumId w:val="61"/>
  </w:num>
  <w:num w:numId="136">
    <w:abstractNumId w:val="87"/>
  </w:num>
  <w:num w:numId="137">
    <w:abstractNumId w:val="145"/>
  </w:num>
  <w:num w:numId="138">
    <w:abstractNumId w:val="64"/>
  </w:num>
  <w:num w:numId="139">
    <w:abstractNumId w:val="167"/>
  </w:num>
  <w:num w:numId="140">
    <w:abstractNumId w:val="50"/>
  </w:num>
  <w:num w:numId="141">
    <w:abstractNumId w:val="118"/>
  </w:num>
  <w:num w:numId="142">
    <w:abstractNumId w:val="74"/>
  </w:num>
  <w:num w:numId="143">
    <w:abstractNumId w:val="135"/>
  </w:num>
  <w:num w:numId="144">
    <w:abstractNumId w:val="131"/>
  </w:num>
  <w:num w:numId="145">
    <w:abstractNumId w:val="148"/>
  </w:num>
  <w:num w:numId="146">
    <w:abstractNumId w:val="80"/>
  </w:num>
  <w:num w:numId="147">
    <w:abstractNumId w:val="48"/>
  </w:num>
  <w:num w:numId="148">
    <w:abstractNumId w:val="43"/>
  </w:num>
  <w:num w:numId="149">
    <w:abstractNumId w:val="180"/>
  </w:num>
  <w:num w:numId="150">
    <w:abstractNumId w:val="95"/>
  </w:num>
  <w:num w:numId="151">
    <w:abstractNumId w:val="57"/>
  </w:num>
  <w:num w:numId="152">
    <w:abstractNumId w:val="137"/>
  </w:num>
  <w:num w:numId="153">
    <w:abstractNumId w:val="65"/>
  </w:num>
  <w:num w:numId="154">
    <w:abstractNumId w:val="183"/>
  </w:num>
  <w:num w:numId="155">
    <w:abstractNumId w:val="86"/>
  </w:num>
  <w:num w:numId="156">
    <w:abstractNumId w:val="160"/>
  </w:num>
  <w:num w:numId="157">
    <w:abstractNumId w:val="77"/>
  </w:num>
  <w:num w:numId="158">
    <w:abstractNumId w:val="113"/>
  </w:num>
  <w:num w:numId="159">
    <w:abstractNumId w:val="13"/>
  </w:num>
  <w:num w:numId="160">
    <w:abstractNumId w:val="164"/>
  </w:num>
  <w:num w:numId="161">
    <w:abstractNumId w:val="39"/>
  </w:num>
  <w:num w:numId="162">
    <w:abstractNumId w:val="52"/>
  </w:num>
  <w:num w:numId="163">
    <w:abstractNumId w:val="24"/>
  </w:num>
  <w:num w:numId="164">
    <w:abstractNumId w:val="120"/>
  </w:num>
  <w:num w:numId="165">
    <w:abstractNumId w:val="58"/>
  </w:num>
  <w:num w:numId="166">
    <w:abstractNumId w:val="177"/>
  </w:num>
  <w:num w:numId="167">
    <w:abstractNumId w:val="85"/>
  </w:num>
  <w:num w:numId="168">
    <w:abstractNumId w:val="130"/>
  </w:num>
  <w:num w:numId="169">
    <w:abstractNumId w:val="161"/>
  </w:num>
  <w:num w:numId="170">
    <w:abstractNumId w:val="22"/>
  </w:num>
  <w:num w:numId="171">
    <w:abstractNumId w:val="84"/>
  </w:num>
  <w:num w:numId="172">
    <w:abstractNumId w:val="101"/>
  </w:num>
  <w:num w:numId="173">
    <w:abstractNumId w:val="142"/>
  </w:num>
  <w:num w:numId="174">
    <w:abstractNumId w:val="109"/>
  </w:num>
  <w:num w:numId="175">
    <w:abstractNumId w:val="21"/>
  </w:num>
  <w:num w:numId="176">
    <w:abstractNumId w:val="18"/>
  </w:num>
  <w:num w:numId="177">
    <w:abstractNumId w:val="190"/>
  </w:num>
  <w:num w:numId="178">
    <w:abstractNumId w:val="60"/>
  </w:num>
  <w:num w:numId="179">
    <w:abstractNumId w:val="31"/>
  </w:num>
  <w:num w:numId="180">
    <w:abstractNumId w:val="10"/>
  </w:num>
  <w:num w:numId="181">
    <w:abstractNumId w:val="147"/>
  </w:num>
  <w:num w:numId="182">
    <w:abstractNumId w:val="78"/>
  </w:num>
  <w:num w:numId="183">
    <w:abstractNumId w:val="112"/>
  </w:num>
  <w:num w:numId="184">
    <w:abstractNumId w:val="141"/>
  </w:num>
  <w:num w:numId="185">
    <w:abstractNumId w:val="187"/>
  </w:num>
  <w:num w:numId="186">
    <w:abstractNumId w:val="6"/>
  </w:num>
  <w:num w:numId="187">
    <w:abstractNumId w:val="171"/>
  </w:num>
  <w:num w:numId="188">
    <w:abstractNumId w:val="42"/>
  </w:num>
  <w:num w:numId="189">
    <w:abstractNumId w:val="134"/>
  </w:num>
  <w:num w:numId="190">
    <w:abstractNumId w:val="155"/>
  </w:num>
  <w:num w:numId="191">
    <w:abstractNumId w:val="149"/>
  </w:num>
  <w:numIdMacAtCleanup w:val="1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displayBackgroundShape/>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70"/>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3EA8"/>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242"/>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A7"/>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74"/>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E7F"/>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13"/>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9F"/>
    <w:rsid w:val="000522BB"/>
    <w:rsid w:val="000524D8"/>
    <w:rsid w:val="00052581"/>
    <w:rsid w:val="000525FB"/>
    <w:rsid w:val="00052604"/>
    <w:rsid w:val="00052658"/>
    <w:rsid w:val="00052757"/>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831"/>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C7"/>
    <w:rsid w:val="000636EF"/>
    <w:rsid w:val="00063722"/>
    <w:rsid w:val="00063733"/>
    <w:rsid w:val="00063883"/>
    <w:rsid w:val="00063952"/>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07"/>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B44"/>
    <w:rsid w:val="00086C28"/>
    <w:rsid w:val="00086C6F"/>
    <w:rsid w:val="00086E88"/>
    <w:rsid w:val="000870DB"/>
    <w:rsid w:val="00087162"/>
    <w:rsid w:val="00087273"/>
    <w:rsid w:val="00087394"/>
    <w:rsid w:val="00087449"/>
    <w:rsid w:val="00087469"/>
    <w:rsid w:val="0008747C"/>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CC"/>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70"/>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4F"/>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0DF"/>
    <w:rsid w:val="000A4123"/>
    <w:rsid w:val="000A4187"/>
    <w:rsid w:val="000A4198"/>
    <w:rsid w:val="000A41F7"/>
    <w:rsid w:val="000A4330"/>
    <w:rsid w:val="000A436C"/>
    <w:rsid w:val="000A4432"/>
    <w:rsid w:val="000A4481"/>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4DB"/>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C0"/>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42"/>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7AC"/>
    <w:rsid w:val="000D29B2"/>
    <w:rsid w:val="000D2AE9"/>
    <w:rsid w:val="000D2B18"/>
    <w:rsid w:val="000D2B2D"/>
    <w:rsid w:val="000D2B64"/>
    <w:rsid w:val="000D2B70"/>
    <w:rsid w:val="000D2BFE"/>
    <w:rsid w:val="000D2DCA"/>
    <w:rsid w:val="000D2DFD"/>
    <w:rsid w:val="000D2E22"/>
    <w:rsid w:val="000D2E90"/>
    <w:rsid w:val="000D2FBD"/>
    <w:rsid w:val="000D3174"/>
    <w:rsid w:val="000D31C7"/>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5C"/>
    <w:rsid w:val="000D729A"/>
    <w:rsid w:val="000D73D2"/>
    <w:rsid w:val="000D7465"/>
    <w:rsid w:val="000D7505"/>
    <w:rsid w:val="000D7506"/>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3E1"/>
    <w:rsid w:val="000F171F"/>
    <w:rsid w:val="000F1761"/>
    <w:rsid w:val="000F178A"/>
    <w:rsid w:val="000F18F8"/>
    <w:rsid w:val="000F1901"/>
    <w:rsid w:val="000F1990"/>
    <w:rsid w:val="000F1A36"/>
    <w:rsid w:val="000F1A88"/>
    <w:rsid w:val="000F1B2F"/>
    <w:rsid w:val="000F1C67"/>
    <w:rsid w:val="000F1CC5"/>
    <w:rsid w:val="000F1D74"/>
    <w:rsid w:val="000F1DBB"/>
    <w:rsid w:val="000F1F8E"/>
    <w:rsid w:val="000F205E"/>
    <w:rsid w:val="000F2074"/>
    <w:rsid w:val="000F20BC"/>
    <w:rsid w:val="000F20F6"/>
    <w:rsid w:val="000F2207"/>
    <w:rsid w:val="000F2239"/>
    <w:rsid w:val="000F2395"/>
    <w:rsid w:val="000F24E2"/>
    <w:rsid w:val="000F2660"/>
    <w:rsid w:val="000F26D7"/>
    <w:rsid w:val="000F279A"/>
    <w:rsid w:val="000F27BE"/>
    <w:rsid w:val="000F293F"/>
    <w:rsid w:val="000F294F"/>
    <w:rsid w:val="000F2987"/>
    <w:rsid w:val="000F29B5"/>
    <w:rsid w:val="000F2ACC"/>
    <w:rsid w:val="000F2B31"/>
    <w:rsid w:val="000F2BAE"/>
    <w:rsid w:val="000F2C3E"/>
    <w:rsid w:val="000F2CB7"/>
    <w:rsid w:val="000F2CB9"/>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BE2"/>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22"/>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4B"/>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31"/>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15"/>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A0"/>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6B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671"/>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DE"/>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EC0"/>
    <w:rsid w:val="00142F76"/>
    <w:rsid w:val="00142F8D"/>
    <w:rsid w:val="00143043"/>
    <w:rsid w:val="0014318F"/>
    <w:rsid w:val="00143213"/>
    <w:rsid w:val="00143341"/>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87C"/>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9A0"/>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1C8"/>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97D"/>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1"/>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472"/>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4FEE"/>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A9B"/>
    <w:rsid w:val="00177B1A"/>
    <w:rsid w:val="00177D06"/>
    <w:rsid w:val="00177D31"/>
    <w:rsid w:val="00177EB9"/>
    <w:rsid w:val="00177FC5"/>
    <w:rsid w:val="00180006"/>
    <w:rsid w:val="0018001A"/>
    <w:rsid w:val="00180085"/>
    <w:rsid w:val="001800E9"/>
    <w:rsid w:val="0018011E"/>
    <w:rsid w:val="00180143"/>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24"/>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0D"/>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2F6F"/>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72C"/>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49"/>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CD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399"/>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6E4"/>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27C"/>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10"/>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15"/>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328"/>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0F"/>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19"/>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3A3"/>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9CA"/>
    <w:rsid w:val="001E7A77"/>
    <w:rsid w:val="001E7C47"/>
    <w:rsid w:val="001E7CBA"/>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6A"/>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A31"/>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11"/>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9F0"/>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BA3"/>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55B"/>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74"/>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6DB"/>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846"/>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B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D0E"/>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1"/>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DEA"/>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BC4"/>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A0"/>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9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46"/>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40"/>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0C3"/>
    <w:rsid w:val="00295136"/>
    <w:rsid w:val="002951E4"/>
    <w:rsid w:val="002951EB"/>
    <w:rsid w:val="00295273"/>
    <w:rsid w:val="002952D4"/>
    <w:rsid w:val="002953A5"/>
    <w:rsid w:val="002953B4"/>
    <w:rsid w:val="00295486"/>
    <w:rsid w:val="0029558A"/>
    <w:rsid w:val="002955C9"/>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C1"/>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BE"/>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82"/>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4F"/>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CF5"/>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69"/>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DE2"/>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69"/>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E9E"/>
    <w:rsid w:val="002D1FE0"/>
    <w:rsid w:val="002D212B"/>
    <w:rsid w:val="002D2140"/>
    <w:rsid w:val="002D227C"/>
    <w:rsid w:val="002D2405"/>
    <w:rsid w:val="002D24B8"/>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5A7"/>
    <w:rsid w:val="002D36D4"/>
    <w:rsid w:val="002D374F"/>
    <w:rsid w:val="002D3902"/>
    <w:rsid w:val="002D3A70"/>
    <w:rsid w:val="002D3CFB"/>
    <w:rsid w:val="002D3DD9"/>
    <w:rsid w:val="002D408B"/>
    <w:rsid w:val="002D40B1"/>
    <w:rsid w:val="002D411F"/>
    <w:rsid w:val="002D413B"/>
    <w:rsid w:val="002D42B3"/>
    <w:rsid w:val="002D432B"/>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E5"/>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DA9"/>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A66"/>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74"/>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48F"/>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E84"/>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BA"/>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3F3"/>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61"/>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A44"/>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00"/>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8FA"/>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6FE"/>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DC0"/>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8F4"/>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6A9"/>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50"/>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3"/>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4E"/>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00"/>
    <w:rsid w:val="0037208F"/>
    <w:rsid w:val="0037210F"/>
    <w:rsid w:val="00372137"/>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0D"/>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BF"/>
    <w:rsid w:val="00380EDB"/>
    <w:rsid w:val="00380F59"/>
    <w:rsid w:val="00380FA5"/>
    <w:rsid w:val="003810B3"/>
    <w:rsid w:val="003810ED"/>
    <w:rsid w:val="00381267"/>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ED7"/>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193"/>
    <w:rsid w:val="00383245"/>
    <w:rsid w:val="0038327F"/>
    <w:rsid w:val="003832FD"/>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B6"/>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5FC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47"/>
    <w:rsid w:val="003970FD"/>
    <w:rsid w:val="00397152"/>
    <w:rsid w:val="003972BE"/>
    <w:rsid w:val="003972E1"/>
    <w:rsid w:val="00397343"/>
    <w:rsid w:val="003973D5"/>
    <w:rsid w:val="003974D8"/>
    <w:rsid w:val="00397583"/>
    <w:rsid w:val="0039761A"/>
    <w:rsid w:val="0039765E"/>
    <w:rsid w:val="0039768F"/>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38"/>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39"/>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A11"/>
    <w:rsid w:val="003A7C3B"/>
    <w:rsid w:val="003A7C40"/>
    <w:rsid w:val="003A7D0F"/>
    <w:rsid w:val="003A7DE5"/>
    <w:rsid w:val="003A7E47"/>
    <w:rsid w:val="003A7E92"/>
    <w:rsid w:val="003A7F21"/>
    <w:rsid w:val="003B00E6"/>
    <w:rsid w:val="003B0167"/>
    <w:rsid w:val="003B0202"/>
    <w:rsid w:val="003B0343"/>
    <w:rsid w:val="003B0485"/>
    <w:rsid w:val="003B0527"/>
    <w:rsid w:val="003B0529"/>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7DE"/>
    <w:rsid w:val="003B27F8"/>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C68"/>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71"/>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35"/>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BB"/>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6F"/>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54C"/>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13D"/>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0FB"/>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3CC"/>
    <w:rsid w:val="003F3402"/>
    <w:rsid w:val="003F3446"/>
    <w:rsid w:val="003F3502"/>
    <w:rsid w:val="003F35D2"/>
    <w:rsid w:val="003F3633"/>
    <w:rsid w:val="003F369B"/>
    <w:rsid w:val="003F36E4"/>
    <w:rsid w:val="003F37B4"/>
    <w:rsid w:val="003F37B9"/>
    <w:rsid w:val="003F37D9"/>
    <w:rsid w:val="003F3984"/>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18"/>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D93"/>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2C"/>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098"/>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BE6"/>
    <w:rsid w:val="00407C76"/>
    <w:rsid w:val="00407CE5"/>
    <w:rsid w:val="00407E0E"/>
    <w:rsid w:val="00407E64"/>
    <w:rsid w:val="00407F02"/>
    <w:rsid w:val="00407F66"/>
    <w:rsid w:val="00407F6F"/>
    <w:rsid w:val="00407FFD"/>
    <w:rsid w:val="0041007B"/>
    <w:rsid w:val="00410085"/>
    <w:rsid w:val="0041030D"/>
    <w:rsid w:val="0041034A"/>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34"/>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5B"/>
    <w:rsid w:val="00423DD9"/>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5"/>
    <w:rsid w:val="004257D7"/>
    <w:rsid w:val="004258B1"/>
    <w:rsid w:val="00425923"/>
    <w:rsid w:val="00425926"/>
    <w:rsid w:val="00425944"/>
    <w:rsid w:val="004259D3"/>
    <w:rsid w:val="004259E5"/>
    <w:rsid w:val="00425A3B"/>
    <w:rsid w:val="00425D1C"/>
    <w:rsid w:val="00425D29"/>
    <w:rsid w:val="00425D61"/>
    <w:rsid w:val="00425D6F"/>
    <w:rsid w:val="00425E2C"/>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2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7CD"/>
    <w:rsid w:val="00433909"/>
    <w:rsid w:val="0043396C"/>
    <w:rsid w:val="0043398B"/>
    <w:rsid w:val="004339D6"/>
    <w:rsid w:val="00433A46"/>
    <w:rsid w:val="00433B73"/>
    <w:rsid w:val="00433C5A"/>
    <w:rsid w:val="00433D6F"/>
    <w:rsid w:val="00433DD6"/>
    <w:rsid w:val="00433ECE"/>
    <w:rsid w:val="00433F05"/>
    <w:rsid w:val="00433F10"/>
    <w:rsid w:val="00433F15"/>
    <w:rsid w:val="00434046"/>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049"/>
    <w:rsid w:val="00435105"/>
    <w:rsid w:val="00435160"/>
    <w:rsid w:val="0043523F"/>
    <w:rsid w:val="00435243"/>
    <w:rsid w:val="004353B8"/>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09E"/>
    <w:rsid w:val="0043715C"/>
    <w:rsid w:val="004371EF"/>
    <w:rsid w:val="00437280"/>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228"/>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1F7"/>
    <w:rsid w:val="00447301"/>
    <w:rsid w:val="0044733C"/>
    <w:rsid w:val="00447456"/>
    <w:rsid w:val="004474C0"/>
    <w:rsid w:val="00447555"/>
    <w:rsid w:val="004475AF"/>
    <w:rsid w:val="00447611"/>
    <w:rsid w:val="00447658"/>
    <w:rsid w:val="0044767F"/>
    <w:rsid w:val="004476B2"/>
    <w:rsid w:val="004476C7"/>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A7"/>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154"/>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92"/>
    <w:rsid w:val="004643B5"/>
    <w:rsid w:val="004644FB"/>
    <w:rsid w:val="004645AA"/>
    <w:rsid w:val="00464620"/>
    <w:rsid w:val="0046463D"/>
    <w:rsid w:val="00464661"/>
    <w:rsid w:val="0046475D"/>
    <w:rsid w:val="004647B9"/>
    <w:rsid w:val="004647D9"/>
    <w:rsid w:val="0046485B"/>
    <w:rsid w:val="0046488C"/>
    <w:rsid w:val="00464908"/>
    <w:rsid w:val="00464924"/>
    <w:rsid w:val="00464937"/>
    <w:rsid w:val="004649BA"/>
    <w:rsid w:val="00464A73"/>
    <w:rsid w:val="00464A99"/>
    <w:rsid w:val="00464B19"/>
    <w:rsid w:val="00464B48"/>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489"/>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0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65"/>
    <w:rsid w:val="004726B9"/>
    <w:rsid w:val="00472709"/>
    <w:rsid w:val="004727C5"/>
    <w:rsid w:val="004727D3"/>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6FC9"/>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B8C"/>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A17"/>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95"/>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9F"/>
    <w:rsid w:val="004B19B6"/>
    <w:rsid w:val="004B19FB"/>
    <w:rsid w:val="004B1A75"/>
    <w:rsid w:val="004B1BB1"/>
    <w:rsid w:val="004B1BE8"/>
    <w:rsid w:val="004B1D46"/>
    <w:rsid w:val="004B1DEC"/>
    <w:rsid w:val="004B1E06"/>
    <w:rsid w:val="004B1E2A"/>
    <w:rsid w:val="004B1EC5"/>
    <w:rsid w:val="004B1F5E"/>
    <w:rsid w:val="004B1F7C"/>
    <w:rsid w:val="004B1FEA"/>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88"/>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861"/>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7F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3FE5"/>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C9B"/>
    <w:rsid w:val="004E3D07"/>
    <w:rsid w:val="004E3D52"/>
    <w:rsid w:val="004E3DBB"/>
    <w:rsid w:val="004E3DEF"/>
    <w:rsid w:val="004E3EE8"/>
    <w:rsid w:val="004E3F0E"/>
    <w:rsid w:val="004E3F23"/>
    <w:rsid w:val="004E3FC5"/>
    <w:rsid w:val="004E4049"/>
    <w:rsid w:val="004E415B"/>
    <w:rsid w:val="004E42E3"/>
    <w:rsid w:val="004E42E5"/>
    <w:rsid w:val="004E431C"/>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B"/>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61"/>
    <w:rsid w:val="004F14DA"/>
    <w:rsid w:val="004F15B1"/>
    <w:rsid w:val="004F15BD"/>
    <w:rsid w:val="004F160C"/>
    <w:rsid w:val="004F16A8"/>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D91"/>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CE3"/>
    <w:rsid w:val="004F4DA3"/>
    <w:rsid w:val="004F4E1C"/>
    <w:rsid w:val="004F4E36"/>
    <w:rsid w:val="004F4ECC"/>
    <w:rsid w:val="004F5052"/>
    <w:rsid w:val="004F5249"/>
    <w:rsid w:val="004F5402"/>
    <w:rsid w:val="004F541C"/>
    <w:rsid w:val="004F5462"/>
    <w:rsid w:val="004F5517"/>
    <w:rsid w:val="004F55ED"/>
    <w:rsid w:val="004F5628"/>
    <w:rsid w:val="004F5676"/>
    <w:rsid w:val="004F5993"/>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0F"/>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D1"/>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D"/>
    <w:rsid w:val="00503850"/>
    <w:rsid w:val="0050390D"/>
    <w:rsid w:val="00503A0B"/>
    <w:rsid w:val="00503A13"/>
    <w:rsid w:val="00503AFC"/>
    <w:rsid w:val="00503B15"/>
    <w:rsid w:val="00503D06"/>
    <w:rsid w:val="00503D1C"/>
    <w:rsid w:val="00503D45"/>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1B6"/>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62"/>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3D"/>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90"/>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2F10"/>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73"/>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63"/>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E41"/>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26"/>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DA1"/>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0F"/>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9DE"/>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07"/>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386"/>
    <w:rsid w:val="00570425"/>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778"/>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054"/>
    <w:rsid w:val="00586176"/>
    <w:rsid w:val="0058624B"/>
    <w:rsid w:val="005862A8"/>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CA6"/>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5D"/>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60"/>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5FE8"/>
    <w:rsid w:val="005C6074"/>
    <w:rsid w:val="005C60AE"/>
    <w:rsid w:val="005C60CD"/>
    <w:rsid w:val="005C61A5"/>
    <w:rsid w:val="005C61BA"/>
    <w:rsid w:val="005C626D"/>
    <w:rsid w:val="005C626E"/>
    <w:rsid w:val="005C635F"/>
    <w:rsid w:val="005C6412"/>
    <w:rsid w:val="005C65B7"/>
    <w:rsid w:val="005C679A"/>
    <w:rsid w:val="005C687E"/>
    <w:rsid w:val="005C6895"/>
    <w:rsid w:val="005C693D"/>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526"/>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9A"/>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956"/>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3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2D"/>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2DB"/>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6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1D"/>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3E"/>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43"/>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3"/>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BF"/>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7E"/>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80C"/>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0CD"/>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BF5"/>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19C"/>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2B7"/>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E36"/>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7F"/>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298"/>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33"/>
    <w:rsid w:val="00651355"/>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BE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77"/>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2D"/>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2B9F"/>
    <w:rsid w:val="00682E66"/>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08"/>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40"/>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73F"/>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54D"/>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36"/>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69"/>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0"/>
    <w:rsid w:val="006D49E5"/>
    <w:rsid w:val="006D49FB"/>
    <w:rsid w:val="006D4AB1"/>
    <w:rsid w:val="006D4AD7"/>
    <w:rsid w:val="006D4B13"/>
    <w:rsid w:val="006D4B4F"/>
    <w:rsid w:val="006D4E6E"/>
    <w:rsid w:val="006D4E7B"/>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486"/>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582"/>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C76"/>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95E"/>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0E0"/>
    <w:rsid w:val="00716159"/>
    <w:rsid w:val="0071624D"/>
    <w:rsid w:val="0071641D"/>
    <w:rsid w:val="00716598"/>
    <w:rsid w:val="00716625"/>
    <w:rsid w:val="0071663A"/>
    <w:rsid w:val="00716678"/>
    <w:rsid w:val="00716684"/>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47"/>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EF3"/>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5C"/>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ED3"/>
    <w:rsid w:val="00732F87"/>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0A"/>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0D5"/>
    <w:rsid w:val="0074425C"/>
    <w:rsid w:val="00744275"/>
    <w:rsid w:val="007443C9"/>
    <w:rsid w:val="007443E2"/>
    <w:rsid w:val="007444AC"/>
    <w:rsid w:val="007444BE"/>
    <w:rsid w:val="007444C9"/>
    <w:rsid w:val="00744620"/>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CAE"/>
    <w:rsid w:val="00761D12"/>
    <w:rsid w:val="00761DBA"/>
    <w:rsid w:val="00761F1C"/>
    <w:rsid w:val="00761F73"/>
    <w:rsid w:val="00761F77"/>
    <w:rsid w:val="00761FC3"/>
    <w:rsid w:val="00761FF3"/>
    <w:rsid w:val="00762077"/>
    <w:rsid w:val="00762132"/>
    <w:rsid w:val="007621AB"/>
    <w:rsid w:val="00762350"/>
    <w:rsid w:val="00762467"/>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D6"/>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3F5"/>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7"/>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6B"/>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44"/>
    <w:rsid w:val="00780E92"/>
    <w:rsid w:val="00780EB6"/>
    <w:rsid w:val="007810CA"/>
    <w:rsid w:val="007810E3"/>
    <w:rsid w:val="007811C2"/>
    <w:rsid w:val="007811F9"/>
    <w:rsid w:val="0078123D"/>
    <w:rsid w:val="0078124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4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6AF"/>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17"/>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BF"/>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86D"/>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3D"/>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685"/>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59"/>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B2"/>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97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5DD"/>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4E57"/>
    <w:rsid w:val="007E50A3"/>
    <w:rsid w:val="007E50C9"/>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1E5"/>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2EDE"/>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4C"/>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03"/>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B7"/>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27"/>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77C"/>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904"/>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CC0"/>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95"/>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078"/>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99B"/>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3F"/>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EAA"/>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848"/>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DB"/>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2A"/>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AD3"/>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6B8"/>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32"/>
    <w:rsid w:val="00874566"/>
    <w:rsid w:val="0087465F"/>
    <w:rsid w:val="00874690"/>
    <w:rsid w:val="008746AF"/>
    <w:rsid w:val="008746EF"/>
    <w:rsid w:val="008748EC"/>
    <w:rsid w:val="00874955"/>
    <w:rsid w:val="008749C7"/>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DDF"/>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59A"/>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B3"/>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58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4D5"/>
    <w:rsid w:val="00892536"/>
    <w:rsid w:val="0089277D"/>
    <w:rsid w:val="0089280B"/>
    <w:rsid w:val="0089282B"/>
    <w:rsid w:val="00892A2A"/>
    <w:rsid w:val="00892B93"/>
    <w:rsid w:val="00892BA2"/>
    <w:rsid w:val="00892C11"/>
    <w:rsid w:val="00892DE6"/>
    <w:rsid w:val="00892E50"/>
    <w:rsid w:val="00892EBE"/>
    <w:rsid w:val="00892FE5"/>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E6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DF"/>
    <w:rsid w:val="008A4BFB"/>
    <w:rsid w:val="008A4DB9"/>
    <w:rsid w:val="008A4E29"/>
    <w:rsid w:val="008A4EB5"/>
    <w:rsid w:val="008A4FC9"/>
    <w:rsid w:val="008A510A"/>
    <w:rsid w:val="008A51AF"/>
    <w:rsid w:val="008A528F"/>
    <w:rsid w:val="008A52C2"/>
    <w:rsid w:val="008A5306"/>
    <w:rsid w:val="008A5413"/>
    <w:rsid w:val="008A557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BDE"/>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DA6"/>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2D"/>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CAD"/>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8ED"/>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57C"/>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5EEA"/>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1FF"/>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69"/>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5FED"/>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DB3"/>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563"/>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5E8"/>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98"/>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08F"/>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69"/>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C51"/>
    <w:rsid w:val="00914E1E"/>
    <w:rsid w:val="00914E7F"/>
    <w:rsid w:val="00914EAC"/>
    <w:rsid w:val="00914EBE"/>
    <w:rsid w:val="00914F07"/>
    <w:rsid w:val="00915016"/>
    <w:rsid w:val="00915027"/>
    <w:rsid w:val="00915051"/>
    <w:rsid w:val="009150E7"/>
    <w:rsid w:val="0091520B"/>
    <w:rsid w:val="00915212"/>
    <w:rsid w:val="00915284"/>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CA"/>
    <w:rsid w:val="0091786B"/>
    <w:rsid w:val="00917887"/>
    <w:rsid w:val="0091792E"/>
    <w:rsid w:val="00917976"/>
    <w:rsid w:val="00917A53"/>
    <w:rsid w:val="00917AC5"/>
    <w:rsid w:val="00917B26"/>
    <w:rsid w:val="00917B87"/>
    <w:rsid w:val="00917BFA"/>
    <w:rsid w:val="00917C07"/>
    <w:rsid w:val="00917C11"/>
    <w:rsid w:val="00917C1A"/>
    <w:rsid w:val="00917C4A"/>
    <w:rsid w:val="00917D6D"/>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60"/>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4E"/>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957"/>
    <w:rsid w:val="00946B3C"/>
    <w:rsid w:val="00946C25"/>
    <w:rsid w:val="00946CA8"/>
    <w:rsid w:val="00946D40"/>
    <w:rsid w:val="00946D8D"/>
    <w:rsid w:val="00946F91"/>
    <w:rsid w:val="00946FDC"/>
    <w:rsid w:val="00947140"/>
    <w:rsid w:val="00947155"/>
    <w:rsid w:val="009471F9"/>
    <w:rsid w:val="00947450"/>
    <w:rsid w:val="00947466"/>
    <w:rsid w:val="00947467"/>
    <w:rsid w:val="00947595"/>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0BA"/>
    <w:rsid w:val="009541E5"/>
    <w:rsid w:val="00954315"/>
    <w:rsid w:val="009543B0"/>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31"/>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4DA"/>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7D"/>
    <w:rsid w:val="00964DE5"/>
    <w:rsid w:val="00964E30"/>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74C"/>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55"/>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0F"/>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74"/>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27"/>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0F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BD9"/>
    <w:rsid w:val="00996E07"/>
    <w:rsid w:val="00996F8A"/>
    <w:rsid w:val="00996FB2"/>
    <w:rsid w:val="00996FE0"/>
    <w:rsid w:val="00997054"/>
    <w:rsid w:val="00997062"/>
    <w:rsid w:val="00997154"/>
    <w:rsid w:val="0099726E"/>
    <w:rsid w:val="0099740E"/>
    <w:rsid w:val="009974ED"/>
    <w:rsid w:val="00997567"/>
    <w:rsid w:val="0099761D"/>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0B"/>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33"/>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CF2"/>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C5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18"/>
    <w:rsid w:val="009B787E"/>
    <w:rsid w:val="009B794D"/>
    <w:rsid w:val="009B794E"/>
    <w:rsid w:val="009B7976"/>
    <w:rsid w:val="009B79F1"/>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01"/>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217"/>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8D6"/>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4"/>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36"/>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77"/>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B3"/>
    <w:rsid w:val="009F75E2"/>
    <w:rsid w:val="009F763C"/>
    <w:rsid w:val="009F7682"/>
    <w:rsid w:val="009F76C5"/>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0F2B"/>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4"/>
    <w:rsid w:val="00A1008C"/>
    <w:rsid w:val="00A100B5"/>
    <w:rsid w:val="00A101E6"/>
    <w:rsid w:val="00A10225"/>
    <w:rsid w:val="00A10276"/>
    <w:rsid w:val="00A10293"/>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DEE"/>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0C3"/>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665"/>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71A"/>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2F"/>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7A8"/>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8"/>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76D"/>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5F"/>
    <w:rsid w:val="00A511B6"/>
    <w:rsid w:val="00A511C0"/>
    <w:rsid w:val="00A5124A"/>
    <w:rsid w:val="00A512EE"/>
    <w:rsid w:val="00A51439"/>
    <w:rsid w:val="00A5144E"/>
    <w:rsid w:val="00A514BC"/>
    <w:rsid w:val="00A51598"/>
    <w:rsid w:val="00A515C3"/>
    <w:rsid w:val="00A515FB"/>
    <w:rsid w:val="00A51645"/>
    <w:rsid w:val="00A5170F"/>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0C"/>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9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65"/>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1"/>
    <w:rsid w:val="00A570C4"/>
    <w:rsid w:val="00A570EA"/>
    <w:rsid w:val="00A5714D"/>
    <w:rsid w:val="00A572F6"/>
    <w:rsid w:val="00A57344"/>
    <w:rsid w:val="00A573F8"/>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39"/>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144"/>
    <w:rsid w:val="00A65214"/>
    <w:rsid w:val="00A6522A"/>
    <w:rsid w:val="00A6527E"/>
    <w:rsid w:val="00A65300"/>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EAE"/>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8BF"/>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6C"/>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7F"/>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1F8"/>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D9C"/>
    <w:rsid w:val="00A91F4A"/>
    <w:rsid w:val="00A91FA1"/>
    <w:rsid w:val="00A91FD6"/>
    <w:rsid w:val="00A91FFD"/>
    <w:rsid w:val="00A92076"/>
    <w:rsid w:val="00A9218B"/>
    <w:rsid w:val="00A921C9"/>
    <w:rsid w:val="00A92302"/>
    <w:rsid w:val="00A9237C"/>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1D8"/>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5BD"/>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1D"/>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48E"/>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CFE"/>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1D"/>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AF"/>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105"/>
    <w:rsid w:val="00AC0335"/>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C3D"/>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C"/>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80"/>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3B"/>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C82"/>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5EB"/>
    <w:rsid w:val="00AE2721"/>
    <w:rsid w:val="00AE2743"/>
    <w:rsid w:val="00AE2795"/>
    <w:rsid w:val="00AE2862"/>
    <w:rsid w:val="00AE2878"/>
    <w:rsid w:val="00AE296C"/>
    <w:rsid w:val="00AE2994"/>
    <w:rsid w:val="00AE2A8A"/>
    <w:rsid w:val="00AE2AD6"/>
    <w:rsid w:val="00AE2AF4"/>
    <w:rsid w:val="00AE2BDA"/>
    <w:rsid w:val="00AE2EAF"/>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AB"/>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E7F7F"/>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2E9"/>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B25"/>
    <w:rsid w:val="00AF4C7A"/>
    <w:rsid w:val="00AF4D10"/>
    <w:rsid w:val="00AF4DE0"/>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3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A7E"/>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6D"/>
    <w:rsid w:val="00B23990"/>
    <w:rsid w:val="00B239ED"/>
    <w:rsid w:val="00B23A09"/>
    <w:rsid w:val="00B23A0F"/>
    <w:rsid w:val="00B23A94"/>
    <w:rsid w:val="00B23AF9"/>
    <w:rsid w:val="00B23D9A"/>
    <w:rsid w:val="00B23DE5"/>
    <w:rsid w:val="00B23E7B"/>
    <w:rsid w:val="00B23EA2"/>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4F"/>
    <w:rsid w:val="00B24C75"/>
    <w:rsid w:val="00B24D37"/>
    <w:rsid w:val="00B24D86"/>
    <w:rsid w:val="00B24E9A"/>
    <w:rsid w:val="00B24F93"/>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B9"/>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94"/>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01"/>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5AA"/>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E2B"/>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566"/>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9"/>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6FA"/>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7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50"/>
    <w:rsid w:val="00B95FD4"/>
    <w:rsid w:val="00B95FE3"/>
    <w:rsid w:val="00B96019"/>
    <w:rsid w:val="00B9606F"/>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0"/>
    <w:rsid w:val="00BA5245"/>
    <w:rsid w:val="00BA5290"/>
    <w:rsid w:val="00BA52AB"/>
    <w:rsid w:val="00BA52CF"/>
    <w:rsid w:val="00BA52D9"/>
    <w:rsid w:val="00BA537E"/>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1DD"/>
    <w:rsid w:val="00BA62D0"/>
    <w:rsid w:val="00BA62DD"/>
    <w:rsid w:val="00BA63B4"/>
    <w:rsid w:val="00BA6626"/>
    <w:rsid w:val="00BA662B"/>
    <w:rsid w:val="00BA6634"/>
    <w:rsid w:val="00BA6702"/>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3FA"/>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9E0"/>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B6D"/>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0CD"/>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DD8"/>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18"/>
    <w:rsid w:val="00BC486B"/>
    <w:rsid w:val="00BC48AB"/>
    <w:rsid w:val="00BC49AC"/>
    <w:rsid w:val="00BC4A66"/>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BEB"/>
    <w:rsid w:val="00BC7D03"/>
    <w:rsid w:val="00BC7D2F"/>
    <w:rsid w:val="00BC7E3B"/>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EE4"/>
    <w:rsid w:val="00BD0F6A"/>
    <w:rsid w:val="00BD0FBB"/>
    <w:rsid w:val="00BD0FE7"/>
    <w:rsid w:val="00BD1006"/>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44A"/>
    <w:rsid w:val="00BD2576"/>
    <w:rsid w:val="00BD25A9"/>
    <w:rsid w:val="00BD25AA"/>
    <w:rsid w:val="00BD25FC"/>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9EC"/>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B7D"/>
    <w:rsid w:val="00BE7C13"/>
    <w:rsid w:val="00BE7CA6"/>
    <w:rsid w:val="00BE7DEE"/>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07F"/>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60"/>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57"/>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327"/>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A64"/>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5A6"/>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0C"/>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25"/>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73"/>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14A"/>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09"/>
    <w:rsid w:val="00C55DBE"/>
    <w:rsid w:val="00C55E25"/>
    <w:rsid w:val="00C55E44"/>
    <w:rsid w:val="00C55EB4"/>
    <w:rsid w:val="00C55EE8"/>
    <w:rsid w:val="00C55FF4"/>
    <w:rsid w:val="00C5603B"/>
    <w:rsid w:val="00C561FA"/>
    <w:rsid w:val="00C5621B"/>
    <w:rsid w:val="00C56246"/>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6D"/>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BE0"/>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C"/>
    <w:rsid w:val="00C630FE"/>
    <w:rsid w:val="00C63375"/>
    <w:rsid w:val="00C6340E"/>
    <w:rsid w:val="00C63443"/>
    <w:rsid w:val="00C63461"/>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3"/>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BD4"/>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22"/>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82"/>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03"/>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495"/>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09"/>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6A"/>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2CD3"/>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3B3"/>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2B"/>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97"/>
    <w:rsid w:val="00CD59D3"/>
    <w:rsid w:val="00CD5A01"/>
    <w:rsid w:val="00CD5A65"/>
    <w:rsid w:val="00CD5A9B"/>
    <w:rsid w:val="00CD5AE1"/>
    <w:rsid w:val="00CD5B0F"/>
    <w:rsid w:val="00CD5B17"/>
    <w:rsid w:val="00CD5CB5"/>
    <w:rsid w:val="00CD5DF9"/>
    <w:rsid w:val="00CD5F12"/>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15"/>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8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2F2"/>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8F1"/>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217"/>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C7"/>
    <w:rsid w:val="00D067FC"/>
    <w:rsid w:val="00D06A56"/>
    <w:rsid w:val="00D06C10"/>
    <w:rsid w:val="00D06C77"/>
    <w:rsid w:val="00D06C9A"/>
    <w:rsid w:val="00D06CC8"/>
    <w:rsid w:val="00D06D01"/>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0"/>
    <w:rsid w:val="00D07856"/>
    <w:rsid w:val="00D07893"/>
    <w:rsid w:val="00D0789E"/>
    <w:rsid w:val="00D07900"/>
    <w:rsid w:val="00D07AF6"/>
    <w:rsid w:val="00D07BC4"/>
    <w:rsid w:val="00D07BE7"/>
    <w:rsid w:val="00D07CDE"/>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0A"/>
    <w:rsid w:val="00D14C24"/>
    <w:rsid w:val="00D14C3E"/>
    <w:rsid w:val="00D14E1D"/>
    <w:rsid w:val="00D14E2E"/>
    <w:rsid w:val="00D14F2C"/>
    <w:rsid w:val="00D14F41"/>
    <w:rsid w:val="00D14FC9"/>
    <w:rsid w:val="00D15006"/>
    <w:rsid w:val="00D1506B"/>
    <w:rsid w:val="00D1511E"/>
    <w:rsid w:val="00D15133"/>
    <w:rsid w:val="00D1520B"/>
    <w:rsid w:val="00D153D4"/>
    <w:rsid w:val="00D15450"/>
    <w:rsid w:val="00D1548B"/>
    <w:rsid w:val="00D1555E"/>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28"/>
    <w:rsid w:val="00D30EBB"/>
    <w:rsid w:val="00D310D6"/>
    <w:rsid w:val="00D3115A"/>
    <w:rsid w:val="00D312B7"/>
    <w:rsid w:val="00D31338"/>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6F"/>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2C6"/>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DAA"/>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7D"/>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A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3"/>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A4"/>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A9D"/>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31"/>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6BB"/>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14E"/>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0C"/>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8D4"/>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653"/>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27"/>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73"/>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18A"/>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3AF"/>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A7FF3"/>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52"/>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A"/>
    <w:rsid w:val="00DC03CD"/>
    <w:rsid w:val="00DC0428"/>
    <w:rsid w:val="00DC042F"/>
    <w:rsid w:val="00DC045F"/>
    <w:rsid w:val="00DC0535"/>
    <w:rsid w:val="00DC0551"/>
    <w:rsid w:val="00DC0577"/>
    <w:rsid w:val="00DC0579"/>
    <w:rsid w:val="00DC0582"/>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81"/>
    <w:rsid w:val="00DD13DD"/>
    <w:rsid w:val="00DD140A"/>
    <w:rsid w:val="00DD142A"/>
    <w:rsid w:val="00DD14E6"/>
    <w:rsid w:val="00DD1743"/>
    <w:rsid w:val="00DD18C2"/>
    <w:rsid w:val="00DD18C7"/>
    <w:rsid w:val="00DD18CC"/>
    <w:rsid w:val="00DD1936"/>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0F"/>
    <w:rsid w:val="00DD4760"/>
    <w:rsid w:val="00DD47B5"/>
    <w:rsid w:val="00DD4815"/>
    <w:rsid w:val="00DD485C"/>
    <w:rsid w:val="00DD48D7"/>
    <w:rsid w:val="00DD48FB"/>
    <w:rsid w:val="00DD4AB4"/>
    <w:rsid w:val="00DD4AC2"/>
    <w:rsid w:val="00DD4B41"/>
    <w:rsid w:val="00DD4CC5"/>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07"/>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CD"/>
    <w:rsid w:val="00DD7D30"/>
    <w:rsid w:val="00DD7D3B"/>
    <w:rsid w:val="00DD7D97"/>
    <w:rsid w:val="00DD7DDB"/>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51"/>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CC5"/>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CE3"/>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7C"/>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9E8"/>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DD"/>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3DF"/>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5D6"/>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6C7"/>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44"/>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51"/>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4F"/>
    <w:rsid w:val="00E309B6"/>
    <w:rsid w:val="00E309D1"/>
    <w:rsid w:val="00E309DB"/>
    <w:rsid w:val="00E30B54"/>
    <w:rsid w:val="00E30B7E"/>
    <w:rsid w:val="00E30BD0"/>
    <w:rsid w:val="00E30C3F"/>
    <w:rsid w:val="00E30DB8"/>
    <w:rsid w:val="00E30ECD"/>
    <w:rsid w:val="00E30FB3"/>
    <w:rsid w:val="00E30FD5"/>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3A"/>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B31"/>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758"/>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D9B"/>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39"/>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D25"/>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ABC"/>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5B"/>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6"/>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0EC"/>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55F"/>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93"/>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DEB"/>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52"/>
    <w:rsid w:val="00E81477"/>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3BC"/>
    <w:rsid w:val="00E824F5"/>
    <w:rsid w:val="00E8251E"/>
    <w:rsid w:val="00E827C9"/>
    <w:rsid w:val="00E828F8"/>
    <w:rsid w:val="00E82932"/>
    <w:rsid w:val="00E829B6"/>
    <w:rsid w:val="00E82A5F"/>
    <w:rsid w:val="00E82B0A"/>
    <w:rsid w:val="00E82B3C"/>
    <w:rsid w:val="00E82BC9"/>
    <w:rsid w:val="00E82D44"/>
    <w:rsid w:val="00E82DE3"/>
    <w:rsid w:val="00E82DE8"/>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D88"/>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36D"/>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45"/>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2F5B"/>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0C"/>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74"/>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74"/>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263"/>
    <w:rsid w:val="00EC03E5"/>
    <w:rsid w:val="00EC046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52"/>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A1"/>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B4F"/>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14"/>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4E"/>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2D"/>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067"/>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8E"/>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276"/>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62F"/>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0E"/>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A6"/>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1A"/>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95"/>
    <w:rsid w:val="00F37DD3"/>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70"/>
    <w:rsid w:val="00F41385"/>
    <w:rsid w:val="00F414A6"/>
    <w:rsid w:val="00F41527"/>
    <w:rsid w:val="00F415F7"/>
    <w:rsid w:val="00F415FF"/>
    <w:rsid w:val="00F4165A"/>
    <w:rsid w:val="00F41670"/>
    <w:rsid w:val="00F4170D"/>
    <w:rsid w:val="00F41899"/>
    <w:rsid w:val="00F41934"/>
    <w:rsid w:val="00F41AB1"/>
    <w:rsid w:val="00F41BEB"/>
    <w:rsid w:val="00F41C05"/>
    <w:rsid w:val="00F41CA9"/>
    <w:rsid w:val="00F41D9B"/>
    <w:rsid w:val="00F41E34"/>
    <w:rsid w:val="00F41EA1"/>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02"/>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5FE8"/>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EB8"/>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6F"/>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D3"/>
    <w:rsid w:val="00F66553"/>
    <w:rsid w:val="00F66732"/>
    <w:rsid w:val="00F667D1"/>
    <w:rsid w:val="00F66883"/>
    <w:rsid w:val="00F668B5"/>
    <w:rsid w:val="00F66919"/>
    <w:rsid w:val="00F6691C"/>
    <w:rsid w:val="00F669B2"/>
    <w:rsid w:val="00F66B10"/>
    <w:rsid w:val="00F66B1E"/>
    <w:rsid w:val="00F66BBF"/>
    <w:rsid w:val="00F66D4D"/>
    <w:rsid w:val="00F66DE4"/>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5D"/>
    <w:rsid w:val="00F75C82"/>
    <w:rsid w:val="00F75D54"/>
    <w:rsid w:val="00F75EA3"/>
    <w:rsid w:val="00F75F76"/>
    <w:rsid w:val="00F75FDF"/>
    <w:rsid w:val="00F76148"/>
    <w:rsid w:val="00F761D8"/>
    <w:rsid w:val="00F761E1"/>
    <w:rsid w:val="00F76205"/>
    <w:rsid w:val="00F7631E"/>
    <w:rsid w:val="00F7632D"/>
    <w:rsid w:val="00F76352"/>
    <w:rsid w:val="00F7640C"/>
    <w:rsid w:val="00F76576"/>
    <w:rsid w:val="00F7664D"/>
    <w:rsid w:val="00F7672E"/>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3F"/>
    <w:rsid w:val="00F819B7"/>
    <w:rsid w:val="00F819D6"/>
    <w:rsid w:val="00F819DE"/>
    <w:rsid w:val="00F81A25"/>
    <w:rsid w:val="00F81AD9"/>
    <w:rsid w:val="00F81AE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9A"/>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1DD"/>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8A4"/>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BF"/>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70E"/>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5EE5"/>
    <w:rsid w:val="00FB5F1E"/>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9FF"/>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AE"/>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2C"/>
    <w:rsid w:val="00FE2F69"/>
    <w:rsid w:val="00FE3076"/>
    <w:rsid w:val="00FE30B0"/>
    <w:rsid w:val="00FE3110"/>
    <w:rsid w:val="00FE3313"/>
    <w:rsid w:val="00FE3325"/>
    <w:rsid w:val="00FE3348"/>
    <w:rsid w:val="00FE347C"/>
    <w:rsid w:val="00FE3492"/>
    <w:rsid w:val="00FE35DA"/>
    <w:rsid w:val="00FE3607"/>
    <w:rsid w:val="00FE368E"/>
    <w:rsid w:val="00FE369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A2"/>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9BA"/>
    <w:rsid w:val="00FF7A4A"/>
    <w:rsid w:val="00FF7AA4"/>
    <w:rsid w:val="00FF7B52"/>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uiPriority w:val="39"/>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uiPriority w:val="39"/>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hyperlink" Target="http://www.economia.unam.mx/cempe/PDFs/pronostico_inercial_anual/cuadro%20anual%20%2009012015-2016.pdf" TargetMode="External"/><Relationship Id="rId42" Type="http://schemas.openxmlformats.org/officeDocument/2006/relationships/image" Target="media/image27.emf"/><Relationship Id="rId63" Type="http://schemas.openxmlformats.org/officeDocument/2006/relationships/image" Target="media/image48.emf"/><Relationship Id="rId84" Type="http://schemas.openxmlformats.org/officeDocument/2006/relationships/image" Target="media/image69.emf"/><Relationship Id="rId138" Type="http://schemas.openxmlformats.org/officeDocument/2006/relationships/image" Target="media/image121.png"/><Relationship Id="rId107" Type="http://schemas.openxmlformats.org/officeDocument/2006/relationships/image" Target="media/image90.emf"/><Relationship Id="rId11" Type="http://schemas.openxmlformats.org/officeDocument/2006/relationships/image" Target="media/image3.emf"/><Relationship Id="rId32" Type="http://schemas.openxmlformats.org/officeDocument/2006/relationships/image" Target="media/image17.emf"/><Relationship Id="rId37" Type="http://schemas.openxmlformats.org/officeDocument/2006/relationships/image" Target="media/image22.emf"/><Relationship Id="rId53" Type="http://schemas.openxmlformats.org/officeDocument/2006/relationships/image" Target="media/image38.emf"/><Relationship Id="rId58" Type="http://schemas.openxmlformats.org/officeDocument/2006/relationships/image" Target="media/image43.emf"/><Relationship Id="rId74" Type="http://schemas.openxmlformats.org/officeDocument/2006/relationships/image" Target="media/image59.emf"/><Relationship Id="rId79" Type="http://schemas.openxmlformats.org/officeDocument/2006/relationships/image" Target="media/image64.emf"/><Relationship Id="rId102" Type="http://schemas.openxmlformats.org/officeDocument/2006/relationships/image" Target="media/image85.emf"/><Relationship Id="rId123" Type="http://schemas.openxmlformats.org/officeDocument/2006/relationships/image" Target="media/image106.emf"/><Relationship Id="rId128" Type="http://schemas.openxmlformats.org/officeDocument/2006/relationships/image" Target="media/image111.emf"/><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5.emf"/><Relationship Id="rId95" Type="http://schemas.openxmlformats.org/officeDocument/2006/relationships/image" Target="media/image79.emf"/><Relationship Id="rId22" Type="http://schemas.openxmlformats.org/officeDocument/2006/relationships/image" Target="media/image7.emf"/><Relationship Id="rId27" Type="http://schemas.openxmlformats.org/officeDocument/2006/relationships/image" Target="media/image12.emf"/><Relationship Id="rId43" Type="http://schemas.openxmlformats.org/officeDocument/2006/relationships/image" Target="media/image28.emf"/><Relationship Id="rId48" Type="http://schemas.openxmlformats.org/officeDocument/2006/relationships/image" Target="media/image33.emf"/><Relationship Id="rId64" Type="http://schemas.openxmlformats.org/officeDocument/2006/relationships/image" Target="media/image49.emf"/><Relationship Id="rId69" Type="http://schemas.openxmlformats.org/officeDocument/2006/relationships/image" Target="media/image54.emf"/><Relationship Id="rId113" Type="http://schemas.openxmlformats.org/officeDocument/2006/relationships/image" Target="media/image96.png"/><Relationship Id="rId118" Type="http://schemas.openxmlformats.org/officeDocument/2006/relationships/image" Target="media/image101.emf"/><Relationship Id="rId134" Type="http://schemas.openxmlformats.org/officeDocument/2006/relationships/image" Target="media/image117.emf"/><Relationship Id="rId139" Type="http://schemas.openxmlformats.org/officeDocument/2006/relationships/image" Target="media/image122.png"/><Relationship Id="rId80" Type="http://schemas.openxmlformats.org/officeDocument/2006/relationships/image" Target="media/image65.emf"/><Relationship Id="rId85" Type="http://schemas.openxmlformats.org/officeDocument/2006/relationships/image" Target="media/image70.emf"/><Relationship Id="rId12" Type="http://schemas.openxmlformats.org/officeDocument/2006/relationships/image" Target="media/image4.emf"/><Relationship Id="rId17" Type="http://schemas.openxmlformats.org/officeDocument/2006/relationships/hyperlink" Target="http://www.economia.unam.mx/cempe/PDFs/Reuniones/15-1_mexico-productividad_y_mercados_laborales.pdf" TargetMode="External"/><Relationship Id="rId33" Type="http://schemas.openxmlformats.org/officeDocument/2006/relationships/image" Target="media/image18.emf"/><Relationship Id="rId38" Type="http://schemas.openxmlformats.org/officeDocument/2006/relationships/image" Target="media/image23.emf"/><Relationship Id="rId59" Type="http://schemas.openxmlformats.org/officeDocument/2006/relationships/image" Target="media/image44.emf"/><Relationship Id="rId103" Type="http://schemas.openxmlformats.org/officeDocument/2006/relationships/image" Target="media/image86.emf"/><Relationship Id="rId108" Type="http://schemas.openxmlformats.org/officeDocument/2006/relationships/image" Target="media/image91.png"/><Relationship Id="rId124" Type="http://schemas.openxmlformats.org/officeDocument/2006/relationships/image" Target="media/image107.emf"/><Relationship Id="rId129" Type="http://schemas.openxmlformats.org/officeDocument/2006/relationships/image" Target="media/image112.emf"/><Relationship Id="rId54" Type="http://schemas.openxmlformats.org/officeDocument/2006/relationships/image" Target="media/image39.emf"/><Relationship Id="rId70" Type="http://schemas.openxmlformats.org/officeDocument/2006/relationships/image" Target="media/image55.emf"/><Relationship Id="rId75" Type="http://schemas.openxmlformats.org/officeDocument/2006/relationships/image" Target="media/image60.emf"/><Relationship Id="rId91" Type="http://schemas.openxmlformats.org/officeDocument/2006/relationships/image" Target="media/image76.emf"/><Relationship Id="rId96" Type="http://schemas.openxmlformats.org/officeDocument/2006/relationships/hyperlink" Target="http://www.imf.org/external/spanish/pubs/ft/weo/2015/01/pdf/sums.pdf" TargetMode="External"/><Relationship Id="rId140" Type="http://schemas.openxmlformats.org/officeDocument/2006/relationships/hyperlink" Target="http://repositorio.cepal.org/bitstream/handle/11362/37344/S1420978_es.pdf?sequence=68"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image" Target="media/image13.emf"/><Relationship Id="rId49" Type="http://schemas.openxmlformats.org/officeDocument/2006/relationships/image" Target="media/image34.emf"/><Relationship Id="rId114" Type="http://schemas.openxmlformats.org/officeDocument/2006/relationships/image" Target="media/image97.png"/><Relationship Id="rId119" Type="http://schemas.openxmlformats.org/officeDocument/2006/relationships/image" Target="media/image102.emf"/><Relationship Id="rId44" Type="http://schemas.openxmlformats.org/officeDocument/2006/relationships/image" Target="media/image29.png"/><Relationship Id="rId60" Type="http://schemas.openxmlformats.org/officeDocument/2006/relationships/image" Target="media/image45.emf"/><Relationship Id="rId65" Type="http://schemas.openxmlformats.org/officeDocument/2006/relationships/image" Target="media/image50.emf"/><Relationship Id="rId81" Type="http://schemas.openxmlformats.org/officeDocument/2006/relationships/image" Target="media/image66.emf"/><Relationship Id="rId86" Type="http://schemas.openxmlformats.org/officeDocument/2006/relationships/image" Target="media/image71.emf"/><Relationship Id="rId130" Type="http://schemas.openxmlformats.org/officeDocument/2006/relationships/image" Target="media/image113.emf"/><Relationship Id="rId135" Type="http://schemas.openxmlformats.org/officeDocument/2006/relationships/image" Target="media/image118.emf"/><Relationship Id="rId13" Type="http://schemas.openxmlformats.org/officeDocument/2006/relationships/image" Target="media/image5.emf"/><Relationship Id="rId18" Type="http://schemas.openxmlformats.org/officeDocument/2006/relationships/hyperlink" Target="http://www.economia.unam.mx/cempe/" TargetMode="External"/><Relationship Id="rId39" Type="http://schemas.openxmlformats.org/officeDocument/2006/relationships/image" Target="media/image24.emf"/><Relationship Id="rId109" Type="http://schemas.openxmlformats.org/officeDocument/2006/relationships/image" Target="media/image92.png"/><Relationship Id="rId34" Type="http://schemas.openxmlformats.org/officeDocument/2006/relationships/image" Target="media/image19.png"/><Relationship Id="rId50" Type="http://schemas.openxmlformats.org/officeDocument/2006/relationships/image" Target="media/image35.emf"/><Relationship Id="rId55" Type="http://schemas.openxmlformats.org/officeDocument/2006/relationships/image" Target="media/image40.emf"/><Relationship Id="rId76" Type="http://schemas.openxmlformats.org/officeDocument/2006/relationships/image" Target="media/image61.emf"/><Relationship Id="rId97" Type="http://schemas.openxmlformats.org/officeDocument/2006/relationships/image" Target="media/image80.emf"/><Relationship Id="rId104" Type="http://schemas.openxmlformats.org/officeDocument/2006/relationships/image" Target="media/image87.emf"/><Relationship Id="rId120" Type="http://schemas.openxmlformats.org/officeDocument/2006/relationships/image" Target="media/image103.emf"/><Relationship Id="rId125" Type="http://schemas.openxmlformats.org/officeDocument/2006/relationships/image" Target="media/image108.png"/><Relationship Id="rId141"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6.emf"/><Relationship Id="rId9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9.emf"/><Relationship Id="rId40" Type="http://schemas.openxmlformats.org/officeDocument/2006/relationships/image" Target="media/image25.emf"/><Relationship Id="rId45" Type="http://schemas.openxmlformats.org/officeDocument/2006/relationships/image" Target="media/image30.emf"/><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png"/><Relationship Id="rId61" Type="http://schemas.openxmlformats.org/officeDocument/2006/relationships/image" Target="media/image46.emf"/><Relationship Id="rId82" Type="http://schemas.openxmlformats.org/officeDocument/2006/relationships/image" Target="media/image67.emf"/><Relationship Id="rId19" Type="http://schemas.openxmlformats.org/officeDocument/2006/relationships/hyperlink" Target="http://www.economia.unam.mx/cempe/PDFs/Eventos/cartel_primera_reunion_2015.pdf" TargetMode="External"/><Relationship Id="rId14" Type="http://schemas.openxmlformats.org/officeDocument/2006/relationships/image" Target="media/image6.emf"/><Relationship Id="rId30" Type="http://schemas.openxmlformats.org/officeDocument/2006/relationships/image" Target="media/image15.emf"/><Relationship Id="rId35" Type="http://schemas.openxmlformats.org/officeDocument/2006/relationships/image" Target="media/image20.emf"/><Relationship Id="rId56" Type="http://schemas.openxmlformats.org/officeDocument/2006/relationships/image" Target="media/image41.emf"/><Relationship Id="rId77" Type="http://schemas.openxmlformats.org/officeDocument/2006/relationships/image" Target="media/image62.emf"/><Relationship Id="rId100" Type="http://schemas.openxmlformats.org/officeDocument/2006/relationships/image" Target="media/image83.png"/><Relationship Id="rId105" Type="http://schemas.openxmlformats.org/officeDocument/2006/relationships/image" Target="media/image88.emf"/><Relationship Id="rId126" Type="http://schemas.openxmlformats.org/officeDocument/2006/relationships/image" Target="media/image109.emf"/><Relationship Id="rId8" Type="http://schemas.openxmlformats.org/officeDocument/2006/relationships/hyperlink" Target="http://www.shcp.gob.mx/Biblioteca_noticias_home/comunicado_029_2015.pdf" TargetMode="External"/><Relationship Id="rId51" Type="http://schemas.openxmlformats.org/officeDocument/2006/relationships/image" Target="media/image36.emf"/><Relationship Id="rId72" Type="http://schemas.openxmlformats.org/officeDocument/2006/relationships/image" Target="media/image57.emf"/><Relationship Id="rId93" Type="http://schemas.openxmlformats.org/officeDocument/2006/relationships/hyperlink" Target="http://www.imf.org/external/spanish/pubs/ft/weo/2015/01/pdf/texts.pdf" TargetMode="External"/><Relationship Id="rId98" Type="http://schemas.openxmlformats.org/officeDocument/2006/relationships/image" Target="media/image81.emf"/><Relationship Id="rId121" Type="http://schemas.openxmlformats.org/officeDocument/2006/relationships/image" Target="media/image104.png"/><Relationship Id="rId142" Type="http://schemas.openxmlformats.org/officeDocument/2006/relationships/header" Target="header2.xml"/><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31.emf"/><Relationship Id="rId67" Type="http://schemas.openxmlformats.org/officeDocument/2006/relationships/image" Target="media/image52.emf"/><Relationship Id="rId116" Type="http://schemas.openxmlformats.org/officeDocument/2006/relationships/image" Target="media/image99.png"/><Relationship Id="rId137" Type="http://schemas.openxmlformats.org/officeDocument/2006/relationships/image" Target="media/image120.png"/><Relationship Id="rId20" Type="http://schemas.openxmlformats.org/officeDocument/2006/relationships/hyperlink" Target="http://www.economia.unam.mx/cempe/pronosticos.html" TargetMode="External"/><Relationship Id="rId41" Type="http://schemas.openxmlformats.org/officeDocument/2006/relationships/image" Target="media/image26.emf"/><Relationship Id="rId62" Type="http://schemas.openxmlformats.org/officeDocument/2006/relationships/image" Target="media/image47.emf"/><Relationship Id="rId83" Type="http://schemas.openxmlformats.org/officeDocument/2006/relationships/image" Target="media/image68.emf"/><Relationship Id="rId88" Type="http://schemas.openxmlformats.org/officeDocument/2006/relationships/image" Target="media/image73.emf"/><Relationship Id="rId111" Type="http://schemas.openxmlformats.org/officeDocument/2006/relationships/image" Target="media/image94.emf"/><Relationship Id="rId132" Type="http://schemas.openxmlformats.org/officeDocument/2006/relationships/image" Target="media/image115.png"/><Relationship Id="rId15" Type="http://schemas.openxmlformats.org/officeDocument/2006/relationships/hyperlink" Target="http://ceesp.org.mx/aeje/AEJE_13Abr2015.pdf" TargetMode="External"/><Relationship Id="rId36" Type="http://schemas.openxmlformats.org/officeDocument/2006/relationships/image" Target="media/image21.emf"/><Relationship Id="rId57" Type="http://schemas.openxmlformats.org/officeDocument/2006/relationships/image" Target="media/image42.emf"/><Relationship Id="rId106" Type="http://schemas.openxmlformats.org/officeDocument/2006/relationships/image" Target="media/image89.emf"/><Relationship Id="rId127" Type="http://schemas.openxmlformats.org/officeDocument/2006/relationships/image" Target="media/image110.png"/><Relationship Id="rId10" Type="http://schemas.openxmlformats.org/officeDocument/2006/relationships/image" Target="media/image2.emf"/><Relationship Id="rId31" Type="http://schemas.openxmlformats.org/officeDocument/2006/relationships/image" Target="media/image16.emf"/><Relationship Id="rId52" Type="http://schemas.openxmlformats.org/officeDocument/2006/relationships/image" Target="media/image37.emf"/><Relationship Id="rId73" Type="http://schemas.openxmlformats.org/officeDocument/2006/relationships/image" Target="media/image58.emf"/><Relationship Id="rId78" Type="http://schemas.openxmlformats.org/officeDocument/2006/relationships/image" Target="media/image63.emf"/><Relationship Id="rId94" Type="http://schemas.openxmlformats.org/officeDocument/2006/relationships/image" Target="media/image78.emf"/><Relationship Id="rId99" Type="http://schemas.openxmlformats.org/officeDocument/2006/relationships/image" Target="media/image82.png"/><Relationship Id="rId101" Type="http://schemas.openxmlformats.org/officeDocument/2006/relationships/image" Target="media/image84.emf"/><Relationship Id="rId122" Type="http://schemas.openxmlformats.org/officeDocument/2006/relationships/image" Target="media/image105.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32.emf"/><Relationship Id="rId68" Type="http://schemas.openxmlformats.org/officeDocument/2006/relationships/image" Target="media/image53.emf"/><Relationship Id="rId89" Type="http://schemas.openxmlformats.org/officeDocument/2006/relationships/image" Target="media/image74.emf"/><Relationship Id="rId112" Type="http://schemas.openxmlformats.org/officeDocument/2006/relationships/image" Target="media/image95.png"/><Relationship Id="rId133" Type="http://schemas.openxmlformats.org/officeDocument/2006/relationships/image" Target="media/image116.emf"/><Relationship Id="rId16" Type="http://schemas.openxmlformats.org/officeDocument/2006/relationships/hyperlink" Target="http://www.forbes.com.mx/crecimiento-bajo-y-otro-recorte-al-gasto-los-mayores-riesgos-para-2016/"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5A1AF2-C293-4BE7-BA30-D0B1CFB09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261</Pages>
  <Words>66754</Words>
  <Characters>367153</Characters>
  <Application>Microsoft Office Word</Application>
  <DocSecurity>0</DocSecurity>
  <Lines>3059</Lines>
  <Paragraphs>866</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433041</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23</cp:revision>
  <cp:lastPrinted>2015-04-27T16:47:00Z</cp:lastPrinted>
  <dcterms:created xsi:type="dcterms:W3CDTF">2015-04-28T14:10:00Z</dcterms:created>
  <dcterms:modified xsi:type="dcterms:W3CDTF">2015-04-30T14:41:00Z</dcterms:modified>
</cp:coreProperties>
</file>