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xml" ContentType="application/vnd.openxmlformats-officedocument.themeOverride+xml"/>
  <Override PartName="/word/drawings/drawing3.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drawings/drawing4.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xml" ContentType="application/vnd.openxmlformats-officedocument.themeOverride+xml"/>
  <Override PartName="/word/drawings/drawing5.xml" ContentType="application/vnd.openxmlformats-officedocument.drawingml.chartshape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6.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7.xml" ContentType="application/vnd.openxmlformats-officedocument.drawingml.chartshapes+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4.xml" ContentType="application/vnd.openxmlformats-officedocument.themeOverride+xml"/>
  <Override PartName="/word/drawings/drawing8.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5.xml" ContentType="application/vnd.openxmlformats-officedocument.themeOverride+xml"/>
  <Override PartName="/word/drawings/drawing9.xml" ContentType="application/vnd.openxmlformats-officedocument.drawingml.chartshapes+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6.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7.xml" ContentType="application/vnd.openxmlformats-officedocument.themeOverride+xml"/>
  <Override PartName="/word/drawings/drawing10.xml" ContentType="application/vnd.openxmlformats-officedocument.drawingml.chartshapes+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8.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9.xml" ContentType="application/vnd.openxmlformats-officedocument.themeOverride+xml"/>
  <Override PartName="/word/drawings/drawing11.xml" ContentType="application/vnd.openxmlformats-officedocument.drawingml.chartshapes+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0.xml" ContentType="application/vnd.openxmlformats-officedocument.themeOverride+xml"/>
  <Override PartName="/word/drawings/drawing12.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11.xml" ContentType="application/vnd.openxmlformats-officedocument.themeOverride+xml"/>
  <Override PartName="/word/drawings/drawing13.xml" ContentType="application/vnd.openxmlformats-officedocument.drawingml.chartshapes+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12.xml" ContentType="application/vnd.openxmlformats-officedocument.themeOverride+xml"/>
  <Override PartName="/word/drawings/drawing14.xml" ContentType="application/vnd.openxmlformats-officedocument.drawingml.chartshapes+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13.xml" ContentType="application/vnd.openxmlformats-officedocument.themeOverride+xml"/>
  <Override PartName="/word/drawings/drawing15.xml" ContentType="application/vnd.openxmlformats-officedocument.drawingml.chartshapes+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14.xml" ContentType="application/vnd.openxmlformats-officedocument.themeOverride+xml"/>
  <Override PartName="/word/drawings/drawing16.xml" ContentType="application/vnd.openxmlformats-officedocument.drawingml.chartshapes+xml"/>
  <Override PartName="/word/charts/chart30.xml" ContentType="application/vnd.openxmlformats-officedocument.drawingml.chart+xml"/>
  <Override PartName="/word/theme/themeOverride15.xml" ContentType="application/vnd.openxmlformats-officedocument.themeOverrid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16.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4D4D" w:rsidRPr="00E313B7" w:rsidRDefault="00364D4D" w:rsidP="00E313B7">
      <w:pPr>
        <w:pBdr>
          <w:top w:val="double" w:sz="6" w:space="1" w:color="002060"/>
          <w:bottom w:val="double" w:sz="6" w:space="31" w:color="002060"/>
        </w:pBdr>
        <w:ind w:right="20"/>
        <w:jc w:val="both"/>
        <w:rPr>
          <w:color w:val="002060"/>
          <w:sz w:val="44"/>
          <w:szCs w:val="26"/>
        </w:rPr>
      </w:pPr>
    </w:p>
    <w:p w:rsidR="00364D4D" w:rsidRPr="00E313B7" w:rsidRDefault="00364D4D" w:rsidP="00E313B7">
      <w:pPr>
        <w:pBdr>
          <w:top w:val="double" w:sz="6" w:space="1" w:color="002060"/>
          <w:bottom w:val="double" w:sz="6" w:space="31" w:color="002060"/>
        </w:pBdr>
        <w:ind w:right="20"/>
        <w:jc w:val="both"/>
        <w:rPr>
          <w:b/>
          <w:color w:val="002060"/>
          <w:sz w:val="32"/>
          <w:szCs w:val="32"/>
        </w:rPr>
      </w:pPr>
      <w:r w:rsidRPr="00E313B7">
        <w:rPr>
          <w:b/>
          <w:color w:val="002060"/>
          <w:sz w:val="32"/>
          <w:szCs w:val="32"/>
        </w:rPr>
        <w:t>X</w:t>
      </w:r>
      <w:r w:rsidR="0014751B" w:rsidRPr="00E313B7">
        <w:rPr>
          <w:b/>
          <w:color w:val="002060"/>
          <w:sz w:val="32"/>
          <w:szCs w:val="32"/>
        </w:rPr>
        <w:t>I</w:t>
      </w:r>
      <w:r w:rsidRPr="00E313B7">
        <w:rPr>
          <w:b/>
          <w:color w:val="002060"/>
          <w:sz w:val="32"/>
          <w:szCs w:val="32"/>
        </w:rPr>
        <w:t>I. EVOLUCIÓN DE LOS PRECIOS</w:t>
      </w:r>
    </w:p>
    <w:p w:rsidR="00364D4D" w:rsidRPr="00E313B7" w:rsidRDefault="00364D4D" w:rsidP="00364D4D">
      <w:pPr>
        <w:pStyle w:val="Puesto"/>
        <w:spacing w:after="360"/>
        <w:jc w:val="left"/>
        <w:rPr>
          <w:rFonts w:ascii="Times New Roman" w:hAnsi="Times New Roman" w:cs="Times New Roman"/>
          <w:color w:val="0000FF"/>
          <w:sz w:val="26"/>
          <w:szCs w:val="26"/>
        </w:rPr>
      </w:pPr>
      <w:r w:rsidRPr="00E313B7">
        <w:rPr>
          <w:rFonts w:ascii="Times New Roman" w:hAnsi="Times New Roman" w:cs="Times New Roman"/>
          <w:color w:val="0000FF"/>
          <w:sz w:val="26"/>
          <w:szCs w:val="26"/>
        </w:rPr>
        <w:t>Evolución de los precios</w:t>
      </w:r>
    </w:p>
    <w:p w:rsidR="00364D4D" w:rsidRPr="00424FAD" w:rsidRDefault="00364D4D" w:rsidP="00364D4D">
      <w:pPr>
        <w:spacing w:after="240" w:line="360" w:lineRule="auto"/>
        <w:ind w:right="23"/>
        <w:jc w:val="both"/>
        <w:rPr>
          <w:sz w:val="26"/>
          <w:szCs w:val="26"/>
          <w:lang w:val="es-MX"/>
        </w:rPr>
      </w:pPr>
      <w:r w:rsidRPr="002D4B72">
        <w:rPr>
          <w:sz w:val="26"/>
          <w:szCs w:val="26"/>
          <w:lang w:val="es-MX"/>
        </w:rPr>
        <w:t xml:space="preserve">En </w:t>
      </w:r>
      <w:r w:rsidR="001244B5">
        <w:rPr>
          <w:sz w:val="26"/>
          <w:szCs w:val="26"/>
          <w:lang w:val="es-MX"/>
        </w:rPr>
        <w:t>febrero</w:t>
      </w:r>
      <w:r w:rsidRPr="002D4B72">
        <w:rPr>
          <w:sz w:val="26"/>
          <w:szCs w:val="26"/>
          <w:lang w:val="es-MX"/>
        </w:rPr>
        <w:t xml:space="preserve"> de </w:t>
      </w:r>
      <w:r w:rsidR="00A209C7">
        <w:rPr>
          <w:sz w:val="26"/>
          <w:szCs w:val="26"/>
          <w:lang w:val="es-MX"/>
        </w:rPr>
        <w:t>2015</w:t>
      </w:r>
      <w:r w:rsidRPr="002D4B72">
        <w:rPr>
          <w:sz w:val="26"/>
          <w:szCs w:val="26"/>
          <w:lang w:val="es-MX"/>
        </w:rPr>
        <w:t xml:space="preserve">, el Índice Nacional de Precios </w:t>
      </w:r>
      <w:r>
        <w:rPr>
          <w:sz w:val="26"/>
          <w:szCs w:val="26"/>
          <w:lang w:val="es-MX"/>
        </w:rPr>
        <w:t xml:space="preserve">al Consumidor (INPC) mostró una </w:t>
      </w:r>
      <w:r w:rsidRPr="002D4B72">
        <w:rPr>
          <w:sz w:val="26"/>
          <w:szCs w:val="26"/>
          <w:lang w:val="es-MX"/>
        </w:rPr>
        <w:t xml:space="preserve">variación de </w:t>
      </w:r>
      <w:r>
        <w:rPr>
          <w:sz w:val="26"/>
          <w:szCs w:val="26"/>
          <w:lang w:val="es-MX"/>
        </w:rPr>
        <w:t>0.</w:t>
      </w:r>
      <w:r w:rsidR="00F86AC4">
        <w:rPr>
          <w:sz w:val="26"/>
          <w:szCs w:val="26"/>
          <w:lang w:val="es-MX"/>
        </w:rPr>
        <w:t>19</w:t>
      </w:r>
      <w:r w:rsidRPr="002D4B72">
        <w:rPr>
          <w:sz w:val="26"/>
          <w:szCs w:val="26"/>
          <w:lang w:val="es-MX"/>
        </w:rPr>
        <w:t xml:space="preserve">%, cantidad </w:t>
      </w:r>
      <w:r>
        <w:rPr>
          <w:sz w:val="26"/>
          <w:szCs w:val="26"/>
          <w:lang w:val="es-MX"/>
        </w:rPr>
        <w:t>menor</w:t>
      </w:r>
      <w:r w:rsidRPr="002D4B72">
        <w:rPr>
          <w:sz w:val="26"/>
          <w:szCs w:val="26"/>
          <w:lang w:val="es-MX"/>
        </w:rPr>
        <w:t xml:space="preserve"> en </w:t>
      </w:r>
      <w:r w:rsidR="00F86AC4">
        <w:rPr>
          <w:sz w:val="26"/>
          <w:szCs w:val="26"/>
          <w:lang w:val="es-MX"/>
        </w:rPr>
        <w:t>0.06</w:t>
      </w:r>
      <w:r w:rsidRPr="002D4B72">
        <w:rPr>
          <w:sz w:val="26"/>
          <w:szCs w:val="26"/>
          <w:lang w:val="es-MX"/>
        </w:rPr>
        <w:t xml:space="preserve"> puntos porce</w:t>
      </w:r>
      <w:r>
        <w:rPr>
          <w:sz w:val="26"/>
          <w:szCs w:val="26"/>
          <w:lang w:val="es-MX"/>
        </w:rPr>
        <w:t xml:space="preserve">ntuales a la del mismo mes de un </w:t>
      </w:r>
      <w:r w:rsidRPr="002D4B72">
        <w:rPr>
          <w:sz w:val="26"/>
          <w:szCs w:val="26"/>
          <w:lang w:val="es-MX"/>
        </w:rPr>
        <w:t>año antes (</w:t>
      </w:r>
      <w:r>
        <w:rPr>
          <w:sz w:val="26"/>
          <w:szCs w:val="26"/>
          <w:lang w:val="es-MX"/>
        </w:rPr>
        <w:t>0.</w:t>
      </w:r>
      <w:r w:rsidR="00F86AC4">
        <w:rPr>
          <w:sz w:val="26"/>
          <w:szCs w:val="26"/>
          <w:lang w:val="es-MX"/>
        </w:rPr>
        <w:t>25</w:t>
      </w:r>
      <w:r w:rsidRPr="002D4B72">
        <w:rPr>
          <w:sz w:val="26"/>
          <w:szCs w:val="26"/>
          <w:lang w:val="es-MX"/>
        </w:rPr>
        <w:t xml:space="preserve">%). Los genéricos que se distinguieron por presentar </w:t>
      </w:r>
      <w:r>
        <w:rPr>
          <w:sz w:val="26"/>
          <w:szCs w:val="26"/>
          <w:lang w:val="es-MX"/>
        </w:rPr>
        <w:t>las bajas más importantes en el ritmo</w:t>
      </w:r>
      <w:r w:rsidRPr="002D4B72">
        <w:rPr>
          <w:sz w:val="26"/>
          <w:szCs w:val="26"/>
          <w:lang w:val="es-MX"/>
        </w:rPr>
        <w:t xml:space="preserve"> de precios fueron</w:t>
      </w:r>
      <w:r>
        <w:rPr>
          <w:sz w:val="26"/>
          <w:szCs w:val="26"/>
          <w:lang w:val="es-MX"/>
        </w:rPr>
        <w:t>:</w:t>
      </w:r>
      <w:r w:rsidRPr="002D4B72">
        <w:rPr>
          <w:sz w:val="26"/>
          <w:szCs w:val="26"/>
          <w:lang w:val="es-MX"/>
        </w:rPr>
        <w:t xml:space="preserve"> </w:t>
      </w:r>
      <w:r w:rsidR="00F86AC4">
        <w:rPr>
          <w:sz w:val="26"/>
          <w:szCs w:val="26"/>
          <w:lang w:val="es-MX"/>
        </w:rPr>
        <w:t>jitomate</w:t>
      </w:r>
      <w:r w:rsidRPr="002D4B72">
        <w:rPr>
          <w:sz w:val="26"/>
          <w:szCs w:val="26"/>
          <w:lang w:val="es-MX"/>
        </w:rPr>
        <w:t xml:space="preserve"> (</w:t>
      </w:r>
      <w:r w:rsidR="00F86AC4">
        <w:rPr>
          <w:sz w:val="26"/>
          <w:szCs w:val="26"/>
          <w:lang w:val="es-MX"/>
        </w:rPr>
        <w:t>30.10</w:t>
      </w:r>
      <w:r w:rsidRPr="002D4B72">
        <w:rPr>
          <w:sz w:val="26"/>
          <w:szCs w:val="26"/>
          <w:lang w:val="es-MX"/>
        </w:rPr>
        <w:t xml:space="preserve">%), </w:t>
      </w:r>
      <w:r w:rsidR="00F86AC4">
        <w:rPr>
          <w:sz w:val="26"/>
          <w:szCs w:val="26"/>
          <w:lang w:val="es-MX"/>
        </w:rPr>
        <w:t>chile poblano</w:t>
      </w:r>
      <w:r>
        <w:rPr>
          <w:sz w:val="26"/>
          <w:szCs w:val="26"/>
          <w:lang w:val="es-MX"/>
        </w:rPr>
        <w:t xml:space="preserve"> </w:t>
      </w:r>
      <w:r w:rsidRPr="002D4B72">
        <w:rPr>
          <w:sz w:val="26"/>
          <w:szCs w:val="26"/>
          <w:lang w:val="es-MX"/>
        </w:rPr>
        <w:t>(</w:t>
      </w:r>
      <w:r w:rsidR="00F86AC4">
        <w:rPr>
          <w:sz w:val="26"/>
          <w:szCs w:val="26"/>
          <w:lang w:val="es-MX"/>
        </w:rPr>
        <w:t>21.09</w:t>
      </w:r>
      <w:r w:rsidRPr="002D4B72">
        <w:rPr>
          <w:sz w:val="26"/>
          <w:szCs w:val="26"/>
          <w:lang w:val="es-MX"/>
        </w:rPr>
        <w:t xml:space="preserve">%), </w:t>
      </w:r>
      <w:r w:rsidR="00F86AC4">
        <w:rPr>
          <w:sz w:val="26"/>
          <w:szCs w:val="26"/>
          <w:lang w:val="es-MX"/>
        </w:rPr>
        <w:t>calabacita</w:t>
      </w:r>
      <w:r w:rsidRPr="002D4B72">
        <w:rPr>
          <w:sz w:val="26"/>
          <w:szCs w:val="26"/>
          <w:lang w:val="es-MX"/>
        </w:rPr>
        <w:t xml:space="preserve"> (</w:t>
      </w:r>
      <w:r>
        <w:rPr>
          <w:sz w:val="26"/>
          <w:szCs w:val="26"/>
          <w:lang w:val="es-MX"/>
        </w:rPr>
        <w:t>14.</w:t>
      </w:r>
      <w:r w:rsidR="00F86AC4">
        <w:rPr>
          <w:sz w:val="26"/>
          <w:szCs w:val="26"/>
          <w:lang w:val="es-MX"/>
        </w:rPr>
        <w:t>75</w:t>
      </w:r>
      <w:r w:rsidRPr="002D4B72">
        <w:rPr>
          <w:sz w:val="26"/>
          <w:szCs w:val="26"/>
          <w:lang w:val="es-MX"/>
        </w:rPr>
        <w:t xml:space="preserve">%) y </w:t>
      </w:r>
      <w:r w:rsidR="00F86AC4">
        <w:rPr>
          <w:sz w:val="26"/>
          <w:szCs w:val="26"/>
          <w:lang w:val="es-MX"/>
        </w:rPr>
        <w:t>nopales</w:t>
      </w:r>
      <w:r w:rsidRPr="002D4B72">
        <w:rPr>
          <w:sz w:val="26"/>
          <w:szCs w:val="26"/>
          <w:lang w:val="es-MX"/>
        </w:rPr>
        <w:t xml:space="preserve"> (</w:t>
      </w:r>
      <w:r w:rsidR="00F86AC4">
        <w:rPr>
          <w:sz w:val="26"/>
          <w:szCs w:val="26"/>
          <w:lang w:val="es-MX"/>
        </w:rPr>
        <w:t>12.64</w:t>
      </w:r>
      <w:r w:rsidRPr="002D4B72">
        <w:rPr>
          <w:sz w:val="26"/>
          <w:szCs w:val="26"/>
          <w:lang w:val="es-MX"/>
        </w:rPr>
        <w:t>%).</w:t>
      </w:r>
      <w:r>
        <w:rPr>
          <w:sz w:val="26"/>
          <w:szCs w:val="26"/>
          <w:lang w:val="es-MX"/>
        </w:rPr>
        <w:t xml:space="preserve"> En sentido inverso</w:t>
      </w:r>
      <w:r w:rsidRPr="002D4B72">
        <w:rPr>
          <w:sz w:val="26"/>
          <w:szCs w:val="26"/>
          <w:lang w:val="es-MX"/>
        </w:rPr>
        <w:t>, los conceptos</w:t>
      </w:r>
      <w:r>
        <w:rPr>
          <w:sz w:val="26"/>
          <w:szCs w:val="26"/>
          <w:lang w:val="es-MX"/>
        </w:rPr>
        <w:t xml:space="preserve"> </w:t>
      </w:r>
      <w:r w:rsidRPr="002D4B72">
        <w:rPr>
          <w:sz w:val="26"/>
          <w:szCs w:val="26"/>
          <w:lang w:val="es-MX"/>
        </w:rPr>
        <w:t xml:space="preserve">que registraron </w:t>
      </w:r>
      <w:r>
        <w:rPr>
          <w:sz w:val="26"/>
          <w:szCs w:val="26"/>
          <w:lang w:val="es-MX"/>
        </w:rPr>
        <w:t>las alzas</w:t>
      </w:r>
      <w:r w:rsidRPr="002D4B72">
        <w:rPr>
          <w:sz w:val="26"/>
          <w:szCs w:val="26"/>
          <w:lang w:val="es-MX"/>
        </w:rPr>
        <w:t xml:space="preserve"> más notables fueron </w:t>
      </w:r>
      <w:r>
        <w:rPr>
          <w:sz w:val="26"/>
          <w:szCs w:val="26"/>
          <w:lang w:val="es-MX"/>
        </w:rPr>
        <w:t xml:space="preserve">los siguientes alimentos: </w:t>
      </w:r>
      <w:r w:rsidR="00F86AC4">
        <w:rPr>
          <w:sz w:val="26"/>
          <w:szCs w:val="26"/>
          <w:lang w:val="es-MX"/>
        </w:rPr>
        <w:t>chayote</w:t>
      </w:r>
      <w:r>
        <w:rPr>
          <w:sz w:val="26"/>
          <w:szCs w:val="26"/>
          <w:lang w:val="es-MX"/>
        </w:rPr>
        <w:t xml:space="preserve"> </w:t>
      </w:r>
      <w:r w:rsidRPr="002D4B72">
        <w:rPr>
          <w:sz w:val="26"/>
          <w:szCs w:val="26"/>
          <w:lang w:val="es-MX"/>
        </w:rPr>
        <w:t>(</w:t>
      </w:r>
      <w:r w:rsidR="00F86AC4">
        <w:rPr>
          <w:sz w:val="26"/>
          <w:szCs w:val="26"/>
          <w:lang w:val="es-MX"/>
        </w:rPr>
        <w:t>20.53</w:t>
      </w:r>
      <w:r w:rsidRPr="002D4B72">
        <w:rPr>
          <w:sz w:val="26"/>
          <w:szCs w:val="26"/>
          <w:lang w:val="es-MX"/>
        </w:rPr>
        <w:t xml:space="preserve">%), </w:t>
      </w:r>
      <w:r w:rsidR="00F86AC4">
        <w:rPr>
          <w:sz w:val="26"/>
          <w:szCs w:val="26"/>
          <w:lang w:val="es-MX"/>
        </w:rPr>
        <w:t>uva</w:t>
      </w:r>
      <w:r w:rsidRPr="002D4B72">
        <w:rPr>
          <w:sz w:val="26"/>
          <w:szCs w:val="26"/>
          <w:lang w:val="es-MX"/>
        </w:rPr>
        <w:t xml:space="preserve"> (</w:t>
      </w:r>
      <w:r>
        <w:rPr>
          <w:sz w:val="26"/>
          <w:szCs w:val="26"/>
          <w:lang w:val="es-MX"/>
        </w:rPr>
        <w:t>12.</w:t>
      </w:r>
      <w:r w:rsidR="00F86AC4">
        <w:rPr>
          <w:sz w:val="26"/>
          <w:szCs w:val="26"/>
          <w:lang w:val="es-MX"/>
        </w:rPr>
        <w:t>65</w:t>
      </w:r>
      <w:r w:rsidRPr="002D4B72">
        <w:rPr>
          <w:sz w:val="26"/>
          <w:szCs w:val="26"/>
          <w:lang w:val="es-MX"/>
        </w:rPr>
        <w:t>%)</w:t>
      </w:r>
      <w:r>
        <w:rPr>
          <w:sz w:val="26"/>
          <w:szCs w:val="26"/>
          <w:lang w:val="es-MX"/>
        </w:rPr>
        <w:t xml:space="preserve"> </w:t>
      </w:r>
      <w:r w:rsidRPr="002D4B72">
        <w:rPr>
          <w:sz w:val="26"/>
          <w:szCs w:val="26"/>
          <w:lang w:val="es-MX"/>
        </w:rPr>
        <w:t xml:space="preserve">y </w:t>
      </w:r>
      <w:r w:rsidR="00F86AC4">
        <w:rPr>
          <w:sz w:val="26"/>
          <w:szCs w:val="26"/>
          <w:lang w:val="es-MX"/>
        </w:rPr>
        <w:t>papa y otros tubérculos</w:t>
      </w:r>
      <w:r w:rsidRPr="002D4B72">
        <w:rPr>
          <w:sz w:val="26"/>
          <w:szCs w:val="26"/>
          <w:lang w:val="es-MX"/>
        </w:rPr>
        <w:t xml:space="preserve"> (</w:t>
      </w:r>
      <w:r w:rsidR="00F86AC4">
        <w:rPr>
          <w:sz w:val="26"/>
          <w:szCs w:val="26"/>
          <w:lang w:val="es-MX"/>
        </w:rPr>
        <w:t>9.66</w:t>
      </w:r>
      <w:r>
        <w:rPr>
          <w:sz w:val="26"/>
          <w:szCs w:val="26"/>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1E1E6C" w:rsidRDefault="00364D4D" w:rsidP="00B17B53">
            <w:pPr>
              <w:pStyle w:val="NormalWeb"/>
              <w:spacing w:before="60" w:beforeAutospacing="0" w:after="0" w:afterAutospacing="0"/>
              <w:jc w:val="center"/>
              <w:textAlignment w:val="baseline"/>
              <w:rPr>
                <w:sz w:val="22"/>
                <w:szCs w:val="22"/>
              </w:rPr>
            </w:pPr>
            <w:r w:rsidRPr="001E1E6C">
              <w:rPr>
                <w:rFonts w:eastAsia="+mn-ea"/>
                <w:b/>
                <w:bCs/>
                <w:color w:val="000000"/>
                <w:kern w:val="24"/>
                <w:sz w:val="22"/>
                <w:szCs w:val="22"/>
                <w:lang w:val="es-ES_tradnl"/>
              </w:rPr>
              <w:t>Í</w:t>
            </w:r>
            <w:r>
              <w:rPr>
                <w:rFonts w:eastAsia="+mn-ea"/>
                <w:b/>
                <w:bCs/>
                <w:color w:val="000000"/>
                <w:kern w:val="24"/>
                <w:sz w:val="22"/>
                <w:szCs w:val="22"/>
                <w:lang w:val="es-ES_tradnl"/>
              </w:rPr>
              <w:t xml:space="preserve">NDICE NACIONAL DE PRECIOS AL </w:t>
            </w:r>
            <w:r w:rsidRPr="001E1E6C">
              <w:rPr>
                <w:rFonts w:eastAsia="+mn-ea"/>
                <w:b/>
                <w:bCs/>
                <w:color w:val="000000"/>
                <w:kern w:val="24"/>
                <w:sz w:val="22"/>
                <w:szCs w:val="22"/>
                <w:lang w:val="es-ES_tradnl"/>
              </w:rPr>
              <w:t>CONSUMIDOR</w:t>
            </w:r>
          </w:p>
          <w:p w:rsidR="00364D4D" w:rsidRPr="00771574" w:rsidRDefault="00364D4D" w:rsidP="00B17B53">
            <w:pPr>
              <w:pStyle w:val="NormalWeb"/>
              <w:spacing w:before="0" w:beforeAutospacing="0" w:after="0" w:afterAutospacing="0"/>
              <w:jc w:val="center"/>
              <w:textAlignment w:val="baseline"/>
              <w:rPr>
                <w:b/>
                <w:sz w:val="22"/>
                <w:szCs w:val="22"/>
              </w:rPr>
            </w:pPr>
            <w:r>
              <w:rPr>
                <w:rFonts w:eastAsia="+mn-ea"/>
                <w:b/>
                <w:bCs/>
                <w:color w:val="000000"/>
                <w:kern w:val="24"/>
                <w:sz w:val="22"/>
                <w:szCs w:val="22"/>
                <w:lang w:val="es-ES_tradnl"/>
              </w:rPr>
              <w:t>- Variaciones</w:t>
            </w:r>
            <w:r w:rsidRPr="00771574">
              <w:rPr>
                <w:rFonts w:eastAsia="+mn-ea"/>
                <w:b/>
                <w:bCs/>
                <w:color w:val="000000"/>
                <w:kern w:val="24"/>
                <w:sz w:val="22"/>
                <w:szCs w:val="22"/>
                <w:lang w:val="es-ES_tradnl"/>
              </w:rPr>
              <w:t xml:space="preserve"> mensual</w:t>
            </w:r>
            <w:r>
              <w:rPr>
                <w:rFonts w:eastAsia="+mn-ea"/>
                <w:b/>
                <w:bCs/>
                <w:color w:val="000000"/>
                <w:kern w:val="24"/>
                <w:sz w:val="22"/>
                <w:szCs w:val="22"/>
                <w:lang w:val="es-ES_tradnl"/>
              </w:rPr>
              <w:t>es</w:t>
            </w:r>
            <w:r w:rsidRPr="00771574">
              <w:rPr>
                <w:rFonts w:eastAsia="+mn-ea"/>
                <w:b/>
                <w:bCs/>
                <w:color w:val="000000"/>
                <w:kern w:val="24"/>
                <w:sz w:val="22"/>
                <w:szCs w:val="22"/>
                <w:lang w:val="es-ES_tradnl"/>
              </w:rPr>
              <w:t xml:space="preserve"> </w:t>
            </w:r>
            <w:r w:rsidRPr="00A05E54">
              <w:rPr>
                <w:rFonts w:eastAsia="+mn-ea"/>
                <w:b/>
                <w:bCs/>
                <w:color w:val="000000"/>
                <w:kern w:val="24"/>
                <w:sz w:val="22"/>
                <w:szCs w:val="22"/>
                <w:lang w:val="es-MX"/>
              </w:rPr>
              <w:t>-</w:t>
            </w:r>
          </w:p>
          <w:p w:rsidR="00364D4D" w:rsidRDefault="001244B5"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Febrero</w:t>
            </w:r>
          </w:p>
          <w:p w:rsidR="00364D4D" w:rsidRPr="00A05E54" w:rsidRDefault="00A209C7"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2005</w:t>
            </w:r>
            <w:r w:rsidR="00364D4D" w:rsidRPr="00A05E54">
              <w:rPr>
                <w:rFonts w:eastAsia="+mn-ea"/>
                <w:b/>
                <w:bCs/>
                <w:color w:val="000000"/>
                <w:kern w:val="24"/>
                <w:sz w:val="22"/>
                <w:szCs w:val="22"/>
                <w:lang w:val="es-MX"/>
              </w:rPr>
              <w:t xml:space="preserve"> – </w:t>
            </w:r>
            <w:r>
              <w:rPr>
                <w:rFonts w:eastAsia="+mn-ea"/>
                <w:b/>
                <w:bCs/>
                <w:color w:val="000000"/>
                <w:kern w:val="24"/>
                <w:sz w:val="22"/>
                <w:szCs w:val="22"/>
                <w:lang w:val="es-MX"/>
              </w:rPr>
              <w:t>2015</w:t>
            </w:r>
          </w:p>
          <w:p w:rsidR="00364D4D" w:rsidRPr="00A05E54" w:rsidRDefault="00364D4D" w:rsidP="00B17B53">
            <w:pPr>
              <w:pStyle w:val="NormalWeb"/>
              <w:spacing w:before="0" w:beforeAutospacing="0" w:after="0" w:afterAutospacing="0"/>
              <w:jc w:val="center"/>
              <w:textAlignment w:val="baseline"/>
              <w:rPr>
                <w:rFonts w:eastAsia="+mn-ea"/>
                <w:b/>
                <w:bCs/>
                <w:color w:val="000000"/>
                <w:kern w:val="24"/>
                <w:sz w:val="22"/>
                <w:szCs w:val="22"/>
                <w:lang w:val="es-MX"/>
              </w:rPr>
            </w:pPr>
            <w:r w:rsidRPr="00A05E54">
              <w:rPr>
                <w:rFonts w:eastAsia="+mn-ea"/>
                <w:b/>
                <w:bCs/>
                <w:color w:val="000000"/>
                <w:kern w:val="24"/>
                <w:sz w:val="22"/>
                <w:szCs w:val="22"/>
                <w:lang w:val="es-MX"/>
              </w:rPr>
              <w:t>- Por ciento -</w:t>
            </w:r>
          </w:p>
        </w:tc>
      </w:tr>
      <w:tr w:rsidR="00364D4D" w:rsidTr="00B17B53">
        <w:trPr>
          <w:trHeight w:val="5088"/>
        </w:trPr>
        <w:tc>
          <w:tcPr>
            <w:tcW w:w="8980" w:type="dxa"/>
          </w:tcPr>
          <w:p w:rsidR="00364D4D" w:rsidRDefault="00364D4D" w:rsidP="00B17B53">
            <w:pPr>
              <w:spacing w:line="360" w:lineRule="auto"/>
              <w:ind w:right="20"/>
              <w:jc w:val="center"/>
              <w:rPr>
                <w:sz w:val="26"/>
                <w:szCs w:val="26"/>
                <w:lang w:val="es-MX"/>
              </w:rPr>
            </w:pPr>
            <w:r>
              <w:rPr>
                <w:noProof/>
                <w:sz w:val="20"/>
                <w:szCs w:val="20"/>
                <w:lang w:val="es-MX" w:eastAsia="es-MX"/>
              </w:rPr>
              <w:drawing>
                <wp:inline distT="0" distB="0" distL="0" distR="0" wp14:anchorId="60C6597C" wp14:editId="3463D785">
                  <wp:extent cx="5438775" cy="3133725"/>
                  <wp:effectExtent l="0" t="0" r="9525" b="9525"/>
                  <wp:docPr id="135" name="Objeto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364D4D" w:rsidTr="00B17B53">
        <w:tc>
          <w:tcPr>
            <w:tcW w:w="8980" w:type="dxa"/>
          </w:tcPr>
          <w:p w:rsidR="00364D4D" w:rsidRPr="00B342A3" w:rsidRDefault="00364D4D" w:rsidP="00B17B53">
            <w:pPr>
              <w:ind w:left="1022" w:right="183" w:hanging="880"/>
              <w:jc w:val="both"/>
              <w:rPr>
                <w:rFonts w:eastAsia="+mn-ea"/>
                <w:color w:val="000000"/>
                <w:kern w:val="24"/>
                <w:sz w:val="20"/>
                <w:szCs w:val="20"/>
              </w:rPr>
            </w:pPr>
            <w:r>
              <w:rPr>
                <w:rFonts w:eastAsia="+mn-ea"/>
                <w:color w:val="000000"/>
                <w:kern w:val="24"/>
                <w:sz w:val="20"/>
                <w:szCs w:val="20"/>
              </w:rPr>
              <w:t>FU</w:t>
            </w:r>
            <w:r w:rsidRPr="001E1E6C">
              <w:rPr>
                <w:rFonts w:eastAsia="+mn-ea"/>
                <w:color w:val="000000"/>
                <w:kern w:val="24"/>
                <w:sz w:val="20"/>
                <w:szCs w:val="20"/>
              </w:rPr>
              <w:t>ENTE: Elaborado por la Comisión Nacional de los Salarios Mínimos con información del</w:t>
            </w:r>
            <w:r>
              <w:rPr>
                <w:rFonts w:eastAsia="+mn-ea"/>
                <w:color w:val="000000"/>
                <w:kern w:val="24"/>
                <w:sz w:val="20"/>
                <w:szCs w:val="20"/>
              </w:rPr>
              <w:t xml:space="preserve"> </w:t>
            </w:r>
            <w:r w:rsidRPr="001E1E6C">
              <w:rPr>
                <w:rFonts w:eastAsia="+mn-ea"/>
                <w:color w:val="000000"/>
                <w:kern w:val="24"/>
                <w:sz w:val="20"/>
                <w:szCs w:val="20"/>
              </w:rPr>
              <w:t>Instituto Nacional de Estadística y Geografía.</w:t>
            </w:r>
          </w:p>
        </w:tc>
      </w:tr>
    </w:tbl>
    <w:p w:rsidR="007957D3" w:rsidRDefault="00F57754" w:rsidP="00D032BB">
      <w:pPr>
        <w:spacing w:after="120" w:line="276" w:lineRule="auto"/>
        <w:ind w:right="28"/>
        <w:jc w:val="both"/>
        <w:rPr>
          <w:sz w:val="26"/>
          <w:szCs w:val="26"/>
        </w:rPr>
      </w:pPr>
      <w:r>
        <w:rPr>
          <w:noProof/>
          <w:sz w:val="26"/>
          <w:szCs w:val="26"/>
          <w:lang w:val="es-MX" w:eastAsia="es-MX"/>
        </w:rPr>
        <mc:AlternateContent>
          <mc:Choice Requires="wps">
            <w:drawing>
              <wp:anchor distT="45720" distB="45720" distL="114300" distR="114300" simplePos="0" relativeHeight="251761664" behindDoc="0" locked="0" layoutInCell="1" allowOverlap="1" wp14:anchorId="50F495B5" wp14:editId="52201EA3">
                <wp:simplePos x="0" y="0"/>
                <wp:positionH relativeFrom="column">
                  <wp:posOffset>3446145</wp:posOffset>
                </wp:positionH>
                <wp:positionV relativeFrom="page">
                  <wp:posOffset>9236932</wp:posOffset>
                </wp:positionV>
                <wp:extent cx="2223770" cy="275590"/>
                <wp:effectExtent l="0" t="0" r="21590" b="10160"/>
                <wp:wrapSquare wrapText="bothSides"/>
                <wp:docPr id="34" name="Cuadro de texto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3770" cy="275590"/>
                        </a:xfrm>
                        <a:prstGeom prst="rect">
                          <a:avLst/>
                        </a:prstGeom>
                        <a:solidFill>
                          <a:srgbClr val="FFFFFF"/>
                        </a:solidFill>
                        <a:ln w="9525">
                          <a:solidFill>
                            <a:srgbClr val="FFFFFF"/>
                          </a:solidFill>
                          <a:miter lim="800000"/>
                          <a:headEnd/>
                          <a:tailEnd/>
                        </a:ln>
                      </wps:spPr>
                      <wps:txbx>
                        <w:txbxContent>
                          <w:p w:rsidR="00F57754" w:rsidRDefault="00F57754" w:rsidP="00F57754">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50F495B5" id="_x0000_t202" coordsize="21600,21600" o:spt="202" path="m,l,21600r21600,l21600,xe">
                <v:stroke joinstyle="miter"/>
                <v:path gradientshapeok="t" o:connecttype="rect"/>
              </v:shapetype>
              <v:shape id="Cuadro de texto 34" o:spid="_x0000_s1026" type="#_x0000_t202" style="position:absolute;left:0;text-align:left;margin-left:271.35pt;margin-top:727.3pt;width:175.1pt;height:21.7pt;z-index:25176166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" strokecolor="white">
                <v:textbox style="mso-fit-shape-to-text:t">
                  <w:txbxContent>
                    <w:p w:rsidR="00F57754" w:rsidRDefault="00F57754" w:rsidP="00F57754">
                      <w:pPr>
                        <w:jc w:val="right"/>
                      </w:pPr>
                      <w:r>
                        <w:t>F1 P-07-02 Rev.00</w:t>
                      </w:r>
                    </w:p>
                  </w:txbxContent>
                </v:textbox>
                <w10:wrap type="square" anchory="page"/>
              </v:shape>
            </w:pict>
          </mc:Fallback>
        </mc:AlternateContent>
      </w:r>
      <w:r w:rsidR="00364D4D" w:rsidRPr="00F912C1">
        <w:rPr>
          <w:sz w:val="26"/>
          <w:szCs w:val="26"/>
          <w:shd w:val="clear" w:color="auto" w:fill="2E74B5" w:themeFill="accent1" w:themeFillShade="BF"/>
        </w:rPr>
        <w:br w:type="column"/>
      </w:r>
      <w:r w:rsidR="000D3B0D" w:rsidRPr="00B82186">
        <w:rPr>
          <w:sz w:val="26"/>
          <w:szCs w:val="26"/>
        </w:rPr>
        <w:lastRenderedPageBreak/>
        <w:t>En la siguiente tabla se registran comentarios de algunos genéricos que han afectado</w:t>
      </w:r>
      <w:r w:rsidR="000D3B0D">
        <w:rPr>
          <w:sz w:val="26"/>
          <w:szCs w:val="26"/>
        </w:rPr>
        <w:t xml:space="preserve"> </w:t>
      </w:r>
      <w:r w:rsidR="000D3B0D" w:rsidRPr="00B82186">
        <w:rPr>
          <w:sz w:val="26"/>
          <w:szCs w:val="26"/>
        </w:rPr>
        <w:t>al Índice Nacional de Precios al Consumidor (INPC)</w:t>
      </w:r>
      <w:r w:rsidR="000D3B0D">
        <w:rPr>
          <w:sz w:val="26"/>
          <w:szCs w:val="26"/>
        </w:rPr>
        <w:t>,</w:t>
      </w:r>
      <w:r w:rsidR="000D3B0D" w:rsidRPr="00B82186">
        <w:rPr>
          <w:sz w:val="26"/>
          <w:szCs w:val="26"/>
        </w:rPr>
        <w:t xml:space="preserve"> en </w:t>
      </w:r>
      <w:r w:rsidR="007B5DA7" w:rsidRPr="007B5DA7">
        <w:rPr>
          <w:sz w:val="26"/>
          <w:szCs w:val="26"/>
        </w:rPr>
        <w:t>la semana del 9 al 13 de marzo de 2015</w:t>
      </w:r>
      <w:r w:rsidR="000D3B0D" w:rsidRPr="00B82186">
        <w:rPr>
          <w:sz w:val="26"/>
          <w:szCs w:val="26"/>
        </w:rPr>
        <w:t>.</w:t>
      </w:r>
    </w:p>
    <w:p w:rsidR="007957D3" w:rsidRPr="00182780" w:rsidRDefault="007957D3" w:rsidP="007957D3">
      <w:pPr>
        <w:keepNext/>
        <w:ind w:right="23"/>
        <w:jc w:val="center"/>
        <w:outlineLvl w:val="0"/>
        <w:rPr>
          <w:b/>
          <w:sz w:val="22"/>
          <w:szCs w:val="22"/>
        </w:rPr>
      </w:pPr>
      <w:r w:rsidRPr="00182780">
        <w:rPr>
          <w:b/>
          <w:sz w:val="22"/>
          <w:szCs w:val="22"/>
        </w:rPr>
        <w:t>ÍNDICE NACIONAL DE PRECIOS AL CONSUMIDOR</w:t>
      </w:r>
    </w:p>
    <w:p w:rsidR="007957D3" w:rsidRPr="00182780" w:rsidRDefault="007957D3" w:rsidP="007957D3">
      <w:pPr>
        <w:jc w:val="center"/>
        <w:rPr>
          <w:b/>
          <w:sz w:val="22"/>
          <w:szCs w:val="22"/>
        </w:rPr>
      </w:pPr>
      <w:r w:rsidRPr="00182780">
        <w:rPr>
          <w:b/>
          <w:sz w:val="22"/>
          <w:szCs w:val="22"/>
        </w:rPr>
        <w:t>SEGUIMIENTO DE PRECIOS</w:t>
      </w:r>
    </w:p>
    <w:p w:rsidR="007957D3" w:rsidRPr="00182780" w:rsidRDefault="007957D3" w:rsidP="007957D3">
      <w:pPr>
        <w:jc w:val="center"/>
        <w:rPr>
          <w:b/>
          <w:sz w:val="4"/>
          <w:szCs w:val="22"/>
        </w:rPr>
      </w:pPr>
    </w:p>
    <w:tbl>
      <w:tblPr>
        <w:tblW w:w="10477" w:type="dxa"/>
        <w:jc w:val="center"/>
        <w:tblLayout w:type="fixed"/>
        <w:tblLook w:val="01E0" w:firstRow="1" w:lastRow="1" w:firstColumn="1" w:lastColumn="1" w:noHBand="0" w:noVBand="0"/>
      </w:tblPr>
      <w:tblGrid>
        <w:gridCol w:w="562"/>
        <w:gridCol w:w="1134"/>
        <w:gridCol w:w="2127"/>
        <w:gridCol w:w="850"/>
        <w:gridCol w:w="1276"/>
        <w:gridCol w:w="4528"/>
      </w:tblGrid>
      <w:tr w:rsidR="007957D3" w:rsidRPr="00182780" w:rsidTr="00CD6BD2">
        <w:trPr>
          <w:cantSplit/>
          <w:trHeight w:val="408"/>
          <w:jc w:val="center"/>
        </w:trPr>
        <w:tc>
          <w:tcPr>
            <w:tcW w:w="16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jc w:val="center"/>
              <w:rPr>
                <w:b/>
                <w:color w:val="FFFFFF" w:themeColor="background1"/>
                <w:sz w:val="22"/>
                <w:szCs w:val="22"/>
              </w:rPr>
            </w:pPr>
            <w:r w:rsidRPr="00182780">
              <w:rPr>
                <w:b/>
                <w:color w:val="FFFFFF" w:themeColor="background1"/>
                <w:sz w:val="22"/>
                <w:szCs w:val="22"/>
              </w:rPr>
              <w:t>Variación en %</w:t>
            </w:r>
          </w:p>
          <w:p w:rsidR="007957D3" w:rsidRPr="00182780" w:rsidRDefault="007957D3" w:rsidP="000D3B0D">
            <w:pPr>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2127"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ind w:left="-210" w:right="-176"/>
              <w:jc w:val="center"/>
              <w:rPr>
                <w:b/>
                <w:color w:val="FFFFFF" w:themeColor="background1"/>
                <w:sz w:val="22"/>
                <w:szCs w:val="22"/>
              </w:rPr>
            </w:pPr>
            <w:r w:rsidRPr="00182780">
              <w:rPr>
                <w:b/>
                <w:color w:val="FFFFFF" w:themeColor="background1"/>
                <w:sz w:val="22"/>
                <w:szCs w:val="22"/>
              </w:rPr>
              <w:t>Concepto</w:t>
            </w:r>
          </w:p>
        </w:tc>
        <w:tc>
          <w:tcPr>
            <w:tcW w:w="212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jc w:val="center"/>
              <w:rPr>
                <w:b/>
                <w:color w:val="FFFFFF" w:themeColor="background1"/>
                <w:sz w:val="22"/>
                <w:szCs w:val="22"/>
              </w:rPr>
            </w:pPr>
            <w:r w:rsidRPr="00182780">
              <w:rPr>
                <w:b/>
                <w:color w:val="FFFFFF" w:themeColor="background1"/>
                <w:sz w:val="22"/>
                <w:szCs w:val="22"/>
              </w:rPr>
              <w:t>Variación en %</w:t>
            </w:r>
          </w:p>
          <w:p w:rsidR="007957D3" w:rsidRPr="00182780" w:rsidRDefault="007957D3" w:rsidP="000D3B0D">
            <w:pPr>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452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7957D3" w:rsidRPr="00182780" w:rsidRDefault="007957D3" w:rsidP="000D3B0D">
            <w:pPr>
              <w:ind w:left="-108" w:right="-108"/>
              <w:jc w:val="center"/>
              <w:rPr>
                <w:b/>
                <w:color w:val="FFFFFF" w:themeColor="background1"/>
                <w:sz w:val="22"/>
                <w:szCs w:val="22"/>
              </w:rPr>
            </w:pPr>
            <w:r w:rsidRPr="00182780">
              <w:rPr>
                <w:b/>
                <w:color w:val="FFFFFF" w:themeColor="background1"/>
                <w:sz w:val="22"/>
                <w:szCs w:val="22"/>
              </w:rPr>
              <w:t xml:space="preserve">en la semana del </w:t>
            </w:r>
            <w:r>
              <w:rPr>
                <w:b/>
                <w:color w:val="FFFFFF" w:themeColor="background1"/>
                <w:sz w:val="22"/>
                <w:szCs w:val="22"/>
              </w:rPr>
              <w:t>9 al 13</w:t>
            </w:r>
            <w:r w:rsidRPr="00182780">
              <w:rPr>
                <w:b/>
                <w:color w:val="FFFFFF" w:themeColor="background1"/>
                <w:sz w:val="22"/>
                <w:szCs w:val="22"/>
              </w:rPr>
              <w:t xml:space="preserve"> de </w:t>
            </w:r>
          </w:p>
          <w:p w:rsidR="007957D3" w:rsidRPr="00182780" w:rsidRDefault="007957D3" w:rsidP="000D3B0D">
            <w:pPr>
              <w:ind w:left="-108" w:right="-108"/>
              <w:jc w:val="center"/>
              <w:rPr>
                <w:b/>
                <w:color w:val="FFFFFF" w:themeColor="background1"/>
                <w:sz w:val="22"/>
                <w:szCs w:val="22"/>
              </w:rPr>
            </w:pPr>
            <w:r>
              <w:rPr>
                <w:b/>
                <w:color w:val="FFFFFF" w:themeColor="background1"/>
                <w:sz w:val="22"/>
                <w:szCs w:val="22"/>
                <w:lang w:val="es-MX"/>
              </w:rPr>
              <w:t>marzo</w:t>
            </w:r>
            <w:r w:rsidRPr="00182780">
              <w:rPr>
                <w:b/>
                <w:color w:val="FFFFFF" w:themeColor="background1"/>
                <w:sz w:val="22"/>
                <w:szCs w:val="22"/>
                <w:lang w:val="es-MX"/>
              </w:rPr>
              <w:t xml:space="preserve"> </w:t>
            </w:r>
            <w:r w:rsidRPr="00182780">
              <w:rPr>
                <w:b/>
                <w:color w:val="FFFFFF" w:themeColor="background1"/>
                <w:sz w:val="22"/>
                <w:szCs w:val="22"/>
              </w:rPr>
              <w:t>de 201</w:t>
            </w:r>
            <w:r>
              <w:rPr>
                <w:b/>
                <w:color w:val="FFFFFF" w:themeColor="background1"/>
                <w:sz w:val="22"/>
                <w:szCs w:val="22"/>
              </w:rPr>
              <w:t>5</w:t>
            </w:r>
          </w:p>
        </w:tc>
      </w:tr>
      <w:tr w:rsidR="007957D3" w:rsidRPr="00182780" w:rsidTr="00CD6BD2">
        <w:trPr>
          <w:trHeight w:val="388"/>
          <w:jc w:val="center"/>
        </w:trPr>
        <w:tc>
          <w:tcPr>
            <w:tcW w:w="5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ind w:left="-170" w:right="-128"/>
              <w:jc w:val="center"/>
              <w:rPr>
                <w:b/>
                <w:color w:val="FFFFFF" w:themeColor="background1"/>
                <w:sz w:val="22"/>
                <w:szCs w:val="22"/>
                <w:lang w:val="es-MX"/>
              </w:rPr>
            </w:pPr>
            <w:r>
              <w:rPr>
                <w:b/>
                <w:color w:val="FFFFFF" w:themeColor="background1"/>
                <w:sz w:val="22"/>
                <w:szCs w:val="22"/>
                <w:lang w:val="es-MX"/>
              </w:rPr>
              <w:t>Feb</w:t>
            </w:r>
            <w:r w:rsidRPr="00182780">
              <w:rPr>
                <w:b/>
                <w:color w:val="FFFFFF" w:themeColor="background1"/>
                <w:sz w:val="22"/>
                <w:szCs w:val="22"/>
                <w:lang w:val="es-MX"/>
              </w:rPr>
              <w:t>.</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7957D3" w:rsidRPr="00182780" w:rsidRDefault="007957D3" w:rsidP="000D3B0D">
            <w:pPr>
              <w:spacing w:after="60"/>
              <w:ind w:left="-108" w:right="-108"/>
              <w:jc w:val="center"/>
              <w:rPr>
                <w:b/>
                <w:color w:val="FFFFFF" w:themeColor="background1"/>
                <w:sz w:val="22"/>
                <w:szCs w:val="22"/>
                <w:lang w:val="es-MX"/>
              </w:rPr>
            </w:pPr>
            <w:r>
              <w:rPr>
                <w:b/>
                <w:color w:val="FFFFFF" w:themeColor="background1"/>
                <w:sz w:val="22"/>
                <w:szCs w:val="22"/>
                <w:lang w:val="es-MX"/>
              </w:rPr>
              <w:t>Feb</w:t>
            </w:r>
            <w:r w:rsidRPr="00182780">
              <w:rPr>
                <w:b/>
                <w:color w:val="FFFFFF" w:themeColor="background1"/>
                <w:sz w:val="22"/>
                <w:szCs w:val="22"/>
                <w:lang w:val="es-MX"/>
              </w:rPr>
              <w:t>.</w:t>
            </w:r>
          </w:p>
        </w:tc>
        <w:tc>
          <w:tcPr>
            <w:tcW w:w="2127"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rPr>
                <w:b/>
                <w:color w:val="FFFFFF" w:themeColor="background1"/>
                <w:sz w:val="22"/>
                <w:szCs w:val="22"/>
              </w:rPr>
            </w:pP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ind w:left="-165" w:right="-140"/>
              <w:jc w:val="center"/>
              <w:rPr>
                <w:b/>
                <w:color w:val="FFFFFF" w:themeColor="background1"/>
                <w:sz w:val="22"/>
                <w:szCs w:val="22"/>
              </w:rPr>
            </w:pPr>
            <w:r>
              <w:rPr>
                <w:b/>
                <w:color w:val="FFFFFF" w:themeColor="background1"/>
                <w:sz w:val="22"/>
                <w:szCs w:val="22"/>
                <w:lang w:val="es-MX"/>
              </w:rPr>
              <w:t>Feb</w:t>
            </w:r>
            <w:r w:rsidRPr="00182780">
              <w:rPr>
                <w:b/>
                <w:color w:val="FFFFFF" w:themeColor="background1"/>
                <w:sz w:val="22"/>
                <w:szCs w:val="22"/>
                <w:lang w:val="es-MX"/>
              </w:rPr>
              <w:t>.</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7957D3" w:rsidRPr="00182780" w:rsidRDefault="007957D3" w:rsidP="000D3B0D">
            <w:pPr>
              <w:spacing w:after="60"/>
              <w:ind w:left="-108" w:right="-108"/>
              <w:jc w:val="center"/>
              <w:rPr>
                <w:b/>
                <w:color w:val="FFFFFF" w:themeColor="background1"/>
                <w:sz w:val="22"/>
                <w:szCs w:val="22"/>
                <w:lang w:val="es-MX"/>
              </w:rPr>
            </w:pPr>
            <w:r>
              <w:rPr>
                <w:b/>
                <w:color w:val="FFFFFF" w:themeColor="background1"/>
                <w:sz w:val="22"/>
                <w:szCs w:val="22"/>
                <w:lang w:val="es-MX"/>
              </w:rPr>
              <w:t>Feb</w:t>
            </w:r>
            <w:r w:rsidRPr="00182780">
              <w:rPr>
                <w:b/>
                <w:color w:val="FFFFFF" w:themeColor="background1"/>
                <w:sz w:val="22"/>
                <w:szCs w:val="22"/>
                <w:lang w:val="es-MX"/>
              </w:rPr>
              <w:t>.</w:t>
            </w:r>
          </w:p>
        </w:tc>
        <w:tc>
          <w:tcPr>
            <w:tcW w:w="4528"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957D3" w:rsidRPr="00182780" w:rsidRDefault="007957D3" w:rsidP="000D3B0D">
            <w:pPr>
              <w:rPr>
                <w:b/>
                <w:sz w:val="22"/>
                <w:szCs w:val="22"/>
              </w:rPr>
            </w:pPr>
          </w:p>
        </w:tc>
      </w:tr>
      <w:tr w:rsidR="007957D3" w:rsidRPr="00182780" w:rsidTr="000D3B0D">
        <w:trPr>
          <w:trHeight w:val="801"/>
          <w:jc w:val="center"/>
        </w:trPr>
        <w:tc>
          <w:tcPr>
            <w:tcW w:w="562" w:type="dxa"/>
            <w:tcBorders>
              <w:top w:val="single" w:sz="4" w:space="0" w:color="FFFFFF" w:themeColor="background1"/>
              <w:left w:val="single" w:sz="4" w:space="0" w:color="auto"/>
              <w:bottom w:val="single" w:sz="4" w:space="0" w:color="auto"/>
              <w:right w:val="single" w:sz="4" w:space="0" w:color="auto"/>
            </w:tcBorders>
          </w:tcPr>
          <w:p w:rsidR="007957D3" w:rsidRPr="00182780" w:rsidRDefault="007957D3" w:rsidP="000D3B0D">
            <w:pPr>
              <w:spacing w:before="120"/>
              <w:ind w:left="-108" w:right="-128"/>
              <w:jc w:val="center"/>
              <w:rPr>
                <w:sz w:val="20"/>
                <w:szCs w:val="20"/>
              </w:rPr>
            </w:pPr>
            <w:r>
              <w:rPr>
                <w:sz w:val="20"/>
                <w:szCs w:val="20"/>
              </w:rPr>
              <w:t>0.25</w:t>
            </w:r>
          </w:p>
        </w:tc>
        <w:tc>
          <w:tcPr>
            <w:tcW w:w="1134" w:type="dxa"/>
            <w:tcBorders>
              <w:top w:val="single" w:sz="4" w:space="0" w:color="FFFFFF" w:themeColor="background1"/>
              <w:left w:val="single" w:sz="4" w:space="0" w:color="auto"/>
              <w:bottom w:val="single" w:sz="4" w:space="0" w:color="auto"/>
              <w:right w:val="single" w:sz="4" w:space="0" w:color="auto"/>
            </w:tcBorders>
          </w:tcPr>
          <w:p w:rsidR="007957D3" w:rsidRPr="00182780" w:rsidRDefault="007957D3" w:rsidP="000D3B0D">
            <w:pPr>
              <w:tabs>
                <w:tab w:val="left" w:pos="212"/>
              </w:tabs>
              <w:spacing w:before="120"/>
              <w:ind w:left="-88" w:right="-108"/>
              <w:jc w:val="center"/>
              <w:rPr>
                <w:color w:val="000000" w:themeColor="text1"/>
                <w:sz w:val="20"/>
                <w:szCs w:val="20"/>
              </w:rPr>
            </w:pPr>
            <w:r>
              <w:rPr>
                <w:color w:val="000000" w:themeColor="text1"/>
                <w:sz w:val="20"/>
                <w:szCs w:val="20"/>
              </w:rPr>
              <w:t>1.15</w:t>
            </w:r>
          </w:p>
        </w:tc>
        <w:tc>
          <w:tcPr>
            <w:tcW w:w="2127" w:type="dxa"/>
            <w:tcBorders>
              <w:top w:val="single" w:sz="4" w:space="0" w:color="FFFFFF" w:themeColor="background1"/>
              <w:left w:val="single" w:sz="4" w:space="0" w:color="auto"/>
              <w:bottom w:val="single" w:sz="4" w:space="0" w:color="auto"/>
              <w:right w:val="single" w:sz="4" w:space="0" w:color="auto"/>
            </w:tcBorders>
          </w:tcPr>
          <w:p w:rsidR="007957D3" w:rsidRPr="00182780" w:rsidRDefault="007957D3" w:rsidP="000D3B0D">
            <w:pPr>
              <w:spacing w:before="120"/>
              <w:ind w:left="-211" w:right="-175"/>
              <w:jc w:val="center"/>
              <w:rPr>
                <w:color w:val="000000" w:themeColor="text1"/>
                <w:sz w:val="20"/>
                <w:szCs w:val="20"/>
              </w:rPr>
            </w:pPr>
            <w:r w:rsidRPr="00182780">
              <w:rPr>
                <w:b/>
                <w:color w:val="000000" w:themeColor="text1"/>
                <w:sz w:val="20"/>
                <w:szCs w:val="20"/>
              </w:rPr>
              <w:t>INPC</w:t>
            </w:r>
          </w:p>
        </w:tc>
        <w:tc>
          <w:tcPr>
            <w:tcW w:w="850" w:type="dxa"/>
            <w:tcBorders>
              <w:top w:val="single" w:sz="4" w:space="0" w:color="FFFFFF" w:themeColor="background1"/>
              <w:left w:val="single" w:sz="4" w:space="0" w:color="auto"/>
              <w:bottom w:val="single" w:sz="4" w:space="0" w:color="auto"/>
              <w:right w:val="single" w:sz="4" w:space="0" w:color="auto"/>
            </w:tcBorders>
          </w:tcPr>
          <w:p w:rsidR="007957D3" w:rsidRPr="00182780" w:rsidRDefault="007957D3" w:rsidP="000D3B0D">
            <w:pPr>
              <w:spacing w:before="120"/>
              <w:ind w:left="-101" w:right="-140"/>
              <w:jc w:val="center"/>
              <w:rPr>
                <w:color w:val="000000" w:themeColor="text1"/>
                <w:sz w:val="20"/>
                <w:szCs w:val="20"/>
              </w:rPr>
            </w:pPr>
            <w:r>
              <w:rPr>
                <w:color w:val="000000" w:themeColor="text1"/>
                <w:sz w:val="20"/>
                <w:szCs w:val="20"/>
              </w:rPr>
              <w:t>0.19</w:t>
            </w:r>
          </w:p>
        </w:tc>
        <w:tc>
          <w:tcPr>
            <w:tcW w:w="1276" w:type="dxa"/>
            <w:tcBorders>
              <w:top w:val="single" w:sz="4" w:space="0" w:color="FFFFFF" w:themeColor="background1"/>
              <w:left w:val="single" w:sz="4" w:space="0" w:color="auto"/>
              <w:bottom w:val="single" w:sz="4" w:space="0" w:color="auto"/>
              <w:right w:val="single" w:sz="4" w:space="0" w:color="auto"/>
            </w:tcBorders>
          </w:tcPr>
          <w:p w:rsidR="007957D3" w:rsidRPr="00182780" w:rsidRDefault="007957D3" w:rsidP="000D3B0D">
            <w:pPr>
              <w:spacing w:before="120"/>
              <w:ind w:left="-71" w:right="-71"/>
              <w:jc w:val="center"/>
              <w:rPr>
                <w:color w:val="000000" w:themeColor="text1"/>
                <w:sz w:val="20"/>
                <w:szCs w:val="20"/>
              </w:rPr>
            </w:pPr>
            <w:r>
              <w:rPr>
                <w:color w:val="000000" w:themeColor="text1"/>
                <w:sz w:val="20"/>
                <w:szCs w:val="20"/>
              </w:rPr>
              <w:t>0.10</w:t>
            </w:r>
          </w:p>
        </w:tc>
        <w:tc>
          <w:tcPr>
            <w:tcW w:w="4528" w:type="dxa"/>
            <w:tcBorders>
              <w:top w:val="single" w:sz="4" w:space="0" w:color="FFFFFF" w:themeColor="background1"/>
              <w:left w:val="single" w:sz="4" w:space="0" w:color="auto"/>
              <w:bottom w:val="single" w:sz="4" w:space="0" w:color="auto"/>
              <w:right w:val="single" w:sz="4" w:space="0" w:color="auto"/>
            </w:tcBorders>
          </w:tcPr>
          <w:p w:rsidR="007957D3" w:rsidRPr="00EA03C0" w:rsidRDefault="00BB4A27" w:rsidP="00BB4A27">
            <w:pPr>
              <w:spacing w:before="40" w:after="40"/>
              <w:ind w:right="23"/>
              <w:jc w:val="both"/>
              <w:rPr>
                <w:color w:val="000000" w:themeColor="text1"/>
                <w:sz w:val="20"/>
                <w:szCs w:val="20"/>
              </w:rPr>
            </w:pPr>
            <w:r>
              <w:rPr>
                <w:color w:val="000000" w:themeColor="text1"/>
                <w:sz w:val="20"/>
                <w:szCs w:val="20"/>
              </w:rPr>
              <w:t>El Banco de México, en su “I</w:t>
            </w:r>
            <w:r w:rsidR="007957D3" w:rsidRPr="00EA03C0">
              <w:rPr>
                <w:color w:val="000000" w:themeColor="text1"/>
                <w:sz w:val="20"/>
                <w:szCs w:val="20"/>
              </w:rPr>
              <w:t xml:space="preserve">nforme </w:t>
            </w:r>
            <w:r>
              <w:rPr>
                <w:color w:val="000000" w:themeColor="text1"/>
                <w:sz w:val="20"/>
                <w:szCs w:val="20"/>
              </w:rPr>
              <w:t>T</w:t>
            </w:r>
            <w:r w:rsidR="007957D3" w:rsidRPr="00EA03C0">
              <w:rPr>
                <w:color w:val="000000" w:themeColor="text1"/>
                <w:sz w:val="20"/>
                <w:szCs w:val="20"/>
              </w:rPr>
              <w:t>rimestral de octubre-diciembre de 2014</w:t>
            </w:r>
            <w:r>
              <w:rPr>
                <w:color w:val="000000" w:themeColor="text1"/>
                <w:sz w:val="20"/>
                <w:szCs w:val="20"/>
              </w:rPr>
              <w:t>”</w:t>
            </w:r>
            <w:r w:rsidR="007957D3" w:rsidRPr="00EA03C0">
              <w:rPr>
                <w:color w:val="000000" w:themeColor="text1"/>
                <w:sz w:val="20"/>
                <w:szCs w:val="20"/>
              </w:rPr>
              <w:t>, señala que</w:t>
            </w:r>
            <w:r w:rsidR="007957D3">
              <w:rPr>
                <w:color w:val="000000" w:themeColor="text1"/>
                <w:sz w:val="20"/>
                <w:szCs w:val="20"/>
              </w:rPr>
              <w:t>, considerando la evolución reciente de la inflación y sus perspectivas se refrenda la previsión de que ésta alcanzará el 3.0% en 2015 y que se sostendrá alrededor de dicho nivel.</w:t>
            </w:r>
            <w:r w:rsidR="007957D3" w:rsidRPr="00EA03C0">
              <w:rPr>
                <w:color w:val="000000" w:themeColor="text1"/>
                <w:sz w:val="20"/>
                <w:szCs w:val="20"/>
              </w:rPr>
              <w:t xml:space="preserve"> </w:t>
            </w:r>
          </w:p>
        </w:tc>
      </w:tr>
      <w:tr w:rsidR="007957D3" w:rsidRPr="00182780" w:rsidTr="000D3B0D">
        <w:trPr>
          <w:trHeight w:val="126"/>
          <w:jc w:val="center"/>
        </w:trPr>
        <w:tc>
          <w:tcPr>
            <w:tcW w:w="562"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ind w:left="-108" w:right="-128"/>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ind w:left="-88" w:right="-108"/>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7957D3" w:rsidRPr="00182780" w:rsidRDefault="007957D3" w:rsidP="000D3B0D">
            <w:pPr>
              <w:ind w:left="-211" w:right="-175"/>
              <w:jc w:val="center"/>
              <w:rPr>
                <w:b/>
                <w:color w:val="000000" w:themeColor="text1"/>
                <w:sz w:val="20"/>
                <w:szCs w:val="20"/>
              </w:rPr>
            </w:pPr>
            <w:r w:rsidRPr="00182780">
              <w:rPr>
                <w:b/>
                <w:color w:val="000000" w:themeColor="text1"/>
                <w:sz w:val="20"/>
                <w:szCs w:val="20"/>
              </w:rPr>
              <w:t>COMENTARIOS DE HORTIFRUTÍCOLAS</w:t>
            </w:r>
          </w:p>
        </w:tc>
        <w:tc>
          <w:tcPr>
            <w:tcW w:w="850"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ind w:left="-101" w:right="-140"/>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ind w:left="-71" w:right="-71"/>
              <w:jc w:val="center"/>
              <w:rPr>
                <w:color w:val="000000" w:themeColor="text1"/>
                <w:sz w:val="20"/>
                <w:szCs w:val="20"/>
              </w:rPr>
            </w:pPr>
          </w:p>
        </w:tc>
        <w:tc>
          <w:tcPr>
            <w:tcW w:w="4528"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40" w:after="40"/>
              <w:ind w:right="20"/>
              <w:jc w:val="both"/>
              <w:rPr>
                <w:color w:val="000000" w:themeColor="text1"/>
                <w:sz w:val="16"/>
                <w:szCs w:val="16"/>
                <w:highlight w:val="lightGray"/>
                <w:u w:val="single"/>
              </w:rPr>
            </w:pPr>
          </w:p>
        </w:tc>
      </w:tr>
      <w:tr w:rsidR="007957D3" w:rsidRPr="00182780" w:rsidTr="000D3B0D">
        <w:trPr>
          <w:trHeight w:val="2413"/>
          <w:jc w:val="center"/>
        </w:trPr>
        <w:tc>
          <w:tcPr>
            <w:tcW w:w="562"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92"/>
              </w:tabs>
              <w:spacing w:before="120"/>
              <w:ind w:left="-108" w:right="-128"/>
              <w:jc w:val="center"/>
              <w:rPr>
                <w:sz w:val="20"/>
                <w:szCs w:val="20"/>
              </w:rPr>
            </w:pPr>
            <w:r>
              <w:rPr>
                <w:sz w:val="20"/>
                <w:szCs w:val="20"/>
              </w:rPr>
              <w:t>9.11</w:t>
            </w:r>
          </w:p>
        </w:tc>
        <w:tc>
          <w:tcPr>
            <w:tcW w:w="1134"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20"/>
              <w:ind w:left="-88" w:right="-108"/>
              <w:jc w:val="center"/>
              <w:rPr>
                <w:color w:val="000000" w:themeColor="text1"/>
                <w:sz w:val="20"/>
                <w:szCs w:val="20"/>
              </w:rPr>
            </w:pPr>
            <w:r>
              <w:rPr>
                <w:color w:val="000000" w:themeColor="text1"/>
                <w:sz w:val="20"/>
                <w:szCs w:val="20"/>
              </w:rPr>
              <w:t>24.00</w:t>
            </w:r>
          </w:p>
        </w:tc>
        <w:tc>
          <w:tcPr>
            <w:tcW w:w="2127"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20"/>
              <w:ind w:left="-210" w:right="-176"/>
              <w:jc w:val="center"/>
              <w:rPr>
                <w:color w:val="000000" w:themeColor="text1"/>
                <w:sz w:val="20"/>
                <w:szCs w:val="20"/>
              </w:rPr>
            </w:pPr>
            <w:r w:rsidRPr="00182780">
              <w:rPr>
                <w:color w:val="000000" w:themeColor="text1"/>
                <w:sz w:val="20"/>
                <w:szCs w:val="20"/>
              </w:rPr>
              <w:t>Cebolla</w:t>
            </w:r>
          </w:p>
        </w:tc>
        <w:tc>
          <w:tcPr>
            <w:tcW w:w="850"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20"/>
              <w:ind w:left="-101" w:right="-140"/>
              <w:jc w:val="center"/>
              <w:rPr>
                <w:color w:val="000000" w:themeColor="text1"/>
                <w:sz w:val="20"/>
                <w:szCs w:val="20"/>
              </w:rPr>
            </w:pPr>
            <w:r>
              <w:rPr>
                <w:color w:val="000000" w:themeColor="text1"/>
                <w:sz w:val="20"/>
                <w:szCs w:val="20"/>
              </w:rPr>
              <w:t>-9.21</w:t>
            </w:r>
          </w:p>
        </w:tc>
        <w:tc>
          <w:tcPr>
            <w:tcW w:w="1276"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20"/>
              <w:ind w:left="-71" w:right="-71"/>
              <w:jc w:val="center"/>
              <w:rPr>
                <w:color w:val="000000" w:themeColor="text1"/>
                <w:sz w:val="20"/>
                <w:szCs w:val="20"/>
              </w:rPr>
            </w:pPr>
            <w:r>
              <w:rPr>
                <w:color w:val="000000" w:themeColor="text1"/>
                <w:sz w:val="20"/>
                <w:szCs w:val="20"/>
              </w:rPr>
              <w:t>-11.57</w:t>
            </w:r>
          </w:p>
        </w:tc>
        <w:tc>
          <w:tcPr>
            <w:tcW w:w="4528" w:type="dxa"/>
            <w:tcBorders>
              <w:top w:val="single" w:sz="4" w:space="0" w:color="auto"/>
              <w:left w:val="single" w:sz="4" w:space="0" w:color="auto"/>
              <w:bottom w:val="single" w:sz="4" w:space="0" w:color="auto"/>
              <w:right w:val="single" w:sz="4" w:space="0" w:color="auto"/>
            </w:tcBorders>
          </w:tcPr>
          <w:p w:rsidR="007957D3" w:rsidRPr="00C07CDC" w:rsidRDefault="007957D3" w:rsidP="00CD6BD2">
            <w:pPr>
              <w:spacing w:before="40" w:after="40"/>
              <w:jc w:val="both"/>
              <w:rPr>
                <w:rFonts w:ascii="Calibri" w:hAnsi="Calibri"/>
                <w:color w:val="000000" w:themeColor="text1"/>
                <w:sz w:val="22"/>
                <w:szCs w:val="22"/>
                <w:lang w:val="es-MX"/>
              </w:rPr>
            </w:pPr>
            <w:r w:rsidRPr="00C07CDC">
              <w:rPr>
                <w:color w:val="000000" w:themeColor="text1"/>
                <w:sz w:val="20"/>
                <w:szCs w:val="20"/>
              </w:rPr>
              <w:t xml:space="preserve">El precio de la cebolla registró una baja de 1.85% en relación </w:t>
            </w:r>
            <w:r w:rsidR="00CD6BD2">
              <w:rPr>
                <w:color w:val="000000" w:themeColor="text1"/>
                <w:sz w:val="20"/>
                <w:szCs w:val="20"/>
              </w:rPr>
              <w:t>con</w:t>
            </w:r>
            <w:r w:rsidRPr="00C07CDC">
              <w:rPr>
                <w:color w:val="000000" w:themeColor="text1"/>
                <w:sz w:val="20"/>
                <w:szCs w:val="20"/>
              </w:rPr>
              <w:t xml:space="preserve"> la semana anterior, </w:t>
            </w:r>
            <w:r w:rsidR="000D3B0D" w:rsidRPr="00C07CDC">
              <w:rPr>
                <w:color w:val="000000" w:themeColor="text1"/>
                <w:sz w:val="20"/>
                <w:szCs w:val="20"/>
              </w:rPr>
              <w:t>ubicándose 62.14</w:t>
            </w:r>
            <w:r w:rsidRPr="00C07CDC">
              <w:rPr>
                <w:color w:val="000000" w:themeColor="text1"/>
                <w:sz w:val="20"/>
                <w:szCs w:val="20"/>
              </w:rPr>
              <w:t xml:space="preserve">% por abajo de los </w:t>
            </w:r>
            <w:r w:rsidR="00CD6BD2">
              <w:rPr>
                <w:color w:val="000000" w:themeColor="text1"/>
                <w:sz w:val="20"/>
                <w:szCs w:val="20"/>
              </w:rPr>
              <w:t xml:space="preserve">niveles </w:t>
            </w:r>
            <w:r w:rsidRPr="00C07CDC">
              <w:rPr>
                <w:color w:val="000000" w:themeColor="text1"/>
                <w:sz w:val="20"/>
                <w:szCs w:val="20"/>
              </w:rPr>
              <w:t xml:space="preserve">registrados en la </w:t>
            </w:r>
            <w:r w:rsidR="000D3B0D" w:rsidRPr="00C07CDC">
              <w:rPr>
                <w:color w:val="000000" w:themeColor="text1"/>
                <w:sz w:val="20"/>
                <w:szCs w:val="20"/>
              </w:rPr>
              <w:t>misma fecha</w:t>
            </w:r>
            <w:r w:rsidRPr="00C07CDC">
              <w:rPr>
                <w:color w:val="000000" w:themeColor="text1"/>
                <w:sz w:val="20"/>
                <w:szCs w:val="20"/>
              </w:rPr>
              <w:t xml:space="preserve"> de 2014. Lo anterior es resultado del satisfactorio abasto que se tiene</w:t>
            </w:r>
            <w:r w:rsidR="00CD6BD2">
              <w:rPr>
                <w:color w:val="000000" w:themeColor="text1"/>
                <w:sz w:val="20"/>
                <w:szCs w:val="20"/>
              </w:rPr>
              <w:t>,</w:t>
            </w:r>
            <w:r w:rsidRPr="00C07CDC">
              <w:rPr>
                <w:color w:val="000000" w:themeColor="text1"/>
                <w:sz w:val="20"/>
                <w:szCs w:val="20"/>
              </w:rPr>
              <w:t xml:space="preserve"> ya que ingresan volúmenes constantes de los Estados </w:t>
            </w:r>
            <w:r w:rsidR="000D3B0D" w:rsidRPr="00C07CDC">
              <w:rPr>
                <w:color w:val="000000" w:themeColor="text1"/>
                <w:sz w:val="20"/>
                <w:szCs w:val="20"/>
              </w:rPr>
              <w:t>de Morelos</w:t>
            </w:r>
            <w:r w:rsidRPr="00C07CDC">
              <w:rPr>
                <w:color w:val="000000" w:themeColor="text1"/>
                <w:sz w:val="20"/>
                <w:szCs w:val="20"/>
              </w:rPr>
              <w:t xml:space="preserve"> y Puebla, y se complementan con cantidades menores provenientes de Tamaulipas y Sinaloa. Se espera que para los próximos quince días, de contarse con buenas condiciones del clima en las dos primeras entidades, exista continuidad en la oferta y tendencia a la estabilidad del precio.</w:t>
            </w:r>
          </w:p>
        </w:tc>
      </w:tr>
      <w:tr w:rsidR="007957D3" w:rsidRPr="00182780" w:rsidTr="000D3B0D">
        <w:trPr>
          <w:trHeight w:val="541"/>
          <w:jc w:val="center"/>
        </w:trPr>
        <w:tc>
          <w:tcPr>
            <w:tcW w:w="562"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60"/>
              <w:ind w:left="-108" w:right="-128"/>
              <w:jc w:val="center"/>
              <w:rPr>
                <w:sz w:val="20"/>
                <w:szCs w:val="20"/>
              </w:rPr>
            </w:pPr>
            <w:r>
              <w:rPr>
                <w:sz w:val="20"/>
                <w:szCs w:val="20"/>
              </w:rPr>
              <w:t>-33.20</w:t>
            </w:r>
          </w:p>
        </w:tc>
        <w:tc>
          <w:tcPr>
            <w:tcW w:w="1134"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60"/>
              <w:ind w:left="-88" w:right="-108"/>
              <w:jc w:val="center"/>
              <w:rPr>
                <w:color w:val="000000" w:themeColor="text1"/>
                <w:sz w:val="20"/>
                <w:szCs w:val="20"/>
              </w:rPr>
            </w:pPr>
            <w:r>
              <w:rPr>
                <w:sz w:val="20"/>
                <w:szCs w:val="20"/>
              </w:rPr>
              <w:t>-56.91</w:t>
            </w:r>
          </w:p>
        </w:tc>
        <w:tc>
          <w:tcPr>
            <w:tcW w:w="2127"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211" w:right="-175"/>
              <w:jc w:val="center"/>
              <w:rPr>
                <w:color w:val="000000" w:themeColor="text1"/>
                <w:sz w:val="20"/>
                <w:szCs w:val="20"/>
              </w:rPr>
            </w:pPr>
            <w:r w:rsidRPr="00182780">
              <w:rPr>
                <w:color w:val="000000" w:themeColor="text1"/>
                <w:sz w:val="20"/>
                <w:szCs w:val="20"/>
              </w:rPr>
              <w:t xml:space="preserve">Jitomate </w:t>
            </w:r>
          </w:p>
        </w:tc>
        <w:tc>
          <w:tcPr>
            <w:tcW w:w="850"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71" w:right="-71"/>
              <w:jc w:val="center"/>
              <w:rPr>
                <w:color w:val="000000" w:themeColor="text1"/>
                <w:sz w:val="20"/>
                <w:szCs w:val="20"/>
              </w:rPr>
            </w:pPr>
            <w:r>
              <w:rPr>
                <w:color w:val="000000" w:themeColor="text1"/>
                <w:sz w:val="20"/>
                <w:szCs w:val="20"/>
              </w:rPr>
              <w:t>-30.10</w:t>
            </w:r>
          </w:p>
        </w:tc>
        <w:tc>
          <w:tcPr>
            <w:tcW w:w="1276"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71" w:right="-71"/>
              <w:jc w:val="center"/>
              <w:rPr>
                <w:color w:val="000000" w:themeColor="text1"/>
                <w:sz w:val="20"/>
                <w:szCs w:val="20"/>
              </w:rPr>
            </w:pPr>
            <w:r>
              <w:rPr>
                <w:color w:val="000000" w:themeColor="text1"/>
                <w:sz w:val="20"/>
                <w:szCs w:val="20"/>
              </w:rPr>
              <w:t>-57.15</w:t>
            </w:r>
          </w:p>
        </w:tc>
        <w:tc>
          <w:tcPr>
            <w:tcW w:w="4528" w:type="dxa"/>
            <w:tcBorders>
              <w:top w:val="single" w:sz="4" w:space="0" w:color="auto"/>
              <w:left w:val="single" w:sz="4" w:space="0" w:color="auto"/>
              <w:bottom w:val="single" w:sz="4" w:space="0" w:color="auto"/>
              <w:right w:val="single" w:sz="4" w:space="0" w:color="auto"/>
            </w:tcBorders>
          </w:tcPr>
          <w:p w:rsidR="007957D3" w:rsidRPr="00000EDE" w:rsidRDefault="007957D3" w:rsidP="00BB4A27">
            <w:pPr>
              <w:spacing w:before="40" w:after="40"/>
              <w:jc w:val="both"/>
              <w:rPr>
                <w:color w:val="000000" w:themeColor="text1"/>
                <w:sz w:val="20"/>
                <w:szCs w:val="20"/>
              </w:rPr>
            </w:pPr>
            <w:r w:rsidRPr="00000EDE">
              <w:rPr>
                <w:color w:val="000000" w:themeColor="text1"/>
                <w:sz w:val="20"/>
                <w:szCs w:val="20"/>
              </w:rPr>
              <w:t>El precio promedio del jitomate se encuentra 88.96% por arriba</w:t>
            </w:r>
            <w:r w:rsidR="00CD6BD2">
              <w:rPr>
                <w:color w:val="000000" w:themeColor="text1"/>
                <w:sz w:val="20"/>
                <w:szCs w:val="20"/>
              </w:rPr>
              <w:t xml:space="preserve"> de</w:t>
            </w:r>
            <w:r w:rsidRPr="00000EDE">
              <w:rPr>
                <w:color w:val="000000" w:themeColor="text1"/>
                <w:sz w:val="20"/>
                <w:szCs w:val="20"/>
              </w:rPr>
              <w:t xml:space="preserve"> los registrados hace un año por estas mismas fechas, esto debido a que las lluvias que han ocurriendo en Sinaloa afectaron las huertas y han propiciado la aparición de enfermedades en los cultivos; aun cuando ingresan cantidades menores de los Estados de Puebla, Morelos y Michoacán, la oferta global continuó disminuyendo, principalmente la de producto de buena calidad, el cual además en buena parte se está exportando.</w:t>
            </w:r>
          </w:p>
        </w:tc>
      </w:tr>
      <w:tr w:rsidR="000D3B0D" w:rsidRPr="00182780" w:rsidTr="000D3B0D">
        <w:trPr>
          <w:trHeight w:val="541"/>
          <w:jc w:val="center"/>
        </w:trPr>
        <w:tc>
          <w:tcPr>
            <w:tcW w:w="562"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left="-108" w:right="-130"/>
              <w:jc w:val="center"/>
              <w:rPr>
                <w:sz w:val="20"/>
                <w:szCs w:val="20"/>
              </w:rPr>
            </w:pPr>
            <w:r>
              <w:rPr>
                <w:sz w:val="20"/>
                <w:szCs w:val="20"/>
              </w:rPr>
              <w:t>1.77</w:t>
            </w:r>
          </w:p>
        </w:tc>
        <w:tc>
          <w:tcPr>
            <w:tcW w:w="1134"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left="-88" w:right="-108"/>
              <w:jc w:val="center"/>
              <w:rPr>
                <w:color w:val="000000" w:themeColor="text1"/>
                <w:sz w:val="20"/>
                <w:szCs w:val="20"/>
              </w:rPr>
            </w:pPr>
            <w:r>
              <w:rPr>
                <w:color w:val="000000" w:themeColor="text1"/>
                <w:sz w:val="20"/>
                <w:szCs w:val="20"/>
              </w:rPr>
              <w:t>16.52</w:t>
            </w:r>
          </w:p>
        </w:tc>
        <w:tc>
          <w:tcPr>
            <w:tcW w:w="2127"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tabs>
                <w:tab w:val="left" w:pos="1404"/>
              </w:tabs>
              <w:spacing w:before="160"/>
              <w:ind w:left="-211" w:right="-175"/>
              <w:jc w:val="center"/>
              <w:rPr>
                <w:sz w:val="20"/>
                <w:szCs w:val="20"/>
              </w:rPr>
            </w:pPr>
            <w:r w:rsidRPr="00182780">
              <w:rPr>
                <w:sz w:val="20"/>
                <w:szCs w:val="20"/>
              </w:rPr>
              <w:t xml:space="preserve">Papa </w:t>
            </w:r>
          </w:p>
          <w:p w:rsidR="000D3B0D" w:rsidRPr="00182780" w:rsidRDefault="000D3B0D" w:rsidP="000D3B0D">
            <w:pPr>
              <w:tabs>
                <w:tab w:val="left" w:pos="1404"/>
              </w:tabs>
              <w:spacing w:before="160"/>
              <w:ind w:left="-211" w:right="-175"/>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tabs>
                <w:tab w:val="left" w:pos="1404"/>
              </w:tabs>
              <w:spacing w:before="160"/>
              <w:ind w:left="-71" w:right="-71"/>
              <w:jc w:val="center"/>
              <w:rPr>
                <w:color w:val="000000" w:themeColor="text1"/>
                <w:sz w:val="20"/>
                <w:szCs w:val="20"/>
              </w:rPr>
            </w:pPr>
            <w:r>
              <w:rPr>
                <w:color w:val="000000" w:themeColor="text1"/>
                <w:sz w:val="20"/>
                <w:szCs w:val="20"/>
              </w:rPr>
              <w:t>9.66</w:t>
            </w:r>
          </w:p>
        </w:tc>
        <w:tc>
          <w:tcPr>
            <w:tcW w:w="1276"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tabs>
                <w:tab w:val="left" w:pos="1404"/>
              </w:tabs>
              <w:spacing w:before="160"/>
              <w:ind w:left="-71" w:right="-71"/>
              <w:jc w:val="center"/>
              <w:rPr>
                <w:color w:val="000000" w:themeColor="text1"/>
                <w:sz w:val="20"/>
                <w:szCs w:val="20"/>
              </w:rPr>
            </w:pPr>
            <w:r>
              <w:rPr>
                <w:color w:val="000000" w:themeColor="text1"/>
                <w:sz w:val="20"/>
                <w:szCs w:val="20"/>
              </w:rPr>
              <w:t>26.85</w:t>
            </w:r>
          </w:p>
        </w:tc>
        <w:tc>
          <w:tcPr>
            <w:tcW w:w="4528" w:type="dxa"/>
            <w:tcBorders>
              <w:top w:val="single" w:sz="4" w:space="0" w:color="auto"/>
              <w:left w:val="single" w:sz="4" w:space="0" w:color="auto"/>
              <w:bottom w:val="single" w:sz="4" w:space="0" w:color="auto"/>
              <w:right w:val="single" w:sz="4" w:space="0" w:color="auto"/>
            </w:tcBorders>
          </w:tcPr>
          <w:p w:rsidR="000D3B0D" w:rsidRPr="00142E14" w:rsidRDefault="000D3B0D" w:rsidP="00BB4A27">
            <w:pPr>
              <w:spacing w:before="40" w:after="40"/>
              <w:jc w:val="both"/>
              <w:rPr>
                <w:color w:val="000000" w:themeColor="text1"/>
                <w:sz w:val="20"/>
                <w:szCs w:val="20"/>
              </w:rPr>
            </w:pPr>
            <w:r w:rsidRPr="00142E14">
              <w:rPr>
                <w:color w:val="000000" w:themeColor="text1"/>
                <w:sz w:val="20"/>
                <w:szCs w:val="20"/>
              </w:rPr>
              <w:t>El precio de la papa registró una baja de 5</w:t>
            </w:r>
            <w:r w:rsidR="00CD6BD2">
              <w:rPr>
                <w:color w:val="000000" w:themeColor="text1"/>
                <w:sz w:val="20"/>
                <w:szCs w:val="20"/>
              </w:rPr>
              <w:t>.76% en relación con</w:t>
            </w:r>
            <w:r w:rsidRPr="00142E14">
              <w:rPr>
                <w:color w:val="000000" w:themeColor="text1"/>
                <w:sz w:val="20"/>
                <w:szCs w:val="20"/>
              </w:rPr>
              <w:t xml:space="preserve"> la semana anterior y </w:t>
            </w:r>
            <w:r w:rsidR="00CD6BD2">
              <w:rPr>
                <w:color w:val="000000" w:themeColor="text1"/>
                <w:sz w:val="20"/>
                <w:szCs w:val="20"/>
              </w:rPr>
              <w:t xml:space="preserve">se ubica </w:t>
            </w:r>
            <w:r w:rsidRPr="00142E14">
              <w:rPr>
                <w:color w:val="000000" w:themeColor="text1"/>
                <w:sz w:val="20"/>
                <w:szCs w:val="20"/>
              </w:rPr>
              <w:t xml:space="preserve">19.09% por arriba de la cotización de febrero de 2014. </w:t>
            </w:r>
            <w:r w:rsidR="00CD6BD2">
              <w:rPr>
                <w:color w:val="000000" w:themeColor="text1"/>
                <w:sz w:val="20"/>
                <w:szCs w:val="20"/>
              </w:rPr>
              <w:t>Lo anterior</w:t>
            </w:r>
            <w:r w:rsidRPr="00142E14">
              <w:rPr>
                <w:color w:val="000000" w:themeColor="text1"/>
                <w:sz w:val="20"/>
                <w:szCs w:val="20"/>
              </w:rPr>
              <w:t>, debido</w:t>
            </w:r>
            <w:r>
              <w:rPr>
                <w:color w:val="000000" w:themeColor="text1"/>
                <w:sz w:val="20"/>
                <w:szCs w:val="20"/>
              </w:rPr>
              <w:t xml:space="preserve"> </w:t>
            </w:r>
            <w:r w:rsidRPr="00142E14">
              <w:rPr>
                <w:color w:val="000000" w:themeColor="text1"/>
                <w:sz w:val="20"/>
                <w:szCs w:val="20"/>
              </w:rPr>
              <w:t xml:space="preserve">a que la oferta mostró cierta recuperación al ingresar algunos volúmenes procedentes de Sonora, que se suman a los envíos de Sinaloa; por otra parte, incidió el poco dinamismo del mercado, </w:t>
            </w:r>
            <w:r w:rsidR="00CD6BD2">
              <w:rPr>
                <w:color w:val="000000" w:themeColor="text1"/>
                <w:sz w:val="20"/>
                <w:szCs w:val="20"/>
              </w:rPr>
              <w:t>aunque</w:t>
            </w:r>
            <w:r w:rsidRPr="00142E14">
              <w:rPr>
                <w:color w:val="000000" w:themeColor="text1"/>
                <w:sz w:val="20"/>
                <w:szCs w:val="20"/>
              </w:rPr>
              <w:t xml:space="preserve"> la producción en Sinaloa ha sido menor que en años anteriores debido a heladas ocurridas en diciembre, así como a la presencia de algunas enfermedades en los cultivos. Para las próximas dos semanas no se esperan incrementos mayores del abasto global, por lo que posiblemente el precio se estabilice alrededor del nivel actual, mismo que es relativamente alto.</w:t>
            </w:r>
          </w:p>
        </w:tc>
      </w:tr>
    </w:tbl>
    <w:p w:rsidR="007957D3" w:rsidRPr="00182780" w:rsidRDefault="007957D3" w:rsidP="007957D3">
      <w:pPr>
        <w:ind w:right="20"/>
        <w:jc w:val="center"/>
        <w:rPr>
          <w:b/>
          <w:sz w:val="22"/>
          <w:szCs w:val="22"/>
        </w:rPr>
      </w:pPr>
      <w:r w:rsidRPr="00182780">
        <w:rPr>
          <w:b/>
          <w:highlight w:val="lightGray"/>
        </w:rPr>
        <w:br w:type="page"/>
      </w:r>
      <w:r w:rsidRPr="00182780">
        <w:rPr>
          <w:b/>
          <w:sz w:val="22"/>
          <w:szCs w:val="22"/>
        </w:rPr>
        <w:lastRenderedPageBreak/>
        <w:t>ÍNDICE NACIONAL DE PRECIOS AL CONSUMIDOR</w:t>
      </w:r>
    </w:p>
    <w:p w:rsidR="007957D3" w:rsidRPr="00182780" w:rsidRDefault="007957D3" w:rsidP="007957D3">
      <w:pPr>
        <w:ind w:right="20"/>
        <w:jc w:val="center"/>
        <w:rPr>
          <w:b/>
          <w:sz w:val="22"/>
          <w:szCs w:val="22"/>
        </w:rPr>
      </w:pPr>
      <w:r w:rsidRPr="00182780">
        <w:rPr>
          <w:b/>
          <w:sz w:val="22"/>
          <w:szCs w:val="22"/>
        </w:rPr>
        <w:t>SEGUIMIENTO DE PRECIOS</w:t>
      </w:r>
    </w:p>
    <w:p w:rsidR="007957D3" w:rsidRPr="00182780" w:rsidRDefault="007957D3" w:rsidP="007957D3">
      <w:pPr>
        <w:ind w:right="20"/>
        <w:jc w:val="center"/>
        <w:rPr>
          <w:b/>
          <w:sz w:val="16"/>
          <w:szCs w:val="22"/>
          <w:highlight w:val="lightGray"/>
        </w:rPr>
      </w:pPr>
    </w:p>
    <w:tbl>
      <w:tblPr>
        <w:tblW w:w="10539" w:type="dxa"/>
        <w:jc w:val="center"/>
        <w:tblLayout w:type="fixed"/>
        <w:tblLook w:val="01E0" w:firstRow="1" w:lastRow="1" w:firstColumn="1" w:lastColumn="1" w:noHBand="0" w:noVBand="0"/>
      </w:tblPr>
      <w:tblGrid>
        <w:gridCol w:w="1116"/>
        <w:gridCol w:w="1190"/>
        <w:gridCol w:w="1943"/>
        <w:gridCol w:w="1109"/>
        <w:gridCol w:w="1189"/>
        <w:gridCol w:w="3992"/>
      </w:tblGrid>
      <w:tr w:rsidR="007957D3" w:rsidRPr="00182780" w:rsidTr="000D3B0D">
        <w:trPr>
          <w:cantSplit/>
          <w:trHeight w:val="418"/>
          <w:jc w:val="center"/>
        </w:trPr>
        <w:tc>
          <w:tcPr>
            <w:tcW w:w="230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jc w:val="center"/>
              <w:rPr>
                <w:b/>
                <w:color w:val="FFFFFF" w:themeColor="background1"/>
                <w:sz w:val="22"/>
                <w:szCs w:val="22"/>
              </w:rPr>
            </w:pPr>
            <w:r w:rsidRPr="00182780">
              <w:rPr>
                <w:b/>
                <w:color w:val="FFFFFF" w:themeColor="background1"/>
                <w:sz w:val="22"/>
                <w:szCs w:val="22"/>
              </w:rPr>
              <w:t>Variación en %</w:t>
            </w:r>
          </w:p>
          <w:p w:rsidR="007957D3" w:rsidRPr="00182780" w:rsidRDefault="007957D3" w:rsidP="000D3B0D">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194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ind w:left="-210" w:right="-176"/>
              <w:jc w:val="center"/>
              <w:rPr>
                <w:b/>
                <w:color w:val="FFFFFF" w:themeColor="background1"/>
                <w:sz w:val="22"/>
                <w:szCs w:val="22"/>
              </w:rPr>
            </w:pPr>
            <w:r w:rsidRPr="00182780">
              <w:rPr>
                <w:b/>
                <w:color w:val="FFFFFF" w:themeColor="background1"/>
                <w:sz w:val="22"/>
                <w:szCs w:val="22"/>
              </w:rPr>
              <w:t>Concepto</w:t>
            </w:r>
          </w:p>
        </w:tc>
        <w:tc>
          <w:tcPr>
            <w:tcW w:w="229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jc w:val="center"/>
              <w:rPr>
                <w:b/>
                <w:color w:val="FFFFFF" w:themeColor="background1"/>
                <w:sz w:val="22"/>
                <w:szCs w:val="22"/>
              </w:rPr>
            </w:pPr>
            <w:r w:rsidRPr="00182780">
              <w:rPr>
                <w:b/>
                <w:color w:val="FFFFFF" w:themeColor="background1"/>
                <w:sz w:val="22"/>
                <w:szCs w:val="22"/>
              </w:rPr>
              <w:t>Variación en %</w:t>
            </w:r>
          </w:p>
          <w:p w:rsidR="007957D3" w:rsidRPr="00182780" w:rsidRDefault="007957D3" w:rsidP="000D3B0D">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399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7957D3" w:rsidRPr="00182780" w:rsidRDefault="007957D3" w:rsidP="000D3B0D">
            <w:pPr>
              <w:ind w:left="-108" w:right="-108"/>
              <w:jc w:val="center"/>
              <w:rPr>
                <w:b/>
                <w:color w:val="FFFFFF" w:themeColor="background1"/>
                <w:sz w:val="22"/>
                <w:szCs w:val="22"/>
              </w:rPr>
            </w:pPr>
            <w:r w:rsidRPr="00182780">
              <w:rPr>
                <w:b/>
                <w:color w:val="FFFFFF" w:themeColor="background1"/>
                <w:sz w:val="22"/>
                <w:szCs w:val="22"/>
              </w:rPr>
              <w:t xml:space="preserve">en la semana del </w:t>
            </w:r>
            <w:r>
              <w:rPr>
                <w:b/>
                <w:color w:val="FFFFFF" w:themeColor="background1"/>
                <w:sz w:val="22"/>
                <w:szCs w:val="22"/>
              </w:rPr>
              <w:t>9 al 13</w:t>
            </w:r>
            <w:r w:rsidRPr="00182780">
              <w:rPr>
                <w:b/>
                <w:color w:val="FFFFFF" w:themeColor="background1"/>
                <w:sz w:val="22"/>
                <w:szCs w:val="22"/>
              </w:rPr>
              <w:t xml:space="preserve"> de </w:t>
            </w:r>
          </w:p>
          <w:p w:rsidR="007957D3" w:rsidRPr="00182780" w:rsidRDefault="007957D3" w:rsidP="000D3B0D">
            <w:pPr>
              <w:ind w:left="-144" w:right="-115"/>
              <w:jc w:val="center"/>
              <w:rPr>
                <w:b/>
                <w:color w:val="FFFFFF" w:themeColor="background1"/>
                <w:sz w:val="22"/>
                <w:szCs w:val="22"/>
                <w:highlight w:val="lightGray"/>
              </w:rPr>
            </w:pPr>
            <w:r>
              <w:rPr>
                <w:b/>
                <w:color w:val="FFFFFF" w:themeColor="background1"/>
                <w:sz w:val="22"/>
                <w:szCs w:val="22"/>
                <w:lang w:val="es-MX"/>
              </w:rPr>
              <w:t>marzo</w:t>
            </w:r>
            <w:r w:rsidRPr="00182780">
              <w:rPr>
                <w:b/>
                <w:color w:val="FFFFFF" w:themeColor="background1"/>
                <w:sz w:val="22"/>
                <w:szCs w:val="22"/>
                <w:lang w:val="es-MX"/>
              </w:rPr>
              <w:t xml:space="preserve"> </w:t>
            </w:r>
            <w:r w:rsidRPr="00182780">
              <w:rPr>
                <w:b/>
                <w:color w:val="FFFFFF" w:themeColor="background1"/>
                <w:sz w:val="22"/>
                <w:szCs w:val="22"/>
              </w:rPr>
              <w:t>de 201</w:t>
            </w:r>
            <w:r>
              <w:rPr>
                <w:b/>
                <w:color w:val="FFFFFF" w:themeColor="background1"/>
                <w:sz w:val="22"/>
                <w:szCs w:val="22"/>
              </w:rPr>
              <w:t>5</w:t>
            </w:r>
          </w:p>
        </w:tc>
      </w:tr>
      <w:tr w:rsidR="007957D3" w:rsidRPr="00182780" w:rsidTr="000D3B0D">
        <w:trPr>
          <w:cantSplit/>
          <w:trHeight w:val="718"/>
          <w:jc w:val="center"/>
        </w:trPr>
        <w:tc>
          <w:tcPr>
            <w:tcW w:w="11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ind w:left="-140" w:right="-130"/>
              <w:jc w:val="center"/>
              <w:rPr>
                <w:b/>
                <w:color w:val="FFFFFF" w:themeColor="background1"/>
                <w:sz w:val="22"/>
                <w:szCs w:val="22"/>
                <w:lang w:val="es-MX"/>
              </w:rPr>
            </w:pPr>
            <w:r>
              <w:rPr>
                <w:b/>
                <w:color w:val="FFFFFF" w:themeColor="background1"/>
                <w:sz w:val="22"/>
                <w:szCs w:val="22"/>
                <w:lang w:val="es-MX"/>
              </w:rPr>
              <w:t>Feb</w:t>
            </w:r>
            <w:r w:rsidRPr="00182780">
              <w:rPr>
                <w:b/>
                <w:color w:val="FFFFFF" w:themeColor="background1"/>
                <w:sz w:val="22"/>
                <w:szCs w:val="22"/>
                <w:lang w:val="es-MX"/>
              </w:rPr>
              <w:t>.</w:t>
            </w:r>
          </w:p>
        </w:tc>
        <w:tc>
          <w:tcPr>
            <w:tcW w:w="11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7957D3" w:rsidRPr="00182780" w:rsidRDefault="007957D3" w:rsidP="000D3B0D">
            <w:pPr>
              <w:ind w:left="-108" w:right="-108"/>
              <w:jc w:val="center"/>
              <w:rPr>
                <w:b/>
                <w:color w:val="FFFFFF" w:themeColor="background1"/>
                <w:sz w:val="22"/>
                <w:szCs w:val="22"/>
                <w:lang w:val="es-MX"/>
              </w:rPr>
            </w:pPr>
            <w:r>
              <w:rPr>
                <w:b/>
                <w:color w:val="FFFFFF" w:themeColor="background1"/>
                <w:sz w:val="22"/>
                <w:szCs w:val="22"/>
                <w:lang w:val="es-MX"/>
              </w:rPr>
              <w:t>Feb</w:t>
            </w:r>
            <w:r w:rsidRPr="00182780">
              <w:rPr>
                <w:b/>
                <w:color w:val="FFFFFF" w:themeColor="background1"/>
                <w:sz w:val="22"/>
                <w:szCs w:val="22"/>
                <w:lang w:val="es-MX"/>
              </w:rPr>
              <w:t>.</w:t>
            </w:r>
          </w:p>
        </w:tc>
        <w:tc>
          <w:tcPr>
            <w:tcW w:w="194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rPr>
                <w:b/>
                <w:color w:val="FFFFFF" w:themeColor="background1"/>
                <w:sz w:val="22"/>
                <w:szCs w:val="22"/>
              </w:rPr>
            </w:pPr>
          </w:p>
        </w:tc>
        <w:tc>
          <w:tcPr>
            <w:tcW w:w="11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ind w:left="-161" w:right="-140"/>
              <w:jc w:val="center"/>
              <w:rPr>
                <w:b/>
                <w:color w:val="FFFFFF" w:themeColor="background1"/>
                <w:sz w:val="22"/>
                <w:szCs w:val="22"/>
              </w:rPr>
            </w:pPr>
            <w:r>
              <w:rPr>
                <w:b/>
                <w:color w:val="FFFFFF" w:themeColor="background1"/>
                <w:sz w:val="22"/>
                <w:szCs w:val="22"/>
                <w:lang w:val="es-MX"/>
              </w:rPr>
              <w:t>Feb</w:t>
            </w:r>
            <w:r w:rsidRPr="00182780">
              <w:rPr>
                <w:b/>
                <w:color w:val="FFFFFF" w:themeColor="background1"/>
                <w:sz w:val="22"/>
                <w:szCs w:val="22"/>
                <w:lang w:val="es-MX"/>
              </w:rPr>
              <w:t>.</w:t>
            </w:r>
          </w:p>
        </w:tc>
        <w:tc>
          <w:tcPr>
            <w:tcW w:w="11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7957D3" w:rsidRPr="00182780" w:rsidRDefault="007957D3" w:rsidP="000D3B0D">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7957D3" w:rsidRPr="00182780" w:rsidRDefault="007957D3" w:rsidP="000D3B0D">
            <w:pPr>
              <w:ind w:left="-108" w:right="-108"/>
              <w:jc w:val="center"/>
              <w:rPr>
                <w:b/>
                <w:color w:val="FFFFFF" w:themeColor="background1"/>
                <w:sz w:val="22"/>
                <w:szCs w:val="22"/>
                <w:lang w:val="es-MX"/>
              </w:rPr>
            </w:pPr>
            <w:r>
              <w:rPr>
                <w:b/>
                <w:color w:val="FFFFFF" w:themeColor="background1"/>
                <w:sz w:val="22"/>
                <w:szCs w:val="22"/>
                <w:lang w:val="es-MX"/>
              </w:rPr>
              <w:t>Feb</w:t>
            </w:r>
            <w:r w:rsidRPr="00182780">
              <w:rPr>
                <w:b/>
                <w:color w:val="FFFFFF" w:themeColor="background1"/>
                <w:sz w:val="22"/>
                <w:szCs w:val="22"/>
                <w:lang w:val="es-MX"/>
              </w:rPr>
              <w:t>.</w:t>
            </w:r>
          </w:p>
        </w:tc>
        <w:tc>
          <w:tcPr>
            <w:tcW w:w="399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957D3" w:rsidRPr="00182780" w:rsidRDefault="007957D3" w:rsidP="000D3B0D">
            <w:pPr>
              <w:rPr>
                <w:b/>
                <w:sz w:val="22"/>
                <w:szCs w:val="22"/>
                <w:highlight w:val="lightGray"/>
              </w:rPr>
            </w:pPr>
          </w:p>
        </w:tc>
      </w:tr>
      <w:tr w:rsidR="007957D3" w:rsidRPr="00182780" w:rsidTr="000D3B0D">
        <w:trPr>
          <w:cantSplit/>
          <w:trHeight w:val="2428"/>
          <w:jc w:val="center"/>
        </w:trPr>
        <w:tc>
          <w:tcPr>
            <w:tcW w:w="1116"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60"/>
              <w:ind w:left="-108" w:right="-128"/>
              <w:jc w:val="center"/>
              <w:rPr>
                <w:sz w:val="20"/>
                <w:szCs w:val="20"/>
              </w:rPr>
            </w:pPr>
            <w:r>
              <w:rPr>
                <w:sz w:val="20"/>
                <w:szCs w:val="20"/>
              </w:rPr>
              <w:t>68.10</w:t>
            </w:r>
          </w:p>
        </w:tc>
        <w:tc>
          <w:tcPr>
            <w:tcW w:w="1190"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60"/>
              <w:ind w:left="-88" w:right="-108"/>
              <w:jc w:val="center"/>
              <w:rPr>
                <w:color w:val="000000" w:themeColor="text1"/>
                <w:sz w:val="20"/>
                <w:szCs w:val="20"/>
              </w:rPr>
            </w:pPr>
            <w:r>
              <w:rPr>
                <w:color w:val="000000" w:themeColor="text1"/>
                <w:sz w:val="20"/>
                <w:szCs w:val="20"/>
              </w:rPr>
              <w:t>143.40</w:t>
            </w:r>
          </w:p>
        </w:tc>
        <w:tc>
          <w:tcPr>
            <w:tcW w:w="1943"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211" w:right="-175"/>
              <w:jc w:val="center"/>
              <w:rPr>
                <w:sz w:val="20"/>
                <w:szCs w:val="20"/>
              </w:rPr>
            </w:pPr>
            <w:r w:rsidRPr="00182780">
              <w:rPr>
                <w:sz w:val="20"/>
                <w:szCs w:val="20"/>
              </w:rPr>
              <w:t>Limón con semilla</w:t>
            </w:r>
          </w:p>
        </w:tc>
        <w:tc>
          <w:tcPr>
            <w:tcW w:w="1109"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71" w:right="-71"/>
              <w:jc w:val="center"/>
              <w:rPr>
                <w:color w:val="000000" w:themeColor="text1"/>
                <w:sz w:val="20"/>
                <w:szCs w:val="20"/>
              </w:rPr>
            </w:pPr>
            <w:r>
              <w:rPr>
                <w:color w:val="000000" w:themeColor="text1"/>
                <w:sz w:val="20"/>
                <w:szCs w:val="20"/>
              </w:rPr>
              <w:t>2.12</w:t>
            </w:r>
          </w:p>
        </w:tc>
        <w:tc>
          <w:tcPr>
            <w:tcW w:w="1189"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71" w:right="-71"/>
              <w:jc w:val="center"/>
              <w:rPr>
                <w:color w:val="000000" w:themeColor="text1"/>
                <w:sz w:val="20"/>
                <w:szCs w:val="20"/>
              </w:rPr>
            </w:pPr>
            <w:r>
              <w:rPr>
                <w:color w:val="000000" w:themeColor="text1"/>
                <w:sz w:val="20"/>
                <w:szCs w:val="20"/>
              </w:rPr>
              <w:t>-6.71</w:t>
            </w:r>
          </w:p>
        </w:tc>
        <w:tc>
          <w:tcPr>
            <w:tcW w:w="3992" w:type="dxa"/>
            <w:tcBorders>
              <w:top w:val="single" w:sz="4" w:space="0" w:color="auto"/>
              <w:left w:val="single" w:sz="4" w:space="0" w:color="auto"/>
              <w:bottom w:val="single" w:sz="4" w:space="0" w:color="auto"/>
              <w:right w:val="single" w:sz="4" w:space="0" w:color="auto"/>
            </w:tcBorders>
          </w:tcPr>
          <w:p w:rsidR="007957D3" w:rsidRPr="009568E9" w:rsidRDefault="007957D3" w:rsidP="00BE67C5">
            <w:pPr>
              <w:spacing w:before="120" w:after="120"/>
              <w:jc w:val="both"/>
              <w:rPr>
                <w:color w:val="000000" w:themeColor="text1"/>
                <w:sz w:val="20"/>
                <w:szCs w:val="20"/>
              </w:rPr>
            </w:pPr>
            <w:r w:rsidRPr="009568E9">
              <w:rPr>
                <w:color w:val="000000" w:themeColor="text1"/>
                <w:sz w:val="20"/>
                <w:szCs w:val="20"/>
              </w:rPr>
              <w:t xml:space="preserve">El precio del limón registró una baja promedio de 0.48% en relación </w:t>
            </w:r>
            <w:r w:rsidR="00BE67C5">
              <w:rPr>
                <w:color w:val="000000" w:themeColor="text1"/>
                <w:sz w:val="20"/>
                <w:szCs w:val="20"/>
              </w:rPr>
              <w:t>con</w:t>
            </w:r>
            <w:r w:rsidRPr="009568E9">
              <w:rPr>
                <w:color w:val="000000" w:themeColor="text1"/>
                <w:sz w:val="20"/>
                <w:szCs w:val="20"/>
              </w:rPr>
              <w:t xml:space="preserve"> la semana anterior y se ubicó 69.73% por abajo </w:t>
            </w:r>
            <w:r w:rsidR="00BE67C5">
              <w:rPr>
                <w:color w:val="000000" w:themeColor="text1"/>
                <w:sz w:val="20"/>
                <w:szCs w:val="20"/>
              </w:rPr>
              <w:t>de</w:t>
            </w:r>
            <w:r w:rsidRPr="009568E9">
              <w:rPr>
                <w:color w:val="000000" w:themeColor="text1"/>
                <w:sz w:val="20"/>
                <w:szCs w:val="20"/>
              </w:rPr>
              <w:t xml:space="preserve"> los registros que se tienen de fecha similar del 2014.  No se espera un incremento en el abasto para las próximas dos semanas, ya que los productores de esa entidad continúan realizando la recolección solamente tres días a la semana, por lo que es factible que las cotizaciones permanezcan alrededor del nivel que tienen actualmente.</w:t>
            </w:r>
          </w:p>
        </w:tc>
      </w:tr>
      <w:tr w:rsidR="007957D3" w:rsidRPr="00182780" w:rsidTr="000D3B0D">
        <w:trPr>
          <w:cantSplit/>
          <w:trHeight w:val="1544"/>
          <w:jc w:val="center"/>
        </w:trPr>
        <w:tc>
          <w:tcPr>
            <w:tcW w:w="1116"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60"/>
              <w:ind w:left="-108" w:right="-128"/>
              <w:jc w:val="center"/>
              <w:rPr>
                <w:sz w:val="20"/>
                <w:szCs w:val="20"/>
              </w:rPr>
            </w:pPr>
            <w:r>
              <w:rPr>
                <w:sz w:val="20"/>
                <w:szCs w:val="20"/>
              </w:rPr>
              <w:t>10.56</w:t>
            </w:r>
          </w:p>
        </w:tc>
        <w:tc>
          <w:tcPr>
            <w:tcW w:w="1190"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60"/>
              <w:ind w:left="-88" w:right="-108"/>
              <w:jc w:val="center"/>
              <w:rPr>
                <w:color w:val="000000" w:themeColor="text1"/>
                <w:sz w:val="20"/>
                <w:szCs w:val="20"/>
              </w:rPr>
            </w:pPr>
            <w:r>
              <w:rPr>
                <w:color w:val="000000" w:themeColor="text1"/>
                <w:sz w:val="20"/>
                <w:szCs w:val="20"/>
              </w:rPr>
              <w:t>26.14</w:t>
            </w:r>
          </w:p>
        </w:tc>
        <w:tc>
          <w:tcPr>
            <w:tcW w:w="1943"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210" w:right="-176"/>
              <w:jc w:val="center"/>
              <w:rPr>
                <w:sz w:val="20"/>
                <w:szCs w:val="20"/>
              </w:rPr>
            </w:pPr>
            <w:r w:rsidRPr="00182780">
              <w:rPr>
                <w:sz w:val="20"/>
                <w:szCs w:val="20"/>
              </w:rPr>
              <w:t>Plátano</w:t>
            </w:r>
          </w:p>
        </w:tc>
        <w:tc>
          <w:tcPr>
            <w:tcW w:w="1109"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spacing w:before="120"/>
              <w:ind w:left="-101" w:right="-140"/>
              <w:jc w:val="center"/>
              <w:rPr>
                <w:sz w:val="20"/>
                <w:szCs w:val="20"/>
              </w:rPr>
            </w:pPr>
            <w:r>
              <w:rPr>
                <w:sz w:val="20"/>
                <w:szCs w:val="20"/>
              </w:rPr>
              <w:t>4.45</w:t>
            </w:r>
          </w:p>
        </w:tc>
        <w:tc>
          <w:tcPr>
            <w:tcW w:w="1189" w:type="dxa"/>
            <w:tcBorders>
              <w:top w:val="single" w:sz="4" w:space="0" w:color="auto"/>
              <w:left w:val="single" w:sz="4" w:space="0" w:color="auto"/>
              <w:bottom w:val="single" w:sz="4" w:space="0" w:color="auto"/>
              <w:right w:val="single" w:sz="4" w:space="0" w:color="auto"/>
            </w:tcBorders>
          </w:tcPr>
          <w:p w:rsidR="007957D3" w:rsidRPr="00182780" w:rsidRDefault="007957D3" w:rsidP="000D3B0D">
            <w:pPr>
              <w:tabs>
                <w:tab w:val="left" w:pos="1404"/>
              </w:tabs>
              <w:spacing w:before="160"/>
              <w:ind w:left="-71" w:right="-71"/>
              <w:jc w:val="center"/>
              <w:rPr>
                <w:color w:val="000000" w:themeColor="text1"/>
                <w:sz w:val="20"/>
                <w:szCs w:val="20"/>
              </w:rPr>
            </w:pPr>
            <w:r>
              <w:rPr>
                <w:color w:val="000000" w:themeColor="text1"/>
                <w:sz w:val="20"/>
                <w:szCs w:val="20"/>
              </w:rPr>
              <w:t>13.28</w:t>
            </w:r>
          </w:p>
        </w:tc>
        <w:tc>
          <w:tcPr>
            <w:tcW w:w="3992" w:type="dxa"/>
            <w:tcBorders>
              <w:top w:val="single" w:sz="4" w:space="0" w:color="auto"/>
              <w:left w:val="single" w:sz="4" w:space="0" w:color="auto"/>
              <w:bottom w:val="single" w:sz="4" w:space="0" w:color="auto"/>
              <w:right w:val="single" w:sz="4" w:space="0" w:color="auto"/>
            </w:tcBorders>
          </w:tcPr>
          <w:p w:rsidR="007957D3" w:rsidRPr="00DF7EC3" w:rsidRDefault="007957D3" w:rsidP="00C058EC">
            <w:pPr>
              <w:spacing w:before="120" w:after="120"/>
              <w:jc w:val="both"/>
              <w:rPr>
                <w:color w:val="000000" w:themeColor="text1"/>
                <w:sz w:val="20"/>
                <w:szCs w:val="20"/>
                <w:u w:val="single"/>
              </w:rPr>
            </w:pPr>
            <w:r w:rsidRPr="00EA077D">
              <w:rPr>
                <w:color w:val="000000" w:themeColor="text1"/>
                <w:sz w:val="20"/>
                <w:szCs w:val="20"/>
              </w:rPr>
              <w:t xml:space="preserve">El precio del plátano registró </w:t>
            </w:r>
            <w:r>
              <w:rPr>
                <w:color w:val="000000" w:themeColor="text1"/>
                <w:sz w:val="20"/>
                <w:szCs w:val="20"/>
              </w:rPr>
              <w:t xml:space="preserve">una </w:t>
            </w:r>
            <w:r w:rsidRPr="00EA077D">
              <w:rPr>
                <w:color w:val="000000" w:themeColor="text1"/>
                <w:sz w:val="20"/>
                <w:szCs w:val="20"/>
              </w:rPr>
              <w:t xml:space="preserve">baja promedio de 11.54% en </w:t>
            </w:r>
            <w:r w:rsidR="00BE67C5">
              <w:rPr>
                <w:color w:val="000000" w:themeColor="text1"/>
                <w:sz w:val="20"/>
                <w:szCs w:val="20"/>
              </w:rPr>
              <w:t>comparación con</w:t>
            </w:r>
            <w:r w:rsidRPr="00EA077D">
              <w:rPr>
                <w:color w:val="000000" w:themeColor="text1"/>
                <w:sz w:val="20"/>
                <w:szCs w:val="20"/>
              </w:rPr>
              <w:t xml:space="preserve"> a la semana anterior </w:t>
            </w:r>
            <w:r w:rsidR="000D3B0D" w:rsidRPr="00EA077D">
              <w:rPr>
                <w:color w:val="000000" w:themeColor="text1"/>
                <w:sz w:val="20"/>
                <w:szCs w:val="20"/>
              </w:rPr>
              <w:t>y</w:t>
            </w:r>
            <w:r w:rsidR="00BE67C5">
              <w:rPr>
                <w:color w:val="000000" w:themeColor="text1"/>
                <w:sz w:val="20"/>
                <w:szCs w:val="20"/>
              </w:rPr>
              <w:t xml:space="preserve"> se colocó</w:t>
            </w:r>
            <w:r w:rsidR="000D3B0D" w:rsidRPr="00EA077D">
              <w:rPr>
                <w:color w:val="000000" w:themeColor="text1"/>
                <w:sz w:val="20"/>
                <w:szCs w:val="20"/>
              </w:rPr>
              <w:t xml:space="preserve"> 6.40</w:t>
            </w:r>
            <w:r w:rsidRPr="00EA077D">
              <w:rPr>
                <w:color w:val="000000" w:themeColor="text1"/>
                <w:sz w:val="20"/>
                <w:szCs w:val="20"/>
              </w:rPr>
              <w:t>% por abajo de los</w:t>
            </w:r>
            <w:r w:rsidR="00275575">
              <w:rPr>
                <w:color w:val="000000" w:themeColor="text1"/>
                <w:sz w:val="20"/>
                <w:szCs w:val="20"/>
              </w:rPr>
              <w:t xml:space="preserve"> precios</w:t>
            </w:r>
            <w:r w:rsidRPr="00EA077D">
              <w:rPr>
                <w:color w:val="000000" w:themeColor="text1"/>
                <w:sz w:val="20"/>
                <w:szCs w:val="20"/>
              </w:rPr>
              <w:t xml:space="preserve"> registrados </w:t>
            </w:r>
            <w:r w:rsidR="00275575">
              <w:rPr>
                <w:color w:val="000000" w:themeColor="text1"/>
                <w:sz w:val="20"/>
                <w:szCs w:val="20"/>
              </w:rPr>
              <w:t xml:space="preserve">en </w:t>
            </w:r>
            <w:r>
              <w:rPr>
                <w:color w:val="000000" w:themeColor="text1"/>
                <w:sz w:val="20"/>
                <w:szCs w:val="20"/>
              </w:rPr>
              <w:t xml:space="preserve">2014, </w:t>
            </w:r>
            <w:r w:rsidRPr="00EA077D">
              <w:rPr>
                <w:color w:val="000000" w:themeColor="text1"/>
                <w:sz w:val="20"/>
                <w:szCs w:val="20"/>
              </w:rPr>
              <w:t xml:space="preserve">recuperación </w:t>
            </w:r>
            <w:r w:rsidR="00BE67C5">
              <w:rPr>
                <w:color w:val="000000" w:themeColor="text1"/>
                <w:sz w:val="20"/>
                <w:szCs w:val="20"/>
              </w:rPr>
              <w:t xml:space="preserve">que se atribuye a </w:t>
            </w:r>
            <w:r w:rsidR="00275575">
              <w:rPr>
                <w:color w:val="000000" w:themeColor="text1"/>
                <w:sz w:val="20"/>
                <w:szCs w:val="20"/>
              </w:rPr>
              <w:t>que</w:t>
            </w:r>
            <w:r w:rsidR="004B0F9C">
              <w:rPr>
                <w:color w:val="000000" w:themeColor="text1"/>
                <w:sz w:val="20"/>
                <w:szCs w:val="20"/>
              </w:rPr>
              <w:t>,</w:t>
            </w:r>
            <w:r w:rsidR="00275575">
              <w:rPr>
                <w:color w:val="000000" w:themeColor="text1"/>
                <w:sz w:val="20"/>
                <w:szCs w:val="20"/>
              </w:rPr>
              <w:t xml:space="preserve"> aparentemente, la producción en los </w:t>
            </w:r>
            <w:r>
              <w:rPr>
                <w:color w:val="000000" w:themeColor="text1"/>
                <w:sz w:val="20"/>
                <w:szCs w:val="20"/>
              </w:rPr>
              <w:t xml:space="preserve">Estados </w:t>
            </w:r>
            <w:r w:rsidR="000D3B0D">
              <w:rPr>
                <w:color w:val="000000" w:themeColor="text1"/>
                <w:sz w:val="20"/>
                <w:szCs w:val="20"/>
              </w:rPr>
              <w:t xml:space="preserve">de </w:t>
            </w:r>
            <w:r w:rsidR="000D3B0D" w:rsidRPr="00EA077D">
              <w:rPr>
                <w:color w:val="000000" w:themeColor="text1"/>
                <w:sz w:val="20"/>
                <w:szCs w:val="20"/>
              </w:rPr>
              <w:t>Chiapas</w:t>
            </w:r>
            <w:r w:rsidRPr="00EA077D">
              <w:rPr>
                <w:color w:val="000000" w:themeColor="text1"/>
                <w:sz w:val="20"/>
                <w:szCs w:val="20"/>
              </w:rPr>
              <w:t xml:space="preserve"> y Tabasco está saliendo de la etapa más baja que se tiene durante el invierno</w:t>
            </w:r>
            <w:r w:rsidR="00C058EC">
              <w:rPr>
                <w:color w:val="000000" w:themeColor="text1"/>
                <w:sz w:val="20"/>
                <w:szCs w:val="20"/>
              </w:rPr>
              <w:t>;</w:t>
            </w:r>
            <w:r w:rsidRPr="00EA077D">
              <w:rPr>
                <w:color w:val="000000" w:themeColor="text1"/>
                <w:sz w:val="20"/>
                <w:szCs w:val="20"/>
              </w:rPr>
              <w:t xml:space="preserve"> incidió además en este movimiento el poco dinamismo del mercado.</w:t>
            </w:r>
            <w:r>
              <w:rPr>
                <w:color w:val="000000" w:themeColor="text1"/>
                <w:sz w:val="20"/>
                <w:szCs w:val="20"/>
              </w:rPr>
              <w:t xml:space="preserve"> </w:t>
            </w:r>
            <w:r w:rsidRPr="00AF7CDC">
              <w:rPr>
                <w:color w:val="000000" w:themeColor="text1"/>
                <w:sz w:val="20"/>
                <w:szCs w:val="20"/>
              </w:rPr>
              <w:t>Para los próximos quince días, no se descarta que la reciente baja de la temperatura registrada en gran parte del país ocasione algún retraso en el desarrollo de la fruta, de ser así, la oferta dejará de incrementarse y ello posiblemente detenga nuevos movimientos a la baja y con ello la estabilización del precio.</w:t>
            </w:r>
          </w:p>
        </w:tc>
      </w:tr>
      <w:tr w:rsidR="000D3B0D" w:rsidRPr="00182780" w:rsidTr="000D3B0D">
        <w:trPr>
          <w:cantSplit/>
          <w:trHeight w:val="1544"/>
          <w:jc w:val="center"/>
        </w:trPr>
        <w:tc>
          <w:tcPr>
            <w:tcW w:w="1116"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right="-23"/>
              <w:jc w:val="center"/>
              <w:rPr>
                <w:sz w:val="20"/>
                <w:szCs w:val="20"/>
              </w:rPr>
            </w:pPr>
            <w:r>
              <w:rPr>
                <w:sz w:val="20"/>
                <w:szCs w:val="20"/>
              </w:rPr>
              <w:t>-3.60</w:t>
            </w:r>
          </w:p>
        </w:tc>
        <w:tc>
          <w:tcPr>
            <w:tcW w:w="1190"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right="-23"/>
              <w:jc w:val="center"/>
              <w:rPr>
                <w:sz w:val="20"/>
                <w:szCs w:val="20"/>
              </w:rPr>
            </w:pPr>
            <w:r>
              <w:rPr>
                <w:sz w:val="20"/>
                <w:szCs w:val="20"/>
              </w:rPr>
              <w:t>-5.19</w:t>
            </w:r>
          </w:p>
        </w:tc>
        <w:tc>
          <w:tcPr>
            <w:tcW w:w="1943"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right="-23"/>
              <w:jc w:val="center"/>
              <w:rPr>
                <w:sz w:val="20"/>
                <w:szCs w:val="20"/>
              </w:rPr>
            </w:pPr>
            <w:r w:rsidRPr="00182780">
              <w:rPr>
                <w:sz w:val="20"/>
                <w:szCs w:val="20"/>
              </w:rPr>
              <w:t>Naranja</w:t>
            </w:r>
          </w:p>
        </w:tc>
        <w:tc>
          <w:tcPr>
            <w:tcW w:w="1109"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right="-23"/>
              <w:jc w:val="center"/>
              <w:rPr>
                <w:sz w:val="20"/>
                <w:szCs w:val="20"/>
              </w:rPr>
            </w:pPr>
            <w:r>
              <w:rPr>
                <w:sz w:val="20"/>
                <w:szCs w:val="20"/>
              </w:rPr>
              <w:t>1.00</w:t>
            </w:r>
          </w:p>
        </w:tc>
        <w:tc>
          <w:tcPr>
            <w:tcW w:w="1189" w:type="dxa"/>
            <w:tcBorders>
              <w:top w:val="single" w:sz="4" w:space="0" w:color="auto"/>
              <w:left w:val="single" w:sz="4" w:space="0" w:color="auto"/>
              <w:bottom w:val="single" w:sz="4" w:space="0" w:color="auto"/>
              <w:right w:val="single" w:sz="4" w:space="0" w:color="auto"/>
            </w:tcBorders>
          </w:tcPr>
          <w:p w:rsidR="000D3B0D" w:rsidRPr="00182780" w:rsidRDefault="000D3B0D" w:rsidP="000D3B0D">
            <w:pPr>
              <w:spacing w:before="160"/>
              <w:ind w:right="-23"/>
              <w:jc w:val="center"/>
              <w:rPr>
                <w:sz w:val="20"/>
                <w:szCs w:val="20"/>
              </w:rPr>
            </w:pPr>
            <w:r>
              <w:rPr>
                <w:sz w:val="20"/>
                <w:szCs w:val="20"/>
              </w:rPr>
              <w:t>-1.60</w:t>
            </w:r>
          </w:p>
        </w:tc>
        <w:tc>
          <w:tcPr>
            <w:tcW w:w="3992" w:type="dxa"/>
            <w:tcBorders>
              <w:top w:val="single" w:sz="4" w:space="0" w:color="auto"/>
              <w:left w:val="single" w:sz="4" w:space="0" w:color="auto"/>
              <w:bottom w:val="single" w:sz="4" w:space="0" w:color="auto"/>
              <w:right w:val="single" w:sz="4" w:space="0" w:color="auto"/>
            </w:tcBorders>
          </w:tcPr>
          <w:p w:rsidR="000D3B0D" w:rsidRPr="00F84EB9" w:rsidRDefault="000D3B0D" w:rsidP="00C058EC">
            <w:pPr>
              <w:spacing w:before="120" w:after="120"/>
              <w:jc w:val="both"/>
              <w:rPr>
                <w:color w:val="000000" w:themeColor="text1"/>
                <w:sz w:val="20"/>
                <w:szCs w:val="20"/>
                <w:highlight w:val="lightGray"/>
                <w:lang w:val="es-MX"/>
              </w:rPr>
            </w:pPr>
            <w:r w:rsidRPr="00F84EB9">
              <w:rPr>
                <w:color w:val="000000" w:themeColor="text1"/>
                <w:sz w:val="20"/>
                <w:szCs w:val="20"/>
              </w:rPr>
              <w:t xml:space="preserve">El precio de la naranja no registró variación con relación a la semana anterior y se ubicó 19.47% por arriba </w:t>
            </w:r>
            <w:r w:rsidR="00C058EC">
              <w:rPr>
                <w:color w:val="000000" w:themeColor="text1"/>
                <w:sz w:val="20"/>
                <w:szCs w:val="20"/>
              </w:rPr>
              <w:t xml:space="preserve">de </w:t>
            </w:r>
            <w:r w:rsidRPr="00F84EB9">
              <w:rPr>
                <w:color w:val="000000" w:themeColor="text1"/>
                <w:sz w:val="20"/>
                <w:szCs w:val="20"/>
              </w:rPr>
              <w:t xml:space="preserve">los registros que se tienen </w:t>
            </w:r>
            <w:r>
              <w:rPr>
                <w:color w:val="000000" w:themeColor="text1"/>
                <w:sz w:val="20"/>
                <w:szCs w:val="20"/>
              </w:rPr>
              <w:t>en</w:t>
            </w:r>
            <w:r w:rsidRPr="00F84EB9">
              <w:rPr>
                <w:color w:val="000000" w:themeColor="text1"/>
                <w:sz w:val="20"/>
                <w:szCs w:val="20"/>
              </w:rPr>
              <w:t xml:space="preserve"> fecha similar del 2014. Lo anterior es congruente con la amplitud actual del abasto</w:t>
            </w:r>
            <w:r w:rsidR="00C058EC">
              <w:rPr>
                <w:color w:val="000000" w:themeColor="text1"/>
                <w:sz w:val="20"/>
                <w:szCs w:val="20"/>
              </w:rPr>
              <w:t>,</w:t>
            </w:r>
            <w:r w:rsidRPr="00F84EB9">
              <w:rPr>
                <w:color w:val="000000" w:themeColor="text1"/>
                <w:sz w:val="20"/>
                <w:szCs w:val="20"/>
              </w:rPr>
              <w:t xml:space="preserve"> debido a que prevalece la etapa alta de la cosecha “Tardía” en Veracruz, además ingresan algunas partidas procedentes de Nuevo León. </w:t>
            </w:r>
          </w:p>
        </w:tc>
      </w:tr>
    </w:tbl>
    <w:p w:rsidR="007957D3" w:rsidRPr="00182780" w:rsidRDefault="007957D3" w:rsidP="007957D3">
      <w:pPr>
        <w:jc w:val="center"/>
        <w:rPr>
          <w:b/>
          <w:sz w:val="22"/>
          <w:szCs w:val="22"/>
          <w:highlight w:val="lightGray"/>
        </w:rPr>
      </w:pPr>
    </w:p>
    <w:p w:rsidR="007957D3" w:rsidRPr="00182780" w:rsidRDefault="007957D3" w:rsidP="007957D3">
      <w:pPr>
        <w:ind w:right="28"/>
        <w:jc w:val="center"/>
        <w:rPr>
          <w:b/>
          <w:sz w:val="22"/>
          <w:szCs w:val="22"/>
        </w:rPr>
      </w:pPr>
    </w:p>
    <w:p w:rsidR="007957D3" w:rsidRPr="00182780" w:rsidRDefault="007957D3" w:rsidP="007957D3">
      <w:pPr>
        <w:ind w:left="142" w:right="-799" w:hanging="882"/>
        <w:jc w:val="both"/>
        <w:rPr>
          <w:sz w:val="20"/>
          <w:szCs w:val="20"/>
        </w:rPr>
      </w:pPr>
      <w:r w:rsidRPr="00182780">
        <w:rPr>
          <w:sz w:val="20"/>
          <w:szCs w:val="20"/>
        </w:rPr>
        <w:t xml:space="preserve">FUENTE: Elaborado por la Comisión Nacional de los Salarios Mínimos con información del Banco de México y del Sistema Nacional de Información e Integración de Mercados (SNIIM) en su Comentario Semanal del </w:t>
      </w:r>
      <w:r>
        <w:rPr>
          <w:sz w:val="20"/>
          <w:szCs w:val="20"/>
        </w:rPr>
        <w:t>9 al 13</w:t>
      </w:r>
      <w:r w:rsidRPr="00182780">
        <w:rPr>
          <w:sz w:val="20"/>
          <w:szCs w:val="20"/>
        </w:rPr>
        <w:t xml:space="preserve"> de </w:t>
      </w:r>
      <w:r>
        <w:rPr>
          <w:sz w:val="20"/>
          <w:szCs w:val="20"/>
        </w:rPr>
        <w:t>marzo</w:t>
      </w:r>
      <w:r w:rsidRPr="00182780">
        <w:rPr>
          <w:sz w:val="20"/>
          <w:szCs w:val="20"/>
        </w:rPr>
        <w:t xml:space="preserve"> de 201</w:t>
      </w:r>
      <w:r>
        <w:rPr>
          <w:sz w:val="20"/>
          <w:szCs w:val="20"/>
        </w:rPr>
        <w:t>5</w:t>
      </w:r>
      <w:r w:rsidRPr="00182780">
        <w:rPr>
          <w:sz w:val="20"/>
          <w:szCs w:val="20"/>
        </w:rPr>
        <w:t xml:space="preserve">, sobre el mercado de frutas y hortalizas en la Central de Abastos del Distrito Federal. </w:t>
      </w:r>
    </w:p>
    <w:p w:rsidR="007957D3" w:rsidRPr="00182780" w:rsidRDefault="007957D3" w:rsidP="007957D3">
      <w:pPr>
        <w:ind w:left="-709" w:right="-799"/>
        <w:rPr>
          <w:b/>
          <w:sz w:val="20"/>
          <w:szCs w:val="20"/>
        </w:rPr>
      </w:pPr>
    </w:p>
    <w:p w:rsidR="007957D3" w:rsidRPr="00182780" w:rsidRDefault="007957D3" w:rsidP="007957D3">
      <w:pPr>
        <w:ind w:left="-709"/>
        <w:rPr>
          <w:b/>
          <w:sz w:val="20"/>
          <w:szCs w:val="20"/>
        </w:rPr>
      </w:pPr>
      <w:r w:rsidRPr="00182780">
        <w:rPr>
          <w:b/>
          <w:sz w:val="20"/>
          <w:szCs w:val="20"/>
        </w:rPr>
        <w:t>Fuente de Información:</w:t>
      </w:r>
    </w:p>
    <w:p w:rsidR="007957D3" w:rsidRDefault="00935135" w:rsidP="007957D3">
      <w:pPr>
        <w:ind w:left="-709"/>
        <w:rPr>
          <w:b/>
          <w:sz w:val="22"/>
          <w:szCs w:val="22"/>
        </w:rPr>
      </w:pPr>
      <w:hyperlink r:id="rId9" w:history="1">
        <w:r w:rsidR="007957D3" w:rsidRPr="00194182">
          <w:rPr>
            <w:rStyle w:val="Hipervnculo"/>
            <w:sz w:val="20"/>
            <w:szCs w:val="20"/>
          </w:rPr>
          <w:t>http://www.economia-sniim.gob.mx/SNIIM-ArchivosFuente/Comentarios/Comsem160315.doc</w:t>
        </w:r>
      </w:hyperlink>
      <w:r w:rsidR="007957D3" w:rsidRPr="00182780">
        <w:rPr>
          <w:sz w:val="20"/>
          <w:szCs w:val="20"/>
        </w:rPr>
        <w:t xml:space="preserve"> </w:t>
      </w:r>
    </w:p>
    <w:p w:rsidR="00416912" w:rsidRPr="00416912" w:rsidRDefault="007957D3" w:rsidP="00416912">
      <w:pPr>
        <w:ind w:right="28"/>
        <w:jc w:val="center"/>
        <w:rPr>
          <w:b/>
          <w:sz w:val="20"/>
          <w:szCs w:val="20"/>
        </w:rPr>
      </w:pPr>
      <w:r>
        <w:rPr>
          <w:b/>
          <w:sz w:val="22"/>
          <w:szCs w:val="22"/>
        </w:rPr>
        <w:br w:type="column"/>
      </w:r>
      <w:r w:rsidR="00416912" w:rsidRPr="00416912">
        <w:rPr>
          <w:b/>
          <w:sz w:val="22"/>
          <w:szCs w:val="22"/>
        </w:rPr>
        <w:lastRenderedPageBreak/>
        <w:t>ÍNDICE NACIONAL DE PRECIOS AL CONSUMIDOR</w:t>
      </w:r>
    </w:p>
    <w:p w:rsidR="00416912" w:rsidRPr="00416912" w:rsidRDefault="00416912" w:rsidP="00416912">
      <w:pPr>
        <w:ind w:right="20"/>
        <w:jc w:val="center"/>
        <w:rPr>
          <w:b/>
          <w:sz w:val="22"/>
          <w:szCs w:val="22"/>
        </w:rPr>
      </w:pPr>
      <w:r w:rsidRPr="00416912">
        <w:rPr>
          <w:b/>
          <w:sz w:val="22"/>
          <w:szCs w:val="22"/>
        </w:rPr>
        <w:t>SEGUIMIENTO DE PRECIOS</w:t>
      </w:r>
    </w:p>
    <w:p w:rsidR="00416912" w:rsidRPr="00416912" w:rsidRDefault="00416912" w:rsidP="00416912">
      <w:pPr>
        <w:ind w:right="20"/>
        <w:jc w:val="center"/>
        <w:rPr>
          <w:b/>
        </w:rPr>
      </w:pP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5"/>
      </w:tblGrid>
      <w:tr w:rsidR="00416912" w:rsidRPr="00416912" w:rsidTr="00A14B35">
        <w:trPr>
          <w:cantSplit/>
          <w:trHeight w:val="700"/>
          <w:jc w:val="center"/>
        </w:trPr>
        <w:tc>
          <w:tcPr>
            <w:tcW w:w="10345"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400"/>
          <w:jc w:val="center"/>
        </w:trPr>
        <w:tc>
          <w:tcPr>
            <w:tcW w:w="10345" w:type="dxa"/>
            <w:tcBorders>
              <w:bottom w:val="nil"/>
            </w:tcBorders>
            <w:vAlign w:val="center"/>
          </w:tcPr>
          <w:p w:rsidR="00416912" w:rsidRPr="00416912" w:rsidRDefault="00416912" w:rsidP="00416912">
            <w:pPr>
              <w:jc w:val="both"/>
              <w:rPr>
                <w:b/>
              </w:rPr>
            </w:pPr>
          </w:p>
          <w:p w:rsidR="00416912" w:rsidRPr="00416912" w:rsidRDefault="00416912" w:rsidP="00416912">
            <w:pPr>
              <w:jc w:val="both"/>
              <w:rPr>
                <w:b/>
                <w:sz w:val="22"/>
                <w:szCs w:val="22"/>
              </w:rPr>
            </w:pPr>
            <w:r w:rsidRPr="00416912">
              <w:rPr>
                <w:b/>
                <w:sz w:val="22"/>
                <w:szCs w:val="22"/>
              </w:rPr>
              <w:t>COMENTARIOS DE OTROS ALIMENTOS EN LOS MERCADOS INTERNACIONALES</w:t>
            </w:r>
          </w:p>
          <w:p w:rsidR="00416912" w:rsidRPr="00416912" w:rsidRDefault="00416912" w:rsidP="00416912">
            <w:pPr>
              <w:jc w:val="both"/>
              <w:rPr>
                <w:b/>
                <w:sz w:val="22"/>
                <w:szCs w:val="22"/>
              </w:rPr>
            </w:pPr>
          </w:p>
          <w:p w:rsidR="00416912" w:rsidRPr="00416912" w:rsidRDefault="00416912" w:rsidP="00416912">
            <w:pPr>
              <w:jc w:val="both"/>
              <w:rPr>
                <w:b/>
                <w:sz w:val="22"/>
                <w:szCs w:val="22"/>
              </w:rPr>
            </w:pPr>
          </w:p>
        </w:tc>
      </w:tr>
      <w:tr w:rsidR="00416912" w:rsidRPr="00416912" w:rsidTr="00A14B35">
        <w:trPr>
          <w:cantSplit/>
          <w:trHeight w:val="10175"/>
          <w:jc w:val="center"/>
        </w:trPr>
        <w:tc>
          <w:tcPr>
            <w:tcW w:w="10345" w:type="dxa"/>
            <w:tcBorders>
              <w:top w:val="nil"/>
              <w:bottom w:val="single" w:sz="4" w:space="0" w:color="auto"/>
            </w:tcBorders>
          </w:tcPr>
          <w:p w:rsidR="00416912" w:rsidRPr="00416912" w:rsidRDefault="00416912" w:rsidP="00416912">
            <w:pPr>
              <w:ind w:left="880" w:right="319" w:hanging="880"/>
              <w:jc w:val="both"/>
              <w:rPr>
                <w:sz w:val="22"/>
                <w:szCs w:val="22"/>
                <w:lang w:eastAsia="es-MX"/>
              </w:rPr>
            </w:pPr>
            <w:r w:rsidRPr="00416912">
              <w:rPr>
                <w:b/>
                <w:sz w:val="22"/>
                <w:szCs w:val="22"/>
              </w:rPr>
              <w:t xml:space="preserve"> Trigo</w:t>
            </w:r>
            <w:r w:rsidRPr="00416912">
              <w:rPr>
                <w:sz w:val="22"/>
                <w:szCs w:val="22"/>
              </w:rPr>
              <w:t xml:space="preserve">.    </w:t>
            </w:r>
            <w:r w:rsidRPr="00416912">
              <w:rPr>
                <w:sz w:val="22"/>
                <w:szCs w:val="22"/>
                <w:lang w:eastAsia="es-MX"/>
              </w:rPr>
              <w:t xml:space="preserve">Los futuros de trigo rojo suave de Chicago bajaron el 13 de marzo uniéndose a las liquidaciones de los productos, debido a que el dólar estadounidense se disparó y registró alzas de doce años contra el euro, terminando la semana al alza en 4 por ciento. </w:t>
            </w:r>
          </w:p>
          <w:p w:rsidR="00416912" w:rsidRPr="00416912" w:rsidRDefault="00416912" w:rsidP="00416912">
            <w:pPr>
              <w:ind w:left="879" w:right="319" w:hanging="880"/>
              <w:jc w:val="both"/>
              <w:rPr>
                <w:sz w:val="22"/>
                <w:szCs w:val="22"/>
              </w:rPr>
            </w:pPr>
          </w:p>
          <w:p w:rsidR="00416912" w:rsidRPr="00416912" w:rsidRDefault="00416912" w:rsidP="00416912">
            <w:pPr>
              <w:ind w:left="880" w:right="319"/>
              <w:jc w:val="both"/>
              <w:rPr>
                <w:sz w:val="22"/>
                <w:szCs w:val="22"/>
                <w:lang w:eastAsia="es-MX"/>
              </w:rPr>
            </w:pPr>
            <w:r w:rsidRPr="00416912">
              <w:rPr>
                <w:sz w:val="22"/>
                <w:szCs w:val="22"/>
                <w:lang w:eastAsia="es-MX"/>
              </w:rPr>
              <w:t xml:space="preserve">Durante la semana del 9 al 13 de marzo, el contrato de mayo de trigo rojo de Chicago cerró al alza en 19.25 centavos de dólar estadounidense, su mayor aumento en un mes, por coberturas cortas y la preocupación por los problemas de clima estacional, incluyendo la sequía en las Planicies de Estados Unidos de Norteamérica. Por su parte, los futuros de trigo rojo duro de Kansas subieron 17 centavos de dólar estadounidense en la semana o 3.3% y los de trigo de primavera de Minneapolis subieron      11 centavos de dólar estadounidense o 2 por ciento. </w:t>
            </w:r>
          </w:p>
          <w:p w:rsidR="00416912" w:rsidRPr="00416912" w:rsidRDefault="00416912" w:rsidP="00416912">
            <w:pPr>
              <w:ind w:left="880" w:right="319"/>
              <w:jc w:val="both"/>
              <w:rPr>
                <w:sz w:val="22"/>
                <w:szCs w:val="22"/>
                <w:lang w:eastAsia="es-MX"/>
              </w:rPr>
            </w:pPr>
          </w:p>
          <w:p w:rsidR="00416912" w:rsidRPr="00416912" w:rsidRDefault="00416912" w:rsidP="00416912">
            <w:pPr>
              <w:ind w:left="880" w:right="319"/>
              <w:jc w:val="both"/>
              <w:rPr>
                <w:sz w:val="22"/>
                <w:szCs w:val="22"/>
                <w:lang w:eastAsia="es-MX"/>
              </w:rPr>
            </w:pPr>
            <w:r w:rsidRPr="00416912">
              <w:rPr>
                <w:sz w:val="22"/>
                <w:szCs w:val="22"/>
                <w:lang w:eastAsia="es-MX"/>
              </w:rPr>
              <w:t xml:space="preserve">De acuerdo con analistas de </w:t>
            </w:r>
            <w:proofErr w:type="spellStart"/>
            <w:r w:rsidRPr="00416912">
              <w:rPr>
                <w:sz w:val="22"/>
                <w:szCs w:val="22"/>
                <w:lang w:eastAsia="es-MX"/>
              </w:rPr>
              <w:t>Agri</w:t>
            </w:r>
            <w:proofErr w:type="spellEnd"/>
            <w:r w:rsidRPr="00416912">
              <w:rPr>
                <w:sz w:val="22"/>
                <w:szCs w:val="22"/>
                <w:lang w:eastAsia="es-MX"/>
              </w:rPr>
              <w:t xml:space="preserve"> Tendencias y Servicios, el mercado encuentra soporte debido al clima seco en el Oeste de las Planicies de Estados Unidos de Norteamérica, en una etapa en la cual el trigo empieza a emerger y es necesario que cuente con buenos niveles de humedad. El mercado ha estado soportado a pesar de la debilidad en otros mercados. </w:t>
            </w:r>
          </w:p>
          <w:p w:rsidR="00416912" w:rsidRPr="00416912" w:rsidRDefault="00416912" w:rsidP="00416912">
            <w:pPr>
              <w:ind w:left="880" w:right="319"/>
              <w:jc w:val="both"/>
              <w:rPr>
                <w:sz w:val="22"/>
                <w:szCs w:val="22"/>
                <w:lang w:eastAsia="es-MX"/>
              </w:rPr>
            </w:pPr>
          </w:p>
          <w:p w:rsidR="00416912" w:rsidRPr="00416912" w:rsidRDefault="00416912" w:rsidP="00416912">
            <w:pPr>
              <w:ind w:left="880" w:right="319"/>
              <w:jc w:val="both"/>
              <w:rPr>
                <w:sz w:val="22"/>
                <w:szCs w:val="22"/>
                <w:lang w:eastAsia="es-MX"/>
              </w:rPr>
            </w:pPr>
            <w:r w:rsidRPr="00416912">
              <w:rPr>
                <w:sz w:val="22"/>
                <w:szCs w:val="22"/>
                <w:lang w:eastAsia="es-MX"/>
              </w:rPr>
              <w:t xml:space="preserve">El factor que sigue limitando el alza en el mercado del trigo es la fortaleza del dólar estadounidense comparado con las monedas de otros países exportadores como la Unión Europea, Rusia y Ucrania, ya que hace relativamente más caro el producto americano. </w:t>
            </w:r>
          </w:p>
          <w:p w:rsidR="00416912" w:rsidRPr="00416912" w:rsidRDefault="00416912" w:rsidP="00416912">
            <w:pPr>
              <w:ind w:left="880" w:right="319"/>
              <w:jc w:val="both"/>
              <w:rPr>
                <w:sz w:val="22"/>
                <w:szCs w:val="22"/>
                <w:lang w:eastAsia="es-MX"/>
              </w:rPr>
            </w:pPr>
          </w:p>
          <w:p w:rsidR="00416912" w:rsidRPr="00416912" w:rsidRDefault="00416912" w:rsidP="00416912">
            <w:pPr>
              <w:ind w:left="880" w:right="319"/>
              <w:jc w:val="both"/>
              <w:rPr>
                <w:sz w:val="22"/>
                <w:szCs w:val="22"/>
                <w:lang w:eastAsia="es-MX"/>
              </w:rPr>
            </w:pPr>
            <w:r w:rsidRPr="00416912">
              <w:rPr>
                <w:sz w:val="22"/>
                <w:szCs w:val="22"/>
                <w:lang w:eastAsia="es-MX"/>
              </w:rPr>
              <w:t xml:space="preserve">Por su parte, en Estados Unidos de Norteamérica, el pronóstico del clima indica que en los siguientes siete días las lluvias podrían llegar más al Norte y al Oeste de las Planicies y el pronóstico del clima para el período de ocho a diez días indica mayores lluvias al promedio en la parte Norte de Estados Unidos de Norteamérica y también en el Sur, en Texas y Oklahoma. En otras partes del mundo, se registrarán lluvias en el Sur de Rusia y también lluvias en la zona productora de trigo en China. </w:t>
            </w:r>
          </w:p>
          <w:p w:rsidR="00416912" w:rsidRPr="00416912" w:rsidRDefault="00416912" w:rsidP="00416912">
            <w:pPr>
              <w:ind w:left="880" w:right="319"/>
              <w:jc w:val="both"/>
              <w:rPr>
                <w:sz w:val="22"/>
                <w:szCs w:val="22"/>
                <w:lang w:eastAsia="es-MX"/>
              </w:rPr>
            </w:pPr>
          </w:p>
          <w:p w:rsidR="00416912" w:rsidRPr="00416912" w:rsidRDefault="00416912" w:rsidP="00416912">
            <w:pPr>
              <w:ind w:left="880" w:right="319"/>
              <w:jc w:val="both"/>
              <w:rPr>
                <w:sz w:val="22"/>
                <w:szCs w:val="22"/>
                <w:lang w:eastAsia="es-MX"/>
              </w:rPr>
            </w:pPr>
            <w:r w:rsidRPr="00416912">
              <w:rPr>
                <w:sz w:val="22"/>
                <w:szCs w:val="22"/>
                <w:lang w:eastAsia="es-MX"/>
              </w:rPr>
              <w:t xml:space="preserve">En cuanto a las calificaciones del trigo de invierno de Estados Unidos de Norteamérica, el Departamento de Agricultura de los Estados Unidos de Norteamérica (USDA) reportó que el trigo de Kansas se encuentra 46% de bueno a excelente, Oklahoma 42%, Texas 50%, Colorado 48% y Nebraska 62 por ciento. </w:t>
            </w:r>
          </w:p>
          <w:p w:rsidR="00416912" w:rsidRPr="00416912" w:rsidRDefault="00416912" w:rsidP="00416912">
            <w:pPr>
              <w:ind w:left="880" w:right="319"/>
              <w:jc w:val="both"/>
              <w:rPr>
                <w:sz w:val="22"/>
                <w:szCs w:val="22"/>
                <w:lang w:eastAsia="es-MX"/>
              </w:rPr>
            </w:pPr>
          </w:p>
          <w:p w:rsidR="00416912" w:rsidRPr="00416912" w:rsidRDefault="00416912" w:rsidP="00416912">
            <w:pPr>
              <w:ind w:left="880" w:right="319"/>
              <w:jc w:val="both"/>
              <w:rPr>
                <w:lang w:eastAsia="es-MX"/>
              </w:rPr>
            </w:pPr>
            <w:r w:rsidRPr="00416912">
              <w:rPr>
                <w:sz w:val="22"/>
                <w:szCs w:val="22"/>
                <w:lang w:eastAsia="es-MX"/>
              </w:rPr>
              <w:t xml:space="preserve">Por otro lado, en Rumania, el trigo está saliendo de la etapa de </w:t>
            </w:r>
            <w:proofErr w:type="spellStart"/>
            <w:r w:rsidRPr="00416912">
              <w:rPr>
                <w:sz w:val="22"/>
                <w:szCs w:val="22"/>
                <w:lang w:eastAsia="es-MX"/>
              </w:rPr>
              <w:t>dormancia</w:t>
            </w:r>
            <w:proofErr w:type="spellEnd"/>
            <w:r w:rsidRPr="00416912">
              <w:rPr>
                <w:sz w:val="22"/>
                <w:szCs w:val="22"/>
                <w:lang w:eastAsia="es-MX"/>
              </w:rPr>
              <w:t xml:space="preserve"> y se habla de buenas condiciones, se estima que habrá 3.9 millones de toneladas de excedentes este año que podrían ser exportadas. Se estima una producción entre 7 a 7.5 millones de toneladas</w:t>
            </w:r>
            <w:r w:rsidRPr="00416912">
              <w:rPr>
                <w:lang w:eastAsia="es-MX"/>
              </w:rPr>
              <w:t xml:space="preserve">. </w:t>
            </w:r>
          </w:p>
          <w:p w:rsidR="00416912" w:rsidRPr="00416912" w:rsidRDefault="00416912" w:rsidP="00416912">
            <w:pPr>
              <w:ind w:left="880" w:right="177"/>
              <w:jc w:val="both"/>
              <w:rPr>
                <w:sz w:val="22"/>
                <w:szCs w:val="22"/>
              </w:rPr>
            </w:pPr>
          </w:p>
          <w:p w:rsidR="00416912" w:rsidRPr="00416912" w:rsidRDefault="00416912" w:rsidP="00416912">
            <w:pPr>
              <w:ind w:left="880" w:right="177"/>
              <w:jc w:val="both"/>
              <w:rPr>
                <w:sz w:val="22"/>
                <w:szCs w:val="22"/>
              </w:rPr>
            </w:pPr>
          </w:p>
          <w:p w:rsidR="00416912" w:rsidRPr="00416912" w:rsidRDefault="00416912" w:rsidP="00416912">
            <w:pPr>
              <w:autoSpaceDE w:val="0"/>
              <w:autoSpaceDN w:val="0"/>
              <w:adjustRightInd w:val="0"/>
              <w:ind w:left="788" w:right="130" w:hanging="710"/>
              <w:jc w:val="both"/>
              <w:rPr>
                <w:sz w:val="20"/>
                <w:szCs w:val="20"/>
                <w:lang w:val="es-MX" w:eastAsia="es-MX"/>
              </w:rPr>
            </w:pPr>
            <w:r w:rsidRPr="00416912">
              <w:rPr>
                <w:sz w:val="20"/>
                <w:szCs w:val="20"/>
                <w:lang w:val="es-MX" w:eastAsia="es-MX"/>
              </w:rPr>
              <w:t>*Al 13 de marzo de 2015.</w:t>
            </w:r>
          </w:p>
          <w:p w:rsidR="00416912" w:rsidRPr="00416912" w:rsidRDefault="00416912" w:rsidP="00416912">
            <w:pPr>
              <w:autoSpaceDE w:val="0"/>
              <w:autoSpaceDN w:val="0"/>
              <w:adjustRightInd w:val="0"/>
              <w:ind w:left="788" w:right="130" w:hanging="710"/>
              <w:jc w:val="both"/>
              <w:rPr>
                <w:sz w:val="20"/>
                <w:szCs w:val="20"/>
              </w:rPr>
            </w:pPr>
          </w:p>
        </w:tc>
      </w:tr>
    </w:tbl>
    <w:p w:rsidR="00416912" w:rsidRPr="00416912" w:rsidRDefault="00416912" w:rsidP="00416912">
      <w:pPr>
        <w:jc w:val="center"/>
        <w:rPr>
          <w:sz w:val="22"/>
          <w:szCs w:val="22"/>
        </w:rPr>
      </w:pPr>
      <w:r w:rsidRPr="00416912">
        <w:rPr>
          <w:sz w:val="22"/>
          <w:szCs w:val="22"/>
        </w:rPr>
        <w:br w:type="column"/>
      </w:r>
      <w:r w:rsidRPr="00416912">
        <w:rPr>
          <w:b/>
          <w:sz w:val="22"/>
          <w:szCs w:val="22"/>
        </w:rPr>
        <w:lastRenderedPageBreak/>
        <w:t>ÍNDICE NACIONAL DE PRECIOS AL CONSUMIDOR</w:t>
      </w:r>
    </w:p>
    <w:p w:rsidR="00416912" w:rsidRPr="00416912" w:rsidRDefault="00416912" w:rsidP="00416912">
      <w:pPr>
        <w:ind w:right="20"/>
        <w:jc w:val="center"/>
        <w:rPr>
          <w:b/>
          <w:sz w:val="22"/>
          <w:szCs w:val="22"/>
        </w:rPr>
      </w:pPr>
      <w:r w:rsidRPr="00416912">
        <w:rPr>
          <w:b/>
          <w:sz w:val="22"/>
          <w:szCs w:val="22"/>
        </w:rPr>
        <w:t>SEGUIMIENTO DE PRECIOS</w:t>
      </w:r>
    </w:p>
    <w:p w:rsidR="00416912" w:rsidRPr="00416912" w:rsidRDefault="00416912" w:rsidP="00416912">
      <w:pPr>
        <w:ind w:right="20"/>
        <w:jc w:val="center"/>
        <w:rPr>
          <w:b/>
          <w:sz w:val="16"/>
          <w:szCs w:val="16"/>
        </w:rPr>
      </w:pP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6"/>
      </w:tblGrid>
      <w:tr w:rsidR="00416912" w:rsidRPr="00416912" w:rsidTr="00A14B35">
        <w:trPr>
          <w:cantSplit/>
          <w:trHeight w:val="743"/>
          <w:jc w:val="center"/>
        </w:trPr>
        <w:tc>
          <w:tcPr>
            <w:tcW w:w="10346"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color w:val="FFFFFF" w:themeColor="background1"/>
                <w:sz w:val="22"/>
                <w:szCs w:val="22"/>
              </w:rPr>
            </w:pPr>
            <w:r w:rsidRPr="00416912">
              <w:rPr>
                <w:b/>
                <w:color w:val="FFFFFF" w:themeColor="background1"/>
                <w:sz w:val="22"/>
                <w:szCs w:val="22"/>
              </w:rPr>
              <w:t>en el mes de marzo de 2015*</w:t>
            </w:r>
          </w:p>
        </w:tc>
      </w:tr>
      <w:tr w:rsidR="00416912" w:rsidRPr="00416912" w:rsidTr="00A14B35">
        <w:trPr>
          <w:cantSplit/>
          <w:trHeight w:val="10874"/>
          <w:jc w:val="center"/>
        </w:trPr>
        <w:tc>
          <w:tcPr>
            <w:tcW w:w="10346" w:type="dxa"/>
            <w:tcBorders>
              <w:top w:val="single" w:sz="4" w:space="0" w:color="auto"/>
              <w:left w:val="single" w:sz="4" w:space="0" w:color="auto"/>
              <w:bottom w:val="single" w:sz="4" w:space="0" w:color="auto"/>
              <w:right w:val="single" w:sz="4" w:space="0" w:color="auto"/>
            </w:tcBorders>
          </w:tcPr>
          <w:p w:rsidR="00416912" w:rsidRPr="00416912" w:rsidRDefault="00416912" w:rsidP="00416912">
            <w:pPr>
              <w:ind w:left="929" w:right="129"/>
              <w:jc w:val="both"/>
              <w:rPr>
                <w:sz w:val="16"/>
                <w:szCs w:val="16"/>
              </w:rPr>
            </w:pPr>
          </w:p>
          <w:p w:rsidR="00416912" w:rsidRPr="00416912" w:rsidRDefault="00416912" w:rsidP="00416912">
            <w:pPr>
              <w:ind w:left="929" w:right="129"/>
              <w:jc w:val="both"/>
              <w:rPr>
                <w:sz w:val="16"/>
                <w:szCs w:val="16"/>
              </w:rPr>
            </w:pPr>
          </w:p>
          <w:p w:rsidR="00416912" w:rsidRPr="00416912" w:rsidRDefault="00416912" w:rsidP="00416912">
            <w:pPr>
              <w:ind w:left="880" w:right="320"/>
              <w:jc w:val="both"/>
              <w:rPr>
                <w:sz w:val="22"/>
                <w:szCs w:val="22"/>
                <w:lang w:eastAsia="es-MX"/>
              </w:rPr>
            </w:pPr>
            <w:r w:rsidRPr="00416912">
              <w:rPr>
                <w:sz w:val="22"/>
                <w:szCs w:val="22"/>
                <w:lang w:eastAsia="es-MX"/>
              </w:rPr>
              <w:t xml:space="preserve">Por su parte, el reporte mensual de oferta y demanda del USDA (WASDE) de marzo fue considerado neutral para el mercado, ya que no subió los inventarios como se esperaba y, en cambio, los ajustó con ligeras bajas. El reporte del USDA estimó los inventarios finales de Estados Unidos de Norteamérica 2014/2015 en 691 millones de </w:t>
            </w:r>
            <w:proofErr w:type="spellStart"/>
            <w:r w:rsidRPr="00416912">
              <w:rPr>
                <w:sz w:val="22"/>
                <w:szCs w:val="22"/>
                <w:lang w:eastAsia="es-MX"/>
              </w:rPr>
              <w:t>bushels</w:t>
            </w:r>
            <w:proofErr w:type="spellEnd"/>
            <w:r w:rsidRPr="00416912">
              <w:rPr>
                <w:sz w:val="22"/>
                <w:szCs w:val="22"/>
                <w:lang w:eastAsia="es-MX"/>
              </w:rPr>
              <w:t xml:space="preserve"> (bu.), 18.81 millones de toneladas, nivel ligeramente menor que los 692 millones de bu. (18.83 millones de toneladas) del mes pasado, y nivel menor al de                           699 millones de bu. (19.02 millones de toneladas), esperado por el mercado, el principal cambio es que se estimó el uso forrajero al alza en un millón de bu. (0.027 toneladas). En cuanto a las cifras mundiales, el USDA estimó los inventarios finales en 197.71 millones de toneladas, nivel menor que las 197.85 millones del mes anterior, pero mayor que los estimados por el mercado de 197.69 millones de toneladas. </w:t>
            </w:r>
          </w:p>
          <w:p w:rsidR="00416912" w:rsidRPr="00416912" w:rsidRDefault="00416912" w:rsidP="00416912">
            <w:pPr>
              <w:ind w:left="880" w:right="320"/>
              <w:jc w:val="both"/>
              <w:rPr>
                <w:sz w:val="22"/>
                <w:szCs w:val="22"/>
                <w:lang w:eastAsia="es-MX"/>
              </w:rPr>
            </w:pPr>
          </w:p>
          <w:p w:rsidR="00416912" w:rsidRPr="00416912" w:rsidRDefault="00416912" w:rsidP="00416912">
            <w:pPr>
              <w:ind w:left="880" w:right="320"/>
              <w:jc w:val="both"/>
              <w:rPr>
                <w:sz w:val="22"/>
                <w:szCs w:val="22"/>
                <w:lang w:eastAsia="es-MX"/>
              </w:rPr>
            </w:pPr>
            <w:r w:rsidRPr="00416912">
              <w:rPr>
                <w:sz w:val="22"/>
                <w:szCs w:val="22"/>
                <w:lang w:eastAsia="es-MX"/>
              </w:rPr>
              <w:t>El reporte de inspección de exportaciones de Estados Unidos de Norteamérica fue de 376 mil 210 toneladas métricas (</w:t>
            </w:r>
            <w:proofErr w:type="spellStart"/>
            <w:r w:rsidRPr="00416912">
              <w:rPr>
                <w:sz w:val="22"/>
                <w:szCs w:val="22"/>
                <w:lang w:eastAsia="es-MX"/>
              </w:rPr>
              <w:t>t.m</w:t>
            </w:r>
            <w:proofErr w:type="spellEnd"/>
            <w:r w:rsidRPr="00416912">
              <w:rPr>
                <w:sz w:val="22"/>
                <w:szCs w:val="22"/>
                <w:lang w:eastAsia="es-MX"/>
              </w:rPr>
              <w:t xml:space="preserve">.), el acumulado es de 71.0% comparado con el 72.1% del promedio de los últimos cinco años. Se requiere de inspecciones de 564 mil 128 </w:t>
            </w:r>
            <w:proofErr w:type="spellStart"/>
            <w:r w:rsidRPr="00416912">
              <w:rPr>
                <w:sz w:val="22"/>
                <w:szCs w:val="22"/>
                <w:lang w:eastAsia="es-MX"/>
              </w:rPr>
              <w:t>t.m</w:t>
            </w:r>
            <w:proofErr w:type="spellEnd"/>
            <w:r w:rsidRPr="00416912">
              <w:rPr>
                <w:sz w:val="22"/>
                <w:szCs w:val="22"/>
                <w:lang w:eastAsia="es-MX"/>
              </w:rPr>
              <w:t xml:space="preserve">. semanales para alcanzar la cifra total que estima el USDA. </w:t>
            </w:r>
          </w:p>
          <w:p w:rsidR="00416912" w:rsidRPr="00416912" w:rsidRDefault="00416912" w:rsidP="00416912">
            <w:pPr>
              <w:ind w:left="880" w:right="320"/>
              <w:jc w:val="both"/>
              <w:rPr>
                <w:sz w:val="22"/>
                <w:szCs w:val="22"/>
                <w:lang w:eastAsia="es-MX"/>
              </w:rPr>
            </w:pPr>
          </w:p>
          <w:p w:rsidR="00416912" w:rsidRPr="00416912" w:rsidRDefault="00416912" w:rsidP="00416912">
            <w:pPr>
              <w:ind w:left="880" w:right="320"/>
              <w:jc w:val="both"/>
              <w:rPr>
                <w:sz w:val="22"/>
                <w:szCs w:val="22"/>
                <w:lang w:eastAsia="es-MX"/>
              </w:rPr>
            </w:pPr>
            <w:r w:rsidRPr="00416912">
              <w:rPr>
                <w:sz w:val="22"/>
                <w:szCs w:val="22"/>
                <w:lang w:eastAsia="es-MX"/>
              </w:rPr>
              <w:t xml:space="preserve">Otro factor que da algo de soporte al mercado es el buen reporte de ventas netas para exportación. El reporte mostró ventas de 493 mil 200 toneladas, al 5 de marzo, las ventas acumuladas representan el 90.9% del estimado total del USDA para 2014/2015, comparado con el promedio de los últimos cinco años de 87.9%. Se necesitan ventas semanales de 178 mil toneladas para alcanzar el estimado del USDA. </w:t>
            </w:r>
          </w:p>
          <w:p w:rsidR="00416912" w:rsidRPr="00416912" w:rsidRDefault="00416912" w:rsidP="00416912">
            <w:pPr>
              <w:ind w:left="880" w:right="320"/>
              <w:jc w:val="both"/>
              <w:rPr>
                <w:sz w:val="22"/>
                <w:szCs w:val="22"/>
                <w:lang w:eastAsia="es-MX"/>
              </w:rPr>
            </w:pPr>
          </w:p>
          <w:p w:rsidR="00416912" w:rsidRPr="00416912" w:rsidRDefault="00416912" w:rsidP="00416912">
            <w:pPr>
              <w:ind w:left="880" w:right="320"/>
              <w:jc w:val="both"/>
              <w:rPr>
                <w:sz w:val="22"/>
                <w:szCs w:val="22"/>
                <w:lang w:eastAsia="es-MX"/>
              </w:rPr>
            </w:pPr>
            <w:r w:rsidRPr="00416912">
              <w:rPr>
                <w:sz w:val="22"/>
                <w:szCs w:val="22"/>
                <w:lang w:eastAsia="es-MX"/>
              </w:rPr>
              <w:t>Por su parte, la Unión Europea dio licencia para exportar en 1.59 millones de toneladas de trigo suave, con esto el acumulado en el ciclo comercial es de 22.9 millones de toneladas.</w:t>
            </w:r>
          </w:p>
          <w:p w:rsidR="00416912" w:rsidRPr="00416912" w:rsidRDefault="00416912" w:rsidP="00416912">
            <w:pPr>
              <w:ind w:left="871" w:right="320"/>
              <w:jc w:val="both"/>
              <w:rPr>
                <w:sz w:val="22"/>
                <w:szCs w:val="22"/>
              </w:rPr>
            </w:pPr>
          </w:p>
          <w:p w:rsidR="00416912" w:rsidRPr="00416912" w:rsidRDefault="00416912" w:rsidP="00416912">
            <w:pPr>
              <w:ind w:left="880" w:right="320" w:hanging="880"/>
              <w:jc w:val="both"/>
              <w:rPr>
                <w:sz w:val="22"/>
              </w:rPr>
            </w:pPr>
            <w:r w:rsidRPr="00416912">
              <w:rPr>
                <w:b/>
                <w:sz w:val="22"/>
                <w:szCs w:val="22"/>
              </w:rPr>
              <w:t xml:space="preserve">Maíz. </w:t>
            </w:r>
            <w:r w:rsidRPr="00416912">
              <w:rPr>
                <w:sz w:val="22"/>
                <w:szCs w:val="22"/>
              </w:rPr>
              <w:t xml:space="preserve">     </w:t>
            </w:r>
            <w:r w:rsidRPr="00416912">
              <w:rPr>
                <w:sz w:val="22"/>
              </w:rPr>
              <w:t xml:space="preserve">Los futuros de maíz en Chicago  cayeron, el 10 de marzo, un 2%, a los  niveles más  bajos desde el pasado mes de octubre, presionados por ventas técnicas. Esto pone a la vista la tendencia de corto plazo bajista para este producto, toda vez que la demanda exportadora de grano estadounidense se ha apagado, ante una expansión de las cosechas en Sudamérica y los abundantes suministros globales. </w:t>
            </w:r>
          </w:p>
          <w:p w:rsidR="00416912" w:rsidRPr="00416912" w:rsidRDefault="00416912" w:rsidP="00416912">
            <w:pPr>
              <w:ind w:left="871" w:right="320"/>
              <w:jc w:val="both"/>
              <w:rPr>
                <w:sz w:val="22"/>
                <w:szCs w:val="22"/>
              </w:rPr>
            </w:pPr>
          </w:p>
          <w:p w:rsidR="00416912" w:rsidRPr="00416912" w:rsidRDefault="00416912" w:rsidP="00416912">
            <w:pPr>
              <w:ind w:left="880" w:right="320"/>
              <w:jc w:val="both"/>
              <w:rPr>
                <w:sz w:val="22"/>
                <w:szCs w:val="22"/>
              </w:rPr>
            </w:pPr>
            <w:r w:rsidRPr="00416912">
              <w:rPr>
                <w:sz w:val="22"/>
                <w:szCs w:val="22"/>
              </w:rPr>
              <w:t xml:space="preserve">Se estima que Estados Unidos de Norteamérica sembrará 88.5 millones de acres de maíz esta primavera, un mínimo de cinco años (-2.3%), según una encuesta de la firma financiera y de análisis e investigación </w:t>
            </w:r>
            <w:proofErr w:type="spellStart"/>
            <w:r w:rsidRPr="00416912">
              <w:rPr>
                <w:sz w:val="22"/>
                <w:szCs w:val="22"/>
              </w:rPr>
              <w:t>Allendale</w:t>
            </w:r>
            <w:proofErr w:type="spellEnd"/>
            <w:r w:rsidRPr="00416912">
              <w:rPr>
                <w:sz w:val="22"/>
                <w:szCs w:val="22"/>
              </w:rPr>
              <w:t xml:space="preserve"> Inc. </w:t>
            </w:r>
          </w:p>
          <w:p w:rsidR="00416912" w:rsidRPr="00416912" w:rsidRDefault="00416912" w:rsidP="00416912">
            <w:pPr>
              <w:ind w:left="880" w:right="320"/>
              <w:jc w:val="both"/>
              <w:rPr>
                <w:sz w:val="22"/>
                <w:szCs w:val="22"/>
              </w:rPr>
            </w:pPr>
          </w:p>
          <w:p w:rsidR="00416912" w:rsidRPr="00416912" w:rsidRDefault="00416912" w:rsidP="00416912">
            <w:pPr>
              <w:ind w:left="880" w:right="320"/>
              <w:jc w:val="both"/>
              <w:rPr>
                <w:sz w:val="22"/>
                <w:szCs w:val="22"/>
              </w:rPr>
            </w:pPr>
            <w:r w:rsidRPr="00416912">
              <w:rPr>
                <w:sz w:val="22"/>
                <w:szCs w:val="22"/>
              </w:rPr>
              <w:t xml:space="preserve">El contrato más activo, el de mayo 2015, bajó el 10 de marzo por cuarta sesión consecutiva, con un descenso de 5% ese lapso el mayor desde mediados de enero. </w:t>
            </w:r>
          </w:p>
          <w:p w:rsidR="00416912" w:rsidRPr="00416912" w:rsidRDefault="00416912" w:rsidP="00416912">
            <w:pPr>
              <w:ind w:left="871" w:right="320"/>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El 13 de marzo, los futuros de granos cerraron </w:t>
            </w:r>
            <w:r w:rsidR="00BB4A27">
              <w:rPr>
                <w:sz w:val="22"/>
                <w:szCs w:val="22"/>
              </w:rPr>
              <w:t>a la</w:t>
            </w:r>
            <w:r w:rsidRPr="00416912">
              <w:rPr>
                <w:sz w:val="22"/>
                <w:szCs w:val="22"/>
              </w:rPr>
              <w:t xml:space="preserve"> baja en el mercado de Chicago, liderados por los de la soya, ante una persistente apreciación del dólar estadounidense que provocaba caídas generalizadas en los precios de las materias primas. </w:t>
            </w:r>
          </w:p>
          <w:p w:rsidR="00416912" w:rsidRPr="00416912" w:rsidRDefault="00416912" w:rsidP="00416912">
            <w:pPr>
              <w:ind w:left="871" w:right="320"/>
              <w:jc w:val="both"/>
              <w:rPr>
                <w:sz w:val="22"/>
                <w:szCs w:val="22"/>
              </w:rPr>
            </w:pPr>
          </w:p>
          <w:p w:rsidR="00416912" w:rsidRPr="00416912" w:rsidRDefault="00416912" w:rsidP="00416912">
            <w:pPr>
              <w:ind w:left="871" w:right="320"/>
              <w:jc w:val="both"/>
              <w:rPr>
                <w:sz w:val="22"/>
                <w:szCs w:val="22"/>
              </w:rPr>
            </w:pPr>
          </w:p>
          <w:p w:rsidR="00416912" w:rsidRPr="00416912" w:rsidRDefault="00416912" w:rsidP="00416912">
            <w:pPr>
              <w:autoSpaceDE w:val="0"/>
              <w:autoSpaceDN w:val="0"/>
              <w:adjustRightInd w:val="0"/>
              <w:ind w:left="78"/>
              <w:jc w:val="both"/>
              <w:rPr>
                <w:sz w:val="20"/>
                <w:szCs w:val="20"/>
                <w:lang w:val="es-MX" w:eastAsia="es-MX"/>
              </w:rPr>
            </w:pPr>
            <w:r w:rsidRPr="00416912">
              <w:rPr>
                <w:sz w:val="20"/>
                <w:szCs w:val="20"/>
                <w:lang w:val="es-MX" w:eastAsia="es-MX"/>
              </w:rPr>
              <w:t>*Al 13 de marzo de 2015.</w:t>
            </w:r>
          </w:p>
          <w:p w:rsidR="00416912" w:rsidRPr="00416912" w:rsidRDefault="00416912" w:rsidP="00416912">
            <w:pPr>
              <w:autoSpaceDE w:val="0"/>
              <w:autoSpaceDN w:val="0"/>
              <w:adjustRightInd w:val="0"/>
              <w:jc w:val="both"/>
              <w:rPr>
                <w:sz w:val="22"/>
                <w:szCs w:val="22"/>
              </w:rPr>
            </w:pPr>
          </w:p>
        </w:tc>
      </w:tr>
    </w:tbl>
    <w:p w:rsidR="00416912" w:rsidRPr="00416912" w:rsidRDefault="00416912" w:rsidP="00416912">
      <w:pPr>
        <w:jc w:val="center"/>
        <w:rPr>
          <w:sz w:val="22"/>
          <w:szCs w:val="22"/>
        </w:rPr>
      </w:pPr>
      <w:r w:rsidRPr="00416912">
        <w:rPr>
          <w:sz w:val="22"/>
          <w:szCs w:val="22"/>
        </w:rPr>
        <w:br w:type="column"/>
      </w:r>
      <w:r w:rsidRPr="00416912">
        <w:rPr>
          <w:b/>
          <w:sz w:val="22"/>
          <w:szCs w:val="22"/>
        </w:rPr>
        <w:lastRenderedPageBreak/>
        <w:t>ÍNDICE NACIONAL DE PRECIOS AL CONSUMIDOR</w:t>
      </w:r>
    </w:p>
    <w:p w:rsidR="00416912" w:rsidRPr="00416912" w:rsidRDefault="00416912" w:rsidP="00416912">
      <w:pPr>
        <w:jc w:val="center"/>
        <w:rPr>
          <w:b/>
          <w:sz w:val="22"/>
          <w:szCs w:val="22"/>
        </w:rPr>
      </w:pPr>
      <w:r w:rsidRPr="00416912">
        <w:rPr>
          <w:b/>
          <w:sz w:val="22"/>
          <w:szCs w:val="22"/>
        </w:rPr>
        <w:t>SEGUIMIENTO DE PRECIOS</w:t>
      </w:r>
    </w:p>
    <w:p w:rsidR="00416912" w:rsidRPr="00416912" w:rsidRDefault="00416912" w:rsidP="00416912">
      <w:pPr>
        <w:ind w:right="20"/>
        <w:jc w:val="center"/>
        <w:rPr>
          <w:b/>
          <w:sz w:val="22"/>
          <w:szCs w:val="22"/>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416912" w:rsidRPr="00416912" w:rsidTr="00A14B35">
        <w:trPr>
          <w:cantSplit/>
          <w:trHeight w:val="571"/>
          <w:jc w:val="center"/>
        </w:trPr>
        <w:tc>
          <w:tcPr>
            <w:tcW w:w="10229"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11016"/>
          <w:jc w:val="center"/>
        </w:trPr>
        <w:tc>
          <w:tcPr>
            <w:tcW w:w="10229" w:type="dxa"/>
            <w:tcBorders>
              <w:top w:val="single" w:sz="4" w:space="0" w:color="auto"/>
              <w:bottom w:val="single" w:sz="4" w:space="0" w:color="auto"/>
            </w:tcBorders>
          </w:tcPr>
          <w:p w:rsidR="00416912" w:rsidRPr="00416912" w:rsidRDefault="00416912" w:rsidP="00416912">
            <w:pPr>
              <w:autoSpaceDE w:val="0"/>
              <w:autoSpaceDN w:val="0"/>
              <w:adjustRightInd w:val="0"/>
              <w:ind w:left="754" w:right="147"/>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El dólar estadounidense marcó un nuevo máximo de doce años contra el euro por especulaciones sobre un alza de tasas de interés por parte de la Reserva Federal, en contraste con las políticas monetarias expansivas de la mayoría de los principales bancos centrales.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Se espera que los agricultores en Estados Unidos de Norteamérica reduzcan la siembra de maíz, la cual ya está en marcha en las planicies del Sur. La oferta de Ucrania se mantiene fuerte a China. El interés abierto aumentó en casi 25 mil contratos de maíz durante la fuerte caída del 9 de marzo, lo que sugiere nuevas posiciones cortas o bajistas.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Con estos antecedentes, los analistas refuerzan su estimación de corto plazo bajista, razón por la cual señalan que los fondos continúan liquidando posiciones largas. La demanda internacional por maíz americano es cuestionable, al comentar que los últimos reportes señalan se ha mostrado menores ventas para exportación, aun  cuando el USDA en su último reporte subió el estimado de exportaciones en todo el ciclo.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Los agricultores estadounidenses probablemente utilizarán menos fertilizantes nitrogenados en esta temporada por el alto costo, a pesar de que el precio del gas natural se ha reducido un 40% respecto al año pasado. La reducción en el uso debe golpear las plantaciones de maíz más que otros cultivos, ya que el nitrógeno es el refuerzo fundamental de los rendimientos de maíz. </w:t>
            </w:r>
          </w:p>
          <w:p w:rsidR="00416912" w:rsidRPr="00416912" w:rsidRDefault="00416912" w:rsidP="00416912">
            <w:pPr>
              <w:ind w:left="880" w:right="203"/>
              <w:jc w:val="both"/>
              <w:rPr>
                <w:sz w:val="22"/>
                <w:szCs w:val="22"/>
                <w:lang w:eastAsia="es-MX"/>
              </w:rPr>
            </w:pPr>
          </w:p>
          <w:p w:rsidR="00416912" w:rsidRPr="00416912" w:rsidRDefault="00416912" w:rsidP="00416912">
            <w:pPr>
              <w:ind w:left="880" w:right="203"/>
              <w:jc w:val="both"/>
              <w:rPr>
                <w:sz w:val="22"/>
                <w:szCs w:val="22"/>
              </w:rPr>
            </w:pPr>
            <w:r w:rsidRPr="00416912">
              <w:rPr>
                <w:sz w:val="22"/>
                <w:szCs w:val="22"/>
              </w:rPr>
              <w:t xml:space="preserve">Por otro lado, China uno de los mayores consumidores de maíz del mundo, ha reservado más de          600 mil  toneladas de maíz de Ucrania este año y se esperan más ofertas por lo apretado de las existencias del grano en Beijing.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El reporte de inspección a las exportaciones mostró que se inspeccionaron 735 mil 311 toneladas de maíz, cuando el mercado esperaba un monto entre 900 mil a 1.1 millones de toneladas. Al 12 de marzo, las inspecciones a las exportaciones acumuladas representan el 44.8% del total estimado para el ciclo 2014/2015 contra el promedio de los últimos cinco años de 49.6%. Se necesitan inspecciones de           1.02 millones de toneladas cada semana para alcanzar el estimado del USDA. </w:t>
            </w:r>
          </w:p>
          <w:p w:rsidR="00416912" w:rsidRPr="00416912" w:rsidRDefault="00416912" w:rsidP="00416912">
            <w:pPr>
              <w:ind w:left="880" w:right="203"/>
              <w:jc w:val="both"/>
              <w:rPr>
                <w:sz w:val="18"/>
                <w:szCs w:val="18"/>
              </w:rPr>
            </w:pPr>
          </w:p>
          <w:p w:rsidR="00416912" w:rsidRPr="00416912" w:rsidRDefault="00416912" w:rsidP="00416912">
            <w:pPr>
              <w:ind w:left="880" w:right="203"/>
              <w:jc w:val="both"/>
              <w:rPr>
                <w:sz w:val="22"/>
                <w:szCs w:val="22"/>
              </w:rPr>
            </w:pPr>
            <w:r w:rsidRPr="00416912">
              <w:rPr>
                <w:sz w:val="22"/>
                <w:szCs w:val="22"/>
              </w:rPr>
              <w:t xml:space="preserve">Se esperan lluvias en las Planicies del Sur de Estados Unidos de Norteamérica, esto pudiera empezar a crear comentarios sobre algunos retrasos en la siembra. El mercado pondrá toda su atención en los reportes del 31 de marzo, se espera que la superficie sembrada de maíz baje entre 1 a 2 millones de acres este año y por ahora es el factor que da algo de soporte a los precios. Si las lluvias en el Sur continúan por varias semanas, se podrían ver más acres cambiados de maíz a soya. </w:t>
            </w:r>
          </w:p>
          <w:p w:rsidR="00416912" w:rsidRPr="00416912" w:rsidRDefault="00416912" w:rsidP="00416912">
            <w:pPr>
              <w:ind w:left="880" w:right="203"/>
              <w:jc w:val="both"/>
              <w:rPr>
                <w:sz w:val="22"/>
                <w:szCs w:val="22"/>
                <w:lang w:eastAsia="es-MX"/>
              </w:rPr>
            </w:pPr>
          </w:p>
          <w:p w:rsidR="00416912" w:rsidRPr="00416912" w:rsidRDefault="00416912" w:rsidP="00416912">
            <w:pPr>
              <w:ind w:left="880" w:right="203"/>
              <w:jc w:val="both"/>
              <w:rPr>
                <w:sz w:val="22"/>
                <w:szCs w:val="22"/>
              </w:rPr>
            </w:pPr>
            <w:r w:rsidRPr="00416912">
              <w:rPr>
                <w:sz w:val="22"/>
                <w:szCs w:val="22"/>
              </w:rPr>
              <w:t xml:space="preserve">En Sudamérica el clima continúa favorable, a pesar de las inundaciones en Argentina, muchos analistas ven una producción en 25 millones de toneladas contra 23.5 millones estimadas por el USDA. Aún si bajara la producción de Argentina, la producción total de Sudamérica sería muy buena y competitiva a nivel mundial.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18"/>
                <w:szCs w:val="18"/>
                <w:lang w:eastAsia="es-MX"/>
              </w:rPr>
            </w:pPr>
          </w:p>
          <w:p w:rsidR="00416912" w:rsidRPr="00416912" w:rsidRDefault="00416912" w:rsidP="00416912">
            <w:pPr>
              <w:autoSpaceDE w:val="0"/>
              <w:autoSpaceDN w:val="0"/>
              <w:adjustRightInd w:val="0"/>
              <w:ind w:left="729" w:hanging="568"/>
              <w:jc w:val="both"/>
              <w:rPr>
                <w:sz w:val="20"/>
                <w:szCs w:val="20"/>
                <w:lang w:val="es-MX" w:eastAsia="es-MX"/>
              </w:rPr>
            </w:pPr>
            <w:r w:rsidRPr="00416912">
              <w:rPr>
                <w:sz w:val="20"/>
                <w:szCs w:val="20"/>
                <w:lang w:val="es-MX" w:eastAsia="es-MX"/>
              </w:rPr>
              <w:t>*Al 13 de marzo de 2015.</w:t>
            </w:r>
          </w:p>
          <w:p w:rsidR="00416912" w:rsidRPr="00416912" w:rsidRDefault="00416912" w:rsidP="00416912">
            <w:pPr>
              <w:autoSpaceDE w:val="0"/>
              <w:autoSpaceDN w:val="0"/>
              <w:adjustRightInd w:val="0"/>
              <w:ind w:left="729" w:hanging="568"/>
              <w:jc w:val="both"/>
              <w:rPr>
                <w:sz w:val="20"/>
                <w:szCs w:val="20"/>
                <w:lang w:val="es-MX" w:eastAsia="es-MX"/>
              </w:rPr>
            </w:pPr>
          </w:p>
        </w:tc>
      </w:tr>
    </w:tbl>
    <w:p w:rsidR="00416912" w:rsidRPr="00416912" w:rsidRDefault="00416912" w:rsidP="00416912">
      <w:pPr>
        <w:jc w:val="center"/>
        <w:rPr>
          <w:b/>
          <w:sz w:val="22"/>
          <w:szCs w:val="22"/>
        </w:rPr>
      </w:pPr>
      <w:r w:rsidRPr="00416912">
        <w:rPr>
          <w:b/>
          <w:sz w:val="22"/>
          <w:szCs w:val="22"/>
        </w:rPr>
        <w:br w:type="column"/>
      </w:r>
    </w:p>
    <w:p w:rsidR="00416912" w:rsidRPr="00416912" w:rsidRDefault="00416912" w:rsidP="00416912">
      <w:pPr>
        <w:jc w:val="center"/>
        <w:rPr>
          <w:b/>
          <w:sz w:val="22"/>
          <w:szCs w:val="22"/>
        </w:rPr>
      </w:pPr>
      <w:r w:rsidRPr="00416912">
        <w:rPr>
          <w:b/>
          <w:sz w:val="22"/>
          <w:szCs w:val="22"/>
        </w:rPr>
        <w:t>ÍNDICE NACIONAL DE PRECIOS AL CONSUMIDOR</w:t>
      </w:r>
    </w:p>
    <w:p w:rsidR="00416912" w:rsidRPr="00416912" w:rsidRDefault="00416912" w:rsidP="00416912">
      <w:pPr>
        <w:ind w:right="20"/>
        <w:jc w:val="center"/>
        <w:rPr>
          <w:b/>
          <w:sz w:val="22"/>
          <w:szCs w:val="22"/>
        </w:rPr>
      </w:pPr>
      <w:r w:rsidRPr="00416912">
        <w:rPr>
          <w:b/>
          <w:sz w:val="22"/>
          <w:szCs w:val="22"/>
        </w:rPr>
        <w:t>SEGUIMIENTO DE PRECIOS</w:t>
      </w:r>
    </w:p>
    <w:p w:rsidR="00416912" w:rsidRPr="00416912" w:rsidRDefault="00416912" w:rsidP="00416912">
      <w:pPr>
        <w:ind w:right="20"/>
        <w:jc w:val="center"/>
        <w:rPr>
          <w:b/>
          <w:sz w:val="22"/>
          <w:szCs w:val="22"/>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416912" w:rsidRPr="00416912" w:rsidTr="00A14B35">
        <w:trPr>
          <w:cantSplit/>
          <w:trHeight w:val="571"/>
          <w:jc w:val="center"/>
        </w:trPr>
        <w:tc>
          <w:tcPr>
            <w:tcW w:w="10229"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10591"/>
          <w:jc w:val="center"/>
        </w:trPr>
        <w:tc>
          <w:tcPr>
            <w:tcW w:w="10229" w:type="dxa"/>
            <w:tcBorders>
              <w:top w:val="single" w:sz="4" w:space="0" w:color="auto"/>
              <w:left w:val="single" w:sz="4" w:space="0" w:color="auto"/>
              <w:right w:val="single" w:sz="4" w:space="0" w:color="auto"/>
            </w:tcBorders>
          </w:tcPr>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Analistas de futuros de granos de la firma ED&amp;F </w:t>
            </w:r>
            <w:proofErr w:type="spellStart"/>
            <w:r w:rsidRPr="00416912">
              <w:rPr>
                <w:sz w:val="22"/>
                <w:szCs w:val="22"/>
              </w:rPr>
              <w:t>Man</w:t>
            </w:r>
            <w:proofErr w:type="spellEnd"/>
            <w:r w:rsidRPr="00416912">
              <w:rPr>
                <w:sz w:val="22"/>
                <w:szCs w:val="22"/>
              </w:rPr>
              <w:t xml:space="preserve"> Capital comentaron que las cosechas de Sudamérica están arrojando buenos rendimientos y que prácticamente necesitan un motivo para disparar algunas coberturas cortas, que aún no ven.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Respecto al maíz 2014/2015 de Argentina, la Bolsa de Cereales comentó que, salvo en las zonas anegadas, la ausencia de lluvias en los últimos días impulsó la recolección de los primeros lotes del cereal, que en amplias zonas registra rendimientos elevados.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Argentina es el cuarto proveedor internacional de maíz y, para la campaña actual, la Bolsa de Cereales estimó la producción del cereal de uso comercial en 22.5 millones de toneladas.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En la región agrícola núcleo, la cosecha del grano registró avances y si bien hay un porcentaje mayor de humedad a la exigida por el mercado, los rendimientos ajustados superan ampliamente los                100 quintales (10 toneladas) por hectárea en promedio.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Hasta el 12 de marzo, fecha de actualización del informe de la Bolsa, los agricultores habían recolectado el 3.4% del área </w:t>
            </w:r>
            <w:proofErr w:type="spellStart"/>
            <w:r w:rsidRPr="00416912">
              <w:rPr>
                <w:sz w:val="22"/>
                <w:szCs w:val="22"/>
              </w:rPr>
              <w:t>cosechable</w:t>
            </w:r>
            <w:proofErr w:type="spellEnd"/>
            <w:r w:rsidRPr="00416912">
              <w:rPr>
                <w:sz w:val="22"/>
                <w:szCs w:val="22"/>
              </w:rPr>
              <w:t xml:space="preserve"> de los 3.1 millones de hectáreas sembrados con maíz de uso comercial, un avance </w:t>
            </w:r>
            <w:proofErr w:type="spellStart"/>
            <w:r w:rsidRPr="00416912">
              <w:rPr>
                <w:sz w:val="22"/>
                <w:szCs w:val="22"/>
              </w:rPr>
              <w:t>intersemanal</w:t>
            </w:r>
            <w:proofErr w:type="spellEnd"/>
            <w:r w:rsidRPr="00416912">
              <w:rPr>
                <w:sz w:val="22"/>
                <w:szCs w:val="22"/>
              </w:rPr>
              <w:t xml:space="preserve"> de 0.7 puntos porcentuales y 0.6 puntos detrás del ritmo del año previo.</w:t>
            </w:r>
          </w:p>
          <w:p w:rsidR="00416912" w:rsidRPr="00416912" w:rsidRDefault="00416912" w:rsidP="00416912">
            <w:pPr>
              <w:ind w:left="880" w:right="203"/>
              <w:jc w:val="both"/>
              <w:rPr>
                <w:sz w:val="22"/>
                <w:szCs w:val="22"/>
                <w:lang w:eastAsia="es-MX"/>
              </w:rPr>
            </w:pPr>
          </w:p>
          <w:p w:rsidR="00416912" w:rsidRPr="00416912" w:rsidRDefault="00416912" w:rsidP="00416912">
            <w:pPr>
              <w:ind w:left="880" w:right="203" w:hanging="880"/>
              <w:jc w:val="both"/>
              <w:rPr>
                <w:sz w:val="22"/>
              </w:rPr>
            </w:pPr>
            <w:r w:rsidRPr="00416912">
              <w:rPr>
                <w:b/>
                <w:sz w:val="22"/>
                <w:szCs w:val="22"/>
              </w:rPr>
              <w:t xml:space="preserve">Azúcar. </w:t>
            </w:r>
            <w:r w:rsidRPr="00416912">
              <w:rPr>
                <w:sz w:val="22"/>
                <w:szCs w:val="22"/>
              </w:rPr>
              <w:t xml:space="preserve"> </w:t>
            </w:r>
            <w:r w:rsidRPr="00416912">
              <w:rPr>
                <w:sz w:val="22"/>
              </w:rPr>
              <w:t xml:space="preserve">Los futuros del azúcar sin refinar en Nueva York bajaron el 13 de marzo casi un 5%, a mínimos de seis años, presionados por la fuerte caída de la moneda del importante productor Brasil. La debilidad de la moneda brasileña ha hecho que los productores aseguren ganancias de las ventas de azúcar y café denominadas en dólares estadounidenses. </w:t>
            </w:r>
          </w:p>
          <w:p w:rsidR="00416912" w:rsidRPr="00416912" w:rsidRDefault="00416912" w:rsidP="00416912">
            <w:pPr>
              <w:ind w:left="880" w:right="203" w:hanging="880"/>
              <w:jc w:val="both"/>
              <w:rPr>
                <w:sz w:val="22"/>
                <w:szCs w:val="22"/>
              </w:rPr>
            </w:pPr>
          </w:p>
          <w:p w:rsidR="00416912" w:rsidRPr="00416912" w:rsidRDefault="00416912" w:rsidP="00416912">
            <w:pPr>
              <w:ind w:left="880" w:right="203"/>
              <w:jc w:val="both"/>
              <w:rPr>
                <w:sz w:val="22"/>
              </w:rPr>
            </w:pPr>
            <w:r w:rsidRPr="00416912">
              <w:rPr>
                <w:sz w:val="22"/>
              </w:rPr>
              <w:t xml:space="preserve">El azúcar sin refinar para mayo terminó con una baja de 0.51 centavos de dólar estadounidense, o un 3.9%, a 12.70 centavos por libra, su mayor baja desde el 23 de enero. El contrato había caído antes un 4.8%, a su menor nivel desde abril del 2009 de 12.57 centavos de dólar estadounidense.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El azúcar sin refinar bajó en la semana del 9 al 13 de marzo un 5.5%, su cuarto período seguido de bajas y su mayor pérdida semanal desde septiembre de 2014. El azúcar blanca para mayo terminó con una baja de 8.40 dólares estadounidenses, o un 2.3%, a 362.70 dólares estadounidenses la tonelada.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Sin embargo, el 16 de marzo se recuperaron un poco de este escenario, al repuntar el azúcar sin refinar a mayo 0.20 centavos, o 1.6%, a 12.90 centavos la libra, luego de haber perdido un 4.8% el                        13 de marzo hasta caer a su menor nivel desde abril de 2009 de 12.57 centavos. El azúcar blanca para entrega en mayo finalizó la sesión con un incremento de 5.40 dólares estadounidenses, o 1.5%, a 368.10 dólares estadounidenses por tonelada. </w:t>
            </w:r>
          </w:p>
          <w:p w:rsidR="00416912" w:rsidRPr="00416912" w:rsidRDefault="00416912" w:rsidP="00416912">
            <w:pPr>
              <w:ind w:left="880" w:right="203"/>
              <w:jc w:val="both"/>
              <w:rPr>
                <w:sz w:val="22"/>
              </w:rPr>
            </w:pPr>
          </w:p>
          <w:p w:rsidR="00416912" w:rsidRPr="00416912" w:rsidRDefault="00416912" w:rsidP="00416912">
            <w:pPr>
              <w:autoSpaceDE w:val="0"/>
              <w:autoSpaceDN w:val="0"/>
              <w:adjustRightInd w:val="0"/>
              <w:spacing w:before="240" w:after="240"/>
              <w:ind w:left="161" w:right="215"/>
              <w:jc w:val="both"/>
              <w:rPr>
                <w:sz w:val="20"/>
                <w:szCs w:val="20"/>
              </w:rPr>
            </w:pPr>
            <w:r w:rsidRPr="00416912">
              <w:rPr>
                <w:sz w:val="20"/>
                <w:szCs w:val="20"/>
                <w:lang w:val="es-MX" w:eastAsia="es-MX"/>
              </w:rPr>
              <w:t>*Al 13 de marzo de 2015.</w:t>
            </w:r>
          </w:p>
        </w:tc>
      </w:tr>
    </w:tbl>
    <w:p w:rsidR="00416912" w:rsidRPr="00416912" w:rsidRDefault="00416912" w:rsidP="00416912">
      <w:pPr>
        <w:rPr>
          <w:b/>
          <w:sz w:val="22"/>
          <w:szCs w:val="22"/>
        </w:rPr>
      </w:pPr>
    </w:p>
    <w:p w:rsidR="00416912" w:rsidRPr="00416912" w:rsidRDefault="00416912" w:rsidP="00416912">
      <w:pPr>
        <w:jc w:val="center"/>
        <w:rPr>
          <w:sz w:val="22"/>
          <w:szCs w:val="22"/>
        </w:rPr>
      </w:pPr>
      <w:r w:rsidRPr="00416912">
        <w:rPr>
          <w:b/>
          <w:sz w:val="22"/>
          <w:szCs w:val="22"/>
        </w:rPr>
        <w:br w:type="column"/>
      </w:r>
      <w:r w:rsidRPr="00416912">
        <w:rPr>
          <w:b/>
          <w:sz w:val="22"/>
          <w:szCs w:val="22"/>
        </w:rPr>
        <w:lastRenderedPageBreak/>
        <w:t>ÍNDICE NACIONAL DE PRECIOS AL CONSUMIDOR</w:t>
      </w:r>
    </w:p>
    <w:p w:rsidR="00416912" w:rsidRPr="00416912" w:rsidRDefault="00416912" w:rsidP="00416912">
      <w:pPr>
        <w:jc w:val="center"/>
        <w:rPr>
          <w:b/>
          <w:sz w:val="22"/>
          <w:szCs w:val="22"/>
        </w:rPr>
      </w:pPr>
      <w:r w:rsidRPr="00416912">
        <w:rPr>
          <w:b/>
          <w:sz w:val="22"/>
          <w:szCs w:val="22"/>
        </w:rPr>
        <w:t>SEGUIMIENTO DE PRECIOS</w:t>
      </w:r>
    </w:p>
    <w:p w:rsidR="00416912" w:rsidRPr="00416912" w:rsidRDefault="00416912" w:rsidP="00416912">
      <w:pPr>
        <w:jc w:val="center"/>
        <w:rPr>
          <w:b/>
          <w:sz w:val="22"/>
          <w:szCs w:val="22"/>
        </w:rPr>
      </w:pPr>
      <w:r w:rsidRPr="00416912">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416912" w:rsidRPr="00416912" w:rsidTr="00A14B35">
        <w:trPr>
          <w:cantSplit/>
          <w:trHeight w:val="571"/>
          <w:jc w:val="center"/>
        </w:trPr>
        <w:tc>
          <w:tcPr>
            <w:tcW w:w="10229"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10874"/>
          <w:jc w:val="center"/>
        </w:trPr>
        <w:tc>
          <w:tcPr>
            <w:tcW w:w="10229" w:type="dxa"/>
            <w:tcBorders>
              <w:top w:val="single" w:sz="4" w:space="0" w:color="auto"/>
              <w:bottom w:val="single" w:sz="4" w:space="0" w:color="auto"/>
            </w:tcBorders>
          </w:tcPr>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En cuanto a noticias del mercado, se tiene por un lado que la India podría incrementar su producción en la región de </w:t>
            </w:r>
            <w:proofErr w:type="spellStart"/>
            <w:r w:rsidRPr="00416912">
              <w:rPr>
                <w:sz w:val="22"/>
                <w:szCs w:val="22"/>
              </w:rPr>
              <w:t>Maharashtra</w:t>
            </w:r>
            <w:proofErr w:type="spellEnd"/>
            <w:r w:rsidRPr="00416912">
              <w:rPr>
                <w:sz w:val="22"/>
                <w:szCs w:val="22"/>
              </w:rPr>
              <w:t xml:space="preserve"> a 26.5 millones de toneladas, en comparación con las estimaciones anteriores de 26 millones de </w:t>
            </w:r>
            <w:proofErr w:type="spellStart"/>
            <w:r w:rsidRPr="00416912">
              <w:rPr>
                <w:sz w:val="22"/>
                <w:szCs w:val="22"/>
              </w:rPr>
              <w:t>t.m</w:t>
            </w:r>
            <w:proofErr w:type="spellEnd"/>
            <w:r w:rsidRPr="00416912">
              <w:rPr>
                <w:sz w:val="22"/>
                <w:szCs w:val="22"/>
              </w:rPr>
              <w:t xml:space="preserve">. y en comparación con los 24.4 millones de </w:t>
            </w:r>
            <w:proofErr w:type="spellStart"/>
            <w:r w:rsidRPr="00416912">
              <w:rPr>
                <w:sz w:val="22"/>
                <w:szCs w:val="22"/>
              </w:rPr>
              <w:t>t.m</w:t>
            </w:r>
            <w:proofErr w:type="spellEnd"/>
            <w:r w:rsidRPr="00416912">
              <w:rPr>
                <w:sz w:val="22"/>
                <w:szCs w:val="22"/>
              </w:rPr>
              <w:t xml:space="preserve">. del año anterior.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Del mismo modo que las cosechas de caña se expanden por la India y Tailandia, los agricultores de Brasil (mayor productor del mundo) están incrementando las exportaciones para aprovechar la depreciación del real brasileño que ha aumentado los márgenes de beneficio. Los cultivos que se vieron perjudicados por la sequía del año pasado se han recuperado por la lluvia.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Se prevé que la producción mundial exceda la demanda por quinto año consecutivo, dejando las mayores existencias de la historia, según la Organización Internacional del Azúcar.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szCs w:val="22"/>
              </w:rPr>
            </w:pPr>
            <w:r w:rsidRPr="00416912">
              <w:rPr>
                <w:sz w:val="22"/>
                <w:szCs w:val="22"/>
              </w:rPr>
              <w:t xml:space="preserve">La sobreoferta de azúcar deja entrever que los precios mundiales, que ya han bajado 50% en tres años, están a punto de caer aún más, reduciendo los costos para los compradores como </w:t>
            </w:r>
            <w:proofErr w:type="spellStart"/>
            <w:r w:rsidRPr="00416912">
              <w:rPr>
                <w:sz w:val="22"/>
                <w:szCs w:val="22"/>
              </w:rPr>
              <w:t>Krispy</w:t>
            </w:r>
            <w:proofErr w:type="spellEnd"/>
            <w:r w:rsidRPr="00416912">
              <w:rPr>
                <w:sz w:val="22"/>
                <w:szCs w:val="22"/>
              </w:rPr>
              <w:t xml:space="preserve"> </w:t>
            </w:r>
            <w:proofErr w:type="spellStart"/>
            <w:r w:rsidRPr="00416912">
              <w:rPr>
                <w:sz w:val="22"/>
                <w:szCs w:val="22"/>
              </w:rPr>
              <w:t>Kreme</w:t>
            </w:r>
            <w:proofErr w:type="spellEnd"/>
            <w:r w:rsidRPr="00416912">
              <w:rPr>
                <w:sz w:val="22"/>
                <w:szCs w:val="22"/>
              </w:rPr>
              <w:t xml:space="preserve"> Donuts y </w:t>
            </w:r>
            <w:proofErr w:type="spellStart"/>
            <w:r w:rsidRPr="00416912">
              <w:rPr>
                <w:sz w:val="22"/>
                <w:szCs w:val="22"/>
              </w:rPr>
              <w:t>Mondelez</w:t>
            </w:r>
            <w:proofErr w:type="spellEnd"/>
            <w:r w:rsidRPr="00416912">
              <w:rPr>
                <w:sz w:val="22"/>
                <w:szCs w:val="22"/>
              </w:rPr>
              <w:t xml:space="preserve"> International, el fabricante de los chocolates </w:t>
            </w:r>
            <w:proofErr w:type="spellStart"/>
            <w:r w:rsidRPr="00416912">
              <w:rPr>
                <w:sz w:val="22"/>
                <w:szCs w:val="22"/>
              </w:rPr>
              <w:t>Cadbury</w:t>
            </w:r>
            <w:proofErr w:type="spellEnd"/>
            <w:r w:rsidRPr="00416912">
              <w:rPr>
                <w:sz w:val="22"/>
                <w:szCs w:val="22"/>
              </w:rPr>
              <w:t xml:space="preserve"> y galletas Oreo. Los futuros de azúcar de Nueva York probablemente caerán alrededor de un 7% en julio, a 12.02 centavos de dólar estadounidense la libra, el nivel más bajo desde enero de 2009. </w:t>
            </w:r>
          </w:p>
          <w:p w:rsidR="00416912" w:rsidRPr="00416912" w:rsidRDefault="00416912" w:rsidP="00416912">
            <w:pPr>
              <w:ind w:left="880" w:right="203"/>
              <w:jc w:val="both"/>
              <w:rPr>
                <w:sz w:val="22"/>
                <w:szCs w:val="22"/>
              </w:rPr>
            </w:pPr>
          </w:p>
          <w:p w:rsidR="00416912" w:rsidRPr="00416912" w:rsidRDefault="00416912" w:rsidP="00416912">
            <w:pPr>
              <w:ind w:left="880" w:right="203"/>
              <w:jc w:val="both"/>
              <w:rPr>
                <w:sz w:val="22"/>
              </w:rPr>
            </w:pPr>
            <w:r w:rsidRPr="00416912">
              <w:rPr>
                <w:sz w:val="22"/>
              </w:rPr>
              <w:t xml:space="preserve">“Los fundamentales muestran una tendencia absolutamente bajista”, según ha explicado Donald </w:t>
            </w:r>
            <w:proofErr w:type="spellStart"/>
            <w:r w:rsidRPr="00416912">
              <w:rPr>
                <w:sz w:val="22"/>
              </w:rPr>
              <w:t>Selkin</w:t>
            </w:r>
            <w:proofErr w:type="spellEnd"/>
            <w:r w:rsidRPr="00416912">
              <w:rPr>
                <w:sz w:val="22"/>
              </w:rPr>
              <w:t xml:space="preserve">, que ayuda a administrar cerca de 3 mil millones de dólares estadounidenses en activos como estratega jefe de mercado en el </w:t>
            </w:r>
            <w:proofErr w:type="spellStart"/>
            <w:r w:rsidRPr="00416912">
              <w:rPr>
                <w:sz w:val="22"/>
              </w:rPr>
              <w:t>National</w:t>
            </w:r>
            <w:proofErr w:type="spellEnd"/>
            <w:r w:rsidRPr="00416912">
              <w:rPr>
                <w:sz w:val="22"/>
              </w:rPr>
              <w:t xml:space="preserve"> </w:t>
            </w:r>
            <w:proofErr w:type="spellStart"/>
            <w:r w:rsidRPr="00416912">
              <w:rPr>
                <w:sz w:val="22"/>
              </w:rPr>
              <w:t>Securities</w:t>
            </w:r>
            <w:proofErr w:type="spellEnd"/>
            <w:r w:rsidRPr="00416912">
              <w:rPr>
                <w:sz w:val="22"/>
              </w:rPr>
              <w:t xml:space="preserve"> en Nueva York. “Los suministros son muy extensos. La buena temporada de cultivo y la moneda débil en Brasil también están haciendo más atractivas sus exportaciones”, precisó.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El azúcar sin refinar para su entrega en mayo ha caído un 12% este año, hasta 12.71 centavos de dólar estadounidense, en el mercado de futuros de Estados Unidos de Norteamérica en Nueva York. Este descenso ha sido una de las mayores caídas de las 22 materias primas monitorizadas por el índice </w:t>
            </w:r>
            <w:proofErr w:type="spellStart"/>
            <w:r w:rsidRPr="00416912">
              <w:rPr>
                <w:sz w:val="22"/>
              </w:rPr>
              <w:t>Bloomberg</w:t>
            </w:r>
            <w:proofErr w:type="spellEnd"/>
            <w:r w:rsidRPr="00416912">
              <w:rPr>
                <w:sz w:val="22"/>
              </w:rPr>
              <w:t xml:space="preserve"> </w:t>
            </w:r>
            <w:proofErr w:type="spellStart"/>
            <w:r w:rsidRPr="00416912">
              <w:rPr>
                <w:sz w:val="22"/>
              </w:rPr>
              <w:t>Commodity</w:t>
            </w:r>
            <w:proofErr w:type="spellEnd"/>
            <w:r w:rsidRPr="00416912">
              <w:rPr>
                <w:sz w:val="22"/>
              </w:rPr>
              <w:t xml:space="preserve">, que cayó un 7.2%. El Índice MSCI </w:t>
            </w:r>
            <w:proofErr w:type="spellStart"/>
            <w:r w:rsidRPr="00416912">
              <w:rPr>
                <w:sz w:val="22"/>
              </w:rPr>
              <w:t>All</w:t>
            </w:r>
            <w:proofErr w:type="spellEnd"/>
            <w:r w:rsidRPr="00416912">
              <w:rPr>
                <w:sz w:val="22"/>
              </w:rPr>
              <w:t xml:space="preserve">-Country </w:t>
            </w:r>
            <w:proofErr w:type="spellStart"/>
            <w:r w:rsidRPr="00416912">
              <w:rPr>
                <w:sz w:val="22"/>
              </w:rPr>
              <w:t>World</w:t>
            </w:r>
            <w:proofErr w:type="spellEnd"/>
            <w:r w:rsidRPr="00416912">
              <w:rPr>
                <w:sz w:val="22"/>
              </w:rPr>
              <w:t xml:space="preserve"> de acciones subió un 1.2 %, mientras que el Índice </w:t>
            </w:r>
            <w:proofErr w:type="spellStart"/>
            <w:r w:rsidRPr="00416912">
              <w:rPr>
                <w:sz w:val="22"/>
              </w:rPr>
              <w:t>Bloomberg</w:t>
            </w:r>
            <w:proofErr w:type="spellEnd"/>
            <w:r w:rsidRPr="00416912">
              <w:rPr>
                <w:sz w:val="22"/>
              </w:rPr>
              <w:t xml:space="preserve"> </w:t>
            </w:r>
            <w:proofErr w:type="spellStart"/>
            <w:r w:rsidRPr="00416912">
              <w:rPr>
                <w:sz w:val="22"/>
              </w:rPr>
              <w:t>Dollar</w:t>
            </w:r>
            <w:proofErr w:type="spellEnd"/>
            <w:r w:rsidRPr="00416912">
              <w:rPr>
                <w:sz w:val="22"/>
              </w:rPr>
              <w:t xml:space="preserve"> Spot subió un 7.4 por ciento.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La tendencia de los precios de los productos básicos es bajista, incluyendo la fuerte caída en el petróleo que ha incrementado el riesgo de deflación desde Japón y China hasta la Unión Europa. Con el aumento de la producción agrícola, los costos globales de los alimentos registrados por las Naciones Unidas son los más bajos en cuatro años, incluyendo un índice de azúcar que el mes pasado fue el más bajo desde 2009.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La India, el segundo mayor productor de azúcar, ha aprobado subvenciones a las exportaciones de hasta 1.4 millones de toneladas de azúcar sin refinar para ayudar con el pago de la deuda a los agricultores. </w:t>
            </w:r>
            <w:proofErr w:type="spellStart"/>
            <w:r w:rsidRPr="00416912">
              <w:rPr>
                <w:sz w:val="22"/>
              </w:rPr>
              <w:t>Maharashtra</w:t>
            </w:r>
            <w:proofErr w:type="spellEnd"/>
            <w:r w:rsidRPr="00416912">
              <w:rPr>
                <w:sz w:val="22"/>
              </w:rPr>
              <w:t xml:space="preserve">, el Estado con mayor producción, está buscando la aprobación de ayuda adicional para enviar el producto al extranjero. </w:t>
            </w:r>
          </w:p>
          <w:p w:rsidR="00416912" w:rsidRPr="00416912" w:rsidRDefault="00416912" w:rsidP="00416912">
            <w:pPr>
              <w:ind w:left="880" w:right="177"/>
              <w:jc w:val="both"/>
              <w:rPr>
                <w:sz w:val="22"/>
                <w:szCs w:val="22"/>
                <w:lang w:eastAsia="es-MX"/>
              </w:rPr>
            </w:pPr>
          </w:p>
          <w:p w:rsidR="00416912" w:rsidRPr="00416912" w:rsidRDefault="00416912" w:rsidP="00416912">
            <w:pPr>
              <w:autoSpaceDE w:val="0"/>
              <w:autoSpaceDN w:val="0"/>
              <w:adjustRightInd w:val="0"/>
              <w:spacing w:after="240"/>
              <w:ind w:left="731" w:hanging="570"/>
              <w:jc w:val="both"/>
              <w:rPr>
                <w:sz w:val="20"/>
                <w:szCs w:val="20"/>
              </w:rPr>
            </w:pPr>
            <w:r w:rsidRPr="00416912">
              <w:rPr>
                <w:sz w:val="20"/>
                <w:szCs w:val="20"/>
                <w:lang w:val="es-MX" w:eastAsia="es-MX"/>
              </w:rPr>
              <w:t>*Al 13 de marzo de 2015.</w:t>
            </w:r>
          </w:p>
        </w:tc>
      </w:tr>
    </w:tbl>
    <w:p w:rsidR="00416912" w:rsidRPr="00416912" w:rsidRDefault="00416912" w:rsidP="00416912">
      <w:pPr>
        <w:jc w:val="center"/>
        <w:rPr>
          <w:sz w:val="20"/>
          <w:szCs w:val="20"/>
        </w:rPr>
      </w:pPr>
    </w:p>
    <w:p w:rsidR="00416912" w:rsidRPr="00416912" w:rsidRDefault="00416912" w:rsidP="00416912">
      <w:pPr>
        <w:jc w:val="center"/>
        <w:rPr>
          <w:b/>
          <w:sz w:val="22"/>
          <w:szCs w:val="22"/>
        </w:rPr>
      </w:pPr>
    </w:p>
    <w:p w:rsidR="00416912" w:rsidRPr="00416912" w:rsidRDefault="00416912" w:rsidP="00416912">
      <w:pPr>
        <w:jc w:val="center"/>
        <w:rPr>
          <w:sz w:val="22"/>
          <w:szCs w:val="22"/>
        </w:rPr>
      </w:pPr>
      <w:r w:rsidRPr="00416912">
        <w:rPr>
          <w:b/>
          <w:sz w:val="22"/>
          <w:szCs w:val="22"/>
        </w:rPr>
        <w:lastRenderedPageBreak/>
        <w:t>ÍNDICE NACIONAL DE PRECIOS AL CONSUMIDOR</w:t>
      </w:r>
    </w:p>
    <w:p w:rsidR="00416912" w:rsidRPr="00416912" w:rsidRDefault="00416912" w:rsidP="00416912">
      <w:pPr>
        <w:jc w:val="center"/>
        <w:rPr>
          <w:b/>
          <w:sz w:val="22"/>
          <w:szCs w:val="22"/>
        </w:rPr>
      </w:pPr>
      <w:r w:rsidRPr="00416912">
        <w:rPr>
          <w:b/>
          <w:sz w:val="22"/>
          <w:szCs w:val="22"/>
        </w:rPr>
        <w:t>SEGUIMIENTO DE PRECIOS</w:t>
      </w:r>
    </w:p>
    <w:p w:rsidR="00416912" w:rsidRPr="00416912" w:rsidRDefault="00416912" w:rsidP="00416912">
      <w:pPr>
        <w:jc w:val="center"/>
        <w:rPr>
          <w:b/>
          <w:sz w:val="22"/>
          <w:szCs w:val="22"/>
        </w:rPr>
      </w:pPr>
      <w:r w:rsidRPr="00416912">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416912" w:rsidRPr="00416912" w:rsidTr="00A14B35">
        <w:trPr>
          <w:cantSplit/>
          <w:trHeight w:val="571"/>
          <w:jc w:val="center"/>
        </w:trPr>
        <w:tc>
          <w:tcPr>
            <w:tcW w:w="10229"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10874"/>
          <w:jc w:val="center"/>
        </w:trPr>
        <w:tc>
          <w:tcPr>
            <w:tcW w:w="10229" w:type="dxa"/>
            <w:tcBorders>
              <w:top w:val="single" w:sz="4" w:space="0" w:color="auto"/>
              <w:bottom w:val="single" w:sz="4" w:space="0" w:color="auto"/>
            </w:tcBorders>
          </w:tcPr>
          <w:p w:rsidR="00416912" w:rsidRPr="00416912" w:rsidRDefault="00416912" w:rsidP="00416912">
            <w:pPr>
              <w:ind w:left="880" w:right="203"/>
              <w:jc w:val="both"/>
              <w:rPr>
                <w:sz w:val="12"/>
                <w:szCs w:val="12"/>
              </w:rPr>
            </w:pPr>
          </w:p>
          <w:p w:rsidR="00416912" w:rsidRPr="00416912" w:rsidRDefault="00416912" w:rsidP="00416912">
            <w:pPr>
              <w:ind w:left="880" w:right="203"/>
              <w:jc w:val="both"/>
              <w:rPr>
                <w:sz w:val="22"/>
              </w:rPr>
            </w:pPr>
            <w:r w:rsidRPr="00416912">
              <w:rPr>
                <w:sz w:val="22"/>
              </w:rPr>
              <w:t xml:space="preserve">El Centro Sur de Brasil, la principal región de crecimiento, puede triturar hasta 585 millones de toneladas de caña en el año que comienza el 1º de abril, un 2.6% más respecto al año anterior, ha explicado el consultor de la industria JOB </w:t>
            </w:r>
            <w:proofErr w:type="spellStart"/>
            <w:r w:rsidRPr="00416912">
              <w:rPr>
                <w:sz w:val="22"/>
              </w:rPr>
              <w:t>Economia</w:t>
            </w:r>
            <w:proofErr w:type="spellEnd"/>
            <w:r w:rsidRPr="00416912">
              <w:rPr>
                <w:sz w:val="22"/>
              </w:rPr>
              <w:t xml:space="preserve"> e </w:t>
            </w:r>
            <w:proofErr w:type="spellStart"/>
            <w:r w:rsidRPr="00416912">
              <w:rPr>
                <w:sz w:val="22"/>
              </w:rPr>
              <w:t>Planejamento</w:t>
            </w:r>
            <w:proofErr w:type="spellEnd"/>
            <w:r w:rsidRPr="00416912">
              <w:rPr>
                <w:sz w:val="22"/>
              </w:rPr>
              <w:t xml:space="preserve">.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“Hemos tenido varios años consecutivos donde la producción superó al consumo y se han acumulado existencias masivas”, comentó Stefan </w:t>
            </w:r>
            <w:proofErr w:type="spellStart"/>
            <w:r w:rsidRPr="00416912">
              <w:rPr>
                <w:sz w:val="22"/>
              </w:rPr>
              <w:t>Uhlenbrock</w:t>
            </w:r>
            <w:proofErr w:type="spellEnd"/>
            <w:r w:rsidRPr="00416912">
              <w:rPr>
                <w:sz w:val="22"/>
              </w:rPr>
              <w:t xml:space="preserve">, analista de la firma de investigación de mercancías F.O. </w:t>
            </w:r>
            <w:proofErr w:type="spellStart"/>
            <w:r w:rsidRPr="00416912">
              <w:rPr>
                <w:sz w:val="22"/>
              </w:rPr>
              <w:t>Licht</w:t>
            </w:r>
            <w:proofErr w:type="spellEnd"/>
            <w:r w:rsidRPr="00416912">
              <w:rPr>
                <w:sz w:val="22"/>
              </w:rPr>
              <w:t xml:space="preserve"> en </w:t>
            </w:r>
            <w:proofErr w:type="spellStart"/>
            <w:r w:rsidRPr="00416912">
              <w:rPr>
                <w:sz w:val="22"/>
              </w:rPr>
              <w:t>Ratzeburg</w:t>
            </w:r>
            <w:proofErr w:type="spellEnd"/>
            <w:r w:rsidRPr="00416912">
              <w:rPr>
                <w:sz w:val="22"/>
              </w:rPr>
              <w:t xml:space="preserve">, Alemania.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En otro mercado, una reciente revisión de los datos de producción y consumo de azúcar del Comité Nacional para el Desarrollo Sustentable de la Caña de Azúcar (</w:t>
            </w:r>
            <w:proofErr w:type="spellStart"/>
            <w:r w:rsidRPr="00416912">
              <w:rPr>
                <w:sz w:val="22"/>
              </w:rPr>
              <w:t>Conadesuca</w:t>
            </w:r>
            <w:proofErr w:type="spellEnd"/>
            <w:r w:rsidRPr="00416912">
              <w:rPr>
                <w:sz w:val="22"/>
              </w:rPr>
              <w:t xml:space="preserve">), se estimó que para este ciclo 2014-2015, las exportaciones hacia Estados Unidos de Norteamérica llegarán a sólo 1.3 millones de toneladas. Con lo anterior, se vería una nueva baja anual de la exportación del dulce a la Unión Americana.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Sin embargo, de no agilizar el ritmo exportador en los próximos meses, el total de azúcar vendido a Estados Unidos de Norteamérica incluso puede caer por debajo de los 1.2 millones de toneladas. Por el momento, con el estimado oficial y en términos comparativos, la baja sería cercana a 427 mil toneladas, desde las casi 1.73 millones de toneladas que se exportaron a Estados Unidos de Norteamérica en el ciclo 2013-2014, una baja de casi 25 por ciento.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Se puede presumir que los empresarios ligados a este ramo mantendrán cierta cautela en su actividad comercial con el vecino país, lo que estaría relacionado a los conflictos por dumping y subsidios que disputaron en meses recientes y a los que pusieron fin al llegar a un acuerdo en diciembre pasado, aunque, cabe señalar, el veredicto final está por conocerse hacia finales de este mes.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Coincidiendo con la resolución a la demanda de los azucareros de Estados Unidos de Norteamérica, México planea lanzar la licitación para vender nueve ingenios azucareros y cuyos ganadores serían adjudicados en junio. Autoridades han asegurado que los ingenios, que producen alrededor del 20% del azúcar en el país, se venderán en paquetes y no en un solo bloque, a fin de incentivar la competencia.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Fuentes refieren que la conformación de los paquetes buscará balancear la producción de azúcar refinada con azúcar estándar, así como la ubicación de los ingenios para asegurar la venta. A lo anterior se suma la noticia de que tres o cuatro ingenios, que estaban cerrados por falta de inversión y adeudos, reabrirían sus puertas.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Por el momento, y para calmar los mercados, las autoridades han salido a declarar que el abasto nacional de azúcar está garantizado. Se estima que para septiembre de 2015 el inventario final de azúcar llegue a 830 </w:t>
            </w:r>
            <w:r w:rsidR="00994DBD">
              <w:rPr>
                <w:sz w:val="22"/>
              </w:rPr>
              <w:t xml:space="preserve">mil </w:t>
            </w:r>
            <w:r w:rsidRPr="00416912">
              <w:rPr>
                <w:sz w:val="22"/>
              </w:rPr>
              <w:t xml:space="preserve">toneladas, una cantidad suficiente para cubrir la demanda de los últimos dos meses del año.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Finalmente, lo que está muy claro es que este ciclo se complica por la abundancia del dulce en los mercados con precios orientados a la baja.</w:t>
            </w:r>
          </w:p>
          <w:p w:rsidR="00416912" w:rsidRPr="00416912" w:rsidRDefault="00416912" w:rsidP="00416912">
            <w:pPr>
              <w:ind w:left="880" w:right="177"/>
              <w:jc w:val="both"/>
              <w:rPr>
                <w:sz w:val="22"/>
                <w:szCs w:val="22"/>
                <w:lang w:eastAsia="es-MX"/>
              </w:rPr>
            </w:pPr>
          </w:p>
          <w:p w:rsidR="00416912" w:rsidRPr="00416912" w:rsidRDefault="00416912" w:rsidP="00416912">
            <w:pPr>
              <w:autoSpaceDE w:val="0"/>
              <w:autoSpaceDN w:val="0"/>
              <w:adjustRightInd w:val="0"/>
              <w:spacing w:after="240"/>
              <w:ind w:left="731" w:hanging="570"/>
              <w:jc w:val="both"/>
              <w:rPr>
                <w:sz w:val="20"/>
                <w:szCs w:val="20"/>
              </w:rPr>
            </w:pPr>
            <w:r w:rsidRPr="00416912">
              <w:rPr>
                <w:sz w:val="20"/>
                <w:szCs w:val="20"/>
                <w:lang w:val="es-MX" w:eastAsia="es-MX"/>
              </w:rPr>
              <w:t>*Al 13 de marzo de 2015.</w:t>
            </w:r>
          </w:p>
        </w:tc>
      </w:tr>
    </w:tbl>
    <w:p w:rsidR="00416912" w:rsidRPr="00416912" w:rsidRDefault="00416912" w:rsidP="00416912">
      <w:pPr>
        <w:jc w:val="center"/>
        <w:rPr>
          <w:sz w:val="22"/>
          <w:szCs w:val="22"/>
        </w:rPr>
      </w:pPr>
      <w:r w:rsidRPr="00416912">
        <w:rPr>
          <w:b/>
          <w:sz w:val="22"/>
          <w:szCs w:val="22"/>
        </w:rPr>
        <w:lastRenderedPageBreak/>
        <w:t>ÍNDICE NACIONAL DE PRECIOS AL CONSUMIDOR</w:t>
      </w:r>
    </w:p>
    <w:p w:rsidR="00416912" w:rsidRPr="00416912" w:rsidRDefault="00416912" w:rsidP="00416912">
      <w:pPr>
        <w:jc w:val="center"/>
        <w:rPr>
          <w:b/>
          <w:sz w:val="22"/>
          <w:szCs w:val="22"/>
        </w:rPr>
      </w:pPr>
      <w:r w:rsidRPr="00416912">
        <w:rPr>
          <w:b/>
          <w:sz w:val="22"/>
          <w:szCs w:val="22"/>
        </w:rPr>
        <w:t>SEGUIMIENTO DE PRECIOS</w:t>
      </w:r>
    </w:p>
    <w:p w:rsidR="00416912" w:rsidRPr="00416912" w:rsidRDefault="00416912" w:rsidP="00416912">
      <w:pPr>
        <w:jc w:val="center"/>
        <w:rPr>
          <w:b/>
          <w:sz w:val="22"/>
          <w:szCs w:val="22"/>
        </w:rPr>
      </w:pPr>
      <w:r w:rsidRPr="00416912">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416912" w:rsidRPr="00416912" w:rsidTr="00A14B35">
        <w:trPr>
          <w:cantSplit/>
          <w:trHeight w:val="571"/>
          <w:jc w:val="center"/>
        </w:trPr>
        <w:tc>
          <w:tcPr>
            <w:tcW w:w="10229"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10874"/>
          <w:jc w:val="center"/>
        </w:trPr>
        <w:tc>
          <w:tcPr>
            <w:tcW w:w="10229" w:type="dxa"/>
            <w:tcBorders>
              <w:top w:val="single" w:sz="4" w:space="0" w:color="auto"/>
              <w:bottom w:val="single" w:sz="4" w:space="0" w:color="auto"/>
            </w:tcBorders>
          </w:tcPr>
          <w:p w:rsidR="00416912" w:rsidRPr="00416912" w:rsidRDefault="00416912" w:rsidP="00416912">
            <w:pPr>
              <w:ind w:left="871" w:right="212"/>
              <w:jc w:val="both"/>
              <w:rPr>
                <w:sz w:val="22"/>
                <w:szCs w:val="22"/>
              </w:rPr>
            </w:pPr>
          </w:p>
          <w:p w:rsidR="00416912" w:rsidRPr="00416912" w:rsidRDefault="00416912" w:rsidP="00416912">
            <w:pPr>
              <w:ind w:left="880" w:right="203" w:hanging="880"/>
              <w:jc w:val="both"/>
              <w:rPr>
                <w:sz w:val="22"/>
              </w:rPr>
            </w:pPr>
            <w:r w:rsidRPr="00416912">
              <w:rPr>
                <w:b/>
                <w:sz w:val="22"/>
                <w:szCs w:val="22"/>
              </w:rPr>
              <w:t>Arroz.</w:t>
            </w:r>
            <w:r w:rsidRPr="00416912">
              <w:rPr>
                <w:sz w:val="22"/>
                <w:szCs w:val="22"/>
              </w:rPr>
              <w:t xml:space="preserve">    </w:t>
            </w:r>
            <w:r w:rsidRPr="00416912">
              <w:rPr>
                <w:sz w:val="22"/>
              </w:rPr>
              <w:t xml:space="preserve">Los futuros de arroz de Chicago cotizaron mixtos la semana del 9 al 13 de marzo que precedió al alza el 11 y 13, </w:t>
            </w:r>
            <w:r w:rsidR="00BE5A0D">
              <w:rPr>
                <w:sz w:val="22"/>
              </w:rPr>
              <w:t>y</w:t>
            </w:r>
            <w:r w:rsidRPr="00416912">
              <w:rPr>
                <w:sz w:val="22"/>
              </w:rPr>
              <w:t xml:space="preserve"> la baja el 9, 10 y 12 de marzo. El contrato cercano tuvo un incremento del 2% semanal. </w:t>
            </w:r>
          </w:p>
          <w:p w:rsidR="00416912" w:rsidRPr="00416912" w:rsidRDefault="00416912" w:rsidP="00416912">
            <w:pPr>
              <w:ind w:left="880" w:right="203" w:hanging="880"/>
              <w:jc w:val="both"/>
              <w:rPr>
                <w:sz w:val="22"/>
                <w:szCs w:val="22"/>
              </w:rPr>
            </w:pPr>
          </w:p>
          <w:p w:rsidR="00416912" w:rsidRPr="00416912" w:rsidRDefault="00416912" w:rsidP="00416912">
            <w:pPr>
              <w:ind w:left="880" w:right="203"/>
              <w:jc w:val="both"/>
              <w:rPr>
                <w:sz w:val="22"/>
              </w:rPr>
            </w:pPr>
            <w:r w:rsidRPr="00416912">
              <w:rPr>
                <w:sz w:val="22"/>
              </w:rPr>
              <w:t xml:space="preserve">Por su parte, el Índice </w:t>
            </w:r>
            <w:proofErr w:type="spellStart"/>
            <w:r w:rsidRPr="00416912">
              <w:rPr>
                <w:sz w:val="22"/>
              </w:rPr>
              <w:t>Oryza</w:t>
            </w:r>
            <w:proofErr w:type="spellEnd"/>
            <w:r w:rsidRPr="00416912">
              <w:rPr>
                <w:sz w:val="22"/>
              </w:rPr>
              <w:t xml:space="preserve"> del Arroz Blanco (WRI), promedio ponderado de las cotizaciones de exportación del arroz blanco en todo el mundo, terminó la semana del 9 al 13 de marzo en alrededor de 419 dólares estadounidenses por tonelada, 3 dólares estadounidenses menos por tonelada que la semana anterior, un dólar estadounidense menos por tonelada que hace un mes y 35 dólares estadounidenses menos por tonelada que hace un año.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Por su parte, el reporte de oferta y demanda del USDA de marzo mostró que los inventarios finales mundiales de arroz para el ciclo 2014/2015 bajaron 0.6 millones de toneladas debido al incremento en el consumo. El total de inventarios para el ciclo 2014/2015 bajaron 37 mil toneladas, debido a que el aumento en la producción es insuficiente para compensar la baja en los inventarios iniciales. La producción mundial aumentó en 300 mil toneladas principalmente por el incremento de la India de 500 mil to</w:t>
            </w:r>
            <w:r w:rsidR="00994DBD">
              <w:rPr>
                <w:sz w:val="22"/>
              </w:rPr>
              <w:t>neladas y el aumento de 150 mil</w:t>
            </w:r>
            <w:r w:rsidRPr="00416912">
              <w:rPr>
                <w:sz w:val="22"/>
              </w:rPr>
              <w:t xml:space="preserve"> toneladas de Sir Lanka, parcialmente compensado por la reducción de Tailandia de 350 mil  toneladas. El incremento de la India de debe en una mayor cosecha de </w:t>
            </w:r>
            <w:proofErr w:type="spellStart"/>
            <w:r w:rsidRPr="00416912">
              <w:rPr>
                <w:sz w:val="22"/>
              </w:rPr>
              <w:t>Rabi</w:t>
            </w:r>
            <w:proofErr w:type="spellEnd"/>
            <w:r w:rsidRPr="00416912">
              <w:rPr>
                <w:sz w:val="22"/>
              </w:rPr>
              <w:t xml:space="preserve"> (cultivada durante la estación seca). Mientras que, la producción de Sir Lanka aumentó debido a que se espera un aumento en la siembra y los rendimientos de la cosecha de </w:t>
            </w:r>
            <w:proofErr w:type="spellStart"/>
            <w:r w:rsidRPr="00416912">
              <w:rPr>
                <w:sz w:val="22"/>
              </w:rPr>
              <w:t>Maha</w:t>
            </w:r>
            <w:proofErr w:type="spellEnd"/>
            <w:r w:rsidRPr="00416912">
              <w:rPr>
                <w:sz w:val="22"/>
              </w:rPr>
              <w:t xml:space="preserve">.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La cosecha de Tailandia para el ciclo 2014/2015 bajó en 0.35 millones de toneladas a 19.15 millones de toneladas debido a la reducción de la siembra por el clima seco, debido a la sequía y la falta de irrigación en la parte Central.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Por su parte, el consumo mundial de arroz (incluye uso residual) aumentó 0.5 millones de toneladas con mayores incrementos para China e India. Las exportaciones mundiales de arroz aumentaron en 0.4 millones de toneladas debido en general por el incremento de </w:t>
            </w:r>
            <w:proofErr w:type="spellStart"/>
            <w:r w:rsidRPr="00416912">
              <w:rPr>
                <w:sz w:val="22"/>
              </w:rPr>
              <w:t>Burma</w:t>
            </w:r>
            <w:proofErr w:type="spellEnd"/>
            <w:r w:rsidRPr="00416912">
              <w:rPr>
                <w:sz w:val="22"/>
              </w:rPr>
              <w:t>, India y Estados Unidos de Norteamérica. Por otro lado, las importaciones aumentaron para China, Arabia Saudita y Venezuela.</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En enero de 2015, Tailandia exportó cerca de 610 mil 504 toneladas de arroz, una disminución de alrededor de 59% desde diciembre de 2014 y de 12% desde enero de 2014.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Tailandia recibió ofertas por cerca de 780 mil toneladas de arroz el 6 de marzo; el gobierno había esperado vender un millón de toneladas. </w:t>
            </w:r>
          </w:p>
          <w:p w:rsidR="00416912" w:rsidRPr="00416912" w:rsidRDefault="00416912" w:rsidP="00416912">
            <w:pPr>
              <w:ind w:left="880" w:right="177"/>
              <w:jc w:val="both"/>
              <w:rPr>
                <w:sz w:val="22"/>
                <w:szCs w:val="22"/>
                <w:lang w:eastAsia="es-MX"/>
              </w:rPr>
            </w:pPr>
          </w:p>
          <w:p w:rsidR="00416912" w:rsidRPr="00416912" w:rsidRDefault="00416912" w:rsidP="00416912">
            <w:pPr>
              <w:ind w:left="880" w:right="203"/>
              <w:jc w:val="both"/>
              <w:rPr>
                <w:sz w:val="22"/>
              </w:rPr>
            </w:pPr>
            <w:r w:rsidRPr="00416912">
              <w:rPr>
                <w:sz w:val="22"/>
              </w:rPr>
              <w:t xml:space="preserve">Tailandia y China han resuelto los detalles de un acuerdo firmado entre los dos países en diciembre. Bajo este acuerdo, China acordó comprar alrededor de 2 millones de toneladas de arroz y 200 mil  toneladas de caucho de Tailandia.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Por su parte, en India el Gobierno ha decidido vender sus existencias excedentes de arroz en el mercado abierto a partir del 1º de abril. </w:t>
            </w:r>
          </w:p>
          <w:p w:rsidR="00416912" w:rsidRPr="00416912" w:rsidRDefault="00416912" w:rsidP="00416912">
            <w:pPr>
              <w:ind w:left="880" w:right="177"/>
              <w:jc w:val="both"/>
              <w:rPr>
                <w:sz w:val="22"/>
                <w:szCs w:val="22"/>
                <w:lang w:eastAsia="es-MX"/>
              </w:rPr>
            </w:pPr>
          </w:p>
          <w:p w:rsidR="00416912" w:rsidRPr="00416912" w:rsidRDefault="00416912" w:rsidP="00416912">
            <w:pPr>
              <w:ind w:left="880" w:right="177"/>
              <w:jc w:val="both"/>
              <w:rPr>
                <w:sz w:val="22"/>
                <w:szCs w:val="22"/>
                <w:lang w:eastAsia="es-MX"/>
              </w:rPr>
            </w:pPr>
          </w:p>
          <w:p w:rsidR="00416912" w:rsidRPr="00416912" w:rsidRDefault="00416912" w:rsidP="00416912">
            <w:pPr>
              <w:autoSpaceDE w:val="0"/>
              <w:autoSpaceDN w:val="0"/>
              <w:adjustRightInd w:val="0"/>
              <w:spacing w:after="240"/>
              <w:ind w:left="731" w:hanging="570"/>
              <w:jc w:val="both"/>
              <w:rPr>
                <w:sz w:val="20"/>
                <w:szCs w:val="20"/>
              </w:rPr>
            </w:pPr>
            <w:r w:rsidRPr="00416912">
              <w:rPr>
                <w:sz w:val="20"/>
                <w:szCs w:val="20"/>
                <w:lang w:val="es-MX" w:eastAsia="es-MX"/>
              </w:rPr>
              <w:t>*Al 13 de marzo de 2015.</w:t>
            </w:r>
          </w:p>
        </w:tc>
      </w:tr>
    </w:tbl>
    <w:p w:rsidR="00416912" w:rsidRPr="00416912" w:rsidRDefault="00416912" w:rsidP="00416912">
      <w:pPr>
        <w:ind w:firstLine="284"/>
        <w:jc w:val="center"/>
        <w:rPr>
          <w:b/>
          <w:sz w:val="22"/>
          <w:szCs w:val="22"/>
        </w:rPr>
      </w:pPr>
    </w:p>
    <w:p w:rsidR="00416912" w:rsidRPr="00416912" w:rsidRDefault="00416912" w:rsidP="00416912">
      <w:pPr>
        <w:ind w:firstLine="284"/>
        <w:jc w:val="center"/>
        <w:rPr>
          <w:sz w:val="22"/>
          <w:szCs w:val="22"/>
        </w:rPr>
      </w:pPr>
      <w:r w:rsidRPr="00416912">
        <w:rPr>
          <w:b/>
          <w:sz w:val="22"/>
          <w:szCs w:val="22"/>
        </w:rPr>
        <w:lastRenderedPageBreak/>
        <w:t>ÍNDICE NACIONAL DE PRECIOS AL CONSUMIDOR</w:t>
      </w:r>
    </w:p>
    <w:p w:rsidR="00416912" w:rsidRPr="00416912" w:rsidRDefault="00416912" w:rsidP="00416912">
      <w:pPr>
        <w:jc w:val="center"/>
        <w:rPr>
          <w:b/>
          <w:sz w:val="22"/>
          <w:szCs w:val="22"/>
        </w:rPr>
      </w:pPr>
      <w:r w:rsidRPr="00416912">
        <w:rPr>
          <w:b/>
          <w:sz w:val="22"/>
          <w:szCs w:val="22"/>
        </w:rPr>
        <w:t>SEGUIMIENTO DE PRECIOS</w:t>
      </w:r>
    </w:p>
    <w:p w:rsidR="00416912" w:rsidRPr="00416912" w:rsidRDefault="00416912" w:rsidP="00416912">
      <w:pPr>
        <w:jc w:val="center"/>
        <w:rPr>
          <w:b/>
          <w:sz w:val="22"/>
          <w:szCs w:val="22"/>
        </w:rPr>
      </w:pPr>
      <w:r w:rsidRPr="00416912">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416912" w:rsidRPr="00416912" w:rsidTr="00A14B35">
        <w:trPr>
          <w:cantSplit/>
          <w:trHeight w:val="571"/>
          <w:jc w:val="center"/>
        </w:trPr>
        <w:tc>
          <w:tcPr>
            <w:tcW w:w="10229" w:type="dxa"/>
            <w:tcBorders>
              <w:bottom w:val="single" w:sz="4" w:space="0" w:color="auto"/>
            </w:tcBorders>
            <w:shd w:val="clear" w:color="auto" w:fill="2E74B5" w:themeFill="accent1" w:themeFillShade="BF"/>
            <w:vAlign w:val="center"/>
          </w:tcPr>
          <w:p w:rsidR="00416912" w:rsidRPr="00416912" w:rsidRDefault="00416912" w:rsidP="00416912">
            <w:pPr>
              <w:tabs>
                <w:tab w:val="left" w:pos="320"/>
                <w:tab w:val="center" w:pos="2060"/>
              </w:tabs>
              <w:ind w:right="-108"/>
              <w:jc w:val="center"/>
              <w:rPr>
                <w:b/>
                <w:color w:val="FFFFFF" w:themeColor="background1"/>
                <w:sz w:val="22"/>
                <w:szCs w:val="22"/>
              </w:rPr>
            </w:pPr>
            <w:r w:rsidRPr="00416912">
              <w:rPr>
                <w:b/>
                <w:color w:val="FFFFFF" w:themeColor="background1"/>
                <w:sz w:val="22"/>
                <w:szCs w:val="22"/>
              </w:rPr>
              <w:t>Producción, abasto y mercado internacional</w:t>
            </w:r>
          </w:p>
          <w:p w:rsidR="00416912" w:rsidRPr="00416912" w:rsidRDefault="00416912" w:rsidP="00416912">
            <w:pPr>
              <w:ind w:right="-115"/>
              <w:jc w:val="center"/>
              <w:rPr>
                <w:b/>
                <w:sz w:val="22"/>
                <w:szCs w:val="22"/>
              </w:rPr>
            </w:pPr>
            <w:r w:rsidRPr="00416912">
              <w:rPr>
                <w:b/>
                <w:color w:val="FFFFFF" w:themeColor="background1"/>
                <w:sz w:val="22"/>
                <w:szCs w:val="22"/>
              </w:rPr>
              <w:t>en el mes de marzo de 2015*</w:t>
            </w:r>
          </w:p>
        </w:tc>
      </w:tr>
      <w:tr w:rsidR="00416912" w:rsidRPr="00416912" w:rsidTr="00A14B35">
        <w:trPr>
          <w:cantSplit/>
          <w:trHeight w:val="9532"/>
          <w:jc w:val="center"/>
        </w:trPr>
        <w:tc>
          <w:tcPr>
            <w:tcW w:w="10229" w:type="dxa"/>
            <w:tcBorders>
              <w:top w:val="single" w:sz="4" w:space="0" w:color="auto"/>
              <w:bottom w:val="single" w:sz="4" w:space="0" w:color="auto"/>
            </w:tcBorders>
          </w:tcPr>
          <w:p w:rsidR="00416912" w:rsidRPr="00416912" w:rsidRDefault="00416912" w:rsidP="00416912">
            <w:pPr>
              <w:ind w:left="871" w:right="212"/>
              <w:jc w:val="both"/>
              <w:rPr>
                <w:sz w:val="22"/>
                <w:szCs w:val="22"/>
              </w:rPr>
            </w:pPr>
          </w:p>
          <w:p w:rsidR="00416912" w:rsidRPr="00416912" w:rsidRDefault="00416912" w:rsidP="00416912">
            <w:pPr>
              <w:ind w:left="880" w:right="203"/>
              <w:jc w:val="both"/>
              <w:rPr>
                <w:sz w:val="22"/>
              </w:rPr>
            </w:pPr>
            <w:r w:rsidRPr="00416912">
              <w:rPr>
                <w:sz w:val="22"/>
              </w:rPr>
              <w:t xml:space="preserve">La India espera que Irán reanude las importaciones de arroz basmati de la India una vez que comience el nuevo año fiscal en abril.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El Ministro Jefe del Estado Indio de </w:t>
            </w:r>
            <w:proofErr w:type="spellStart"/>
            <w:r w:rsidRPr="00416912">
              <w:rPr>
                <w:sz w:val="22"/>
              </w:rPr>
              <w:t>Telangana</w:t>
            </w:r>
            <w:proofErr w:type="spellEnd"/>
            <w:r w:rsidRPr="00416912">
              <w:rPr>
                <w:sz w:val="22"/>
              </w:rPr>
              <w:t xml:space="preserve"> ha instado al Gobierno a que reconsidere su decisión de poner fin al sistema de compras de arroz mediante recaudación a partir de la temporada de comercialización </w:t>
            </w:r>
            <w:proofErr w:type="spellStart"/>
            <w:r w:rsidRPr="00416912">
              <w:rPr>
                <w:sz w:val="22"/>
              </w:rPr>
              <w:t>kharif</w:t>
            </w:r>
            <w:proofErr w:type="spellEnd"/>
            <w:r w:rsidRPr="00416912">
              <w:rPr>
                <w:sz w:val="22"/>
              </w:rPr>
              <w:t xml:space="preserve"> 2015-2016 (octubre-septiembre).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El sector del arroz en Bangladesh se enfrenta a problemas graves mientras continúan los disturbios políticos y el aumento de las importaciones.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Por otro lado, Vietnam exportó alrededor de 421 mil 202 toneladas de arroz en los dos primeros meses de 2015, una disminución de aproximadamente 34% en comparación con los dos primeros meses de 2014. El precio promedio de exportación de arroz en lo que va del año es de aproximadamente             452 dólares estadounidenses por tonelada Libre a bordo (FOB), un aumento de alrededor de 5% en comparación con el mismo período del año pasado.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La Compañía Nacional de Abastecimiento de Granos de Brasil (</w:t>
            </w:r>
            <w:proofErr w:type="spellStart"/>
            <w:r w:rsidRPr="00416912">
              <w:rPr>
                <w:sz w:val="22"/>
              </w:rPr>
              <w:t>Conab</w:t>
            </w:r>
            <w:proofErr w:type="spellEnd"/>
            <w:r w:rsidRPr="00416912">
              <w:rPr>
                <w:sz w:val="22"/>
              </w:rPr>
              <w:t xml:space="preserve">) estima que la producción de arroz en cáscara de ese país será de unos 12.152 millones de toneladas en 2014-2015, un ligero aumento en comparación con 2013-2014.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 xml:space="preserve">Por otro lado, la actual sequía en California está llevando a algunos expertos a anticipar que los precios mundiales del arroz de grano mediano se mantendrán firmes en el futuro próximo. </w:t>
            </w:r>
          </w:p>
          <w:p w:rsidR="00416912" w:rsidRPr="00416912" w:rsidRDefault="00416912" w:rsidP="00416912">
            <w:pPr>
              <w:jc w:val="both"/>
              <w:rPr>
                <w:sz w:val="22"/>
                <w:szCs w:val="22"/>
              </w:rPr>
            </w:pPr>
          </w:p>
          <w:p w:rsidR="00416912" w:rsidRPr="00416912" w:rsidRDefault="00416912" w:rsidP="00416912">
            <w:pPr>
              <w:ind w:left="880" w:right="203"/>
              <w:jc w:val="both"/>
              <w:rPr>
                <w:sz w:val="22"/>
              </w:rPr>
            </w:pPr>
            <w:r w:rsidRPr="00416912">
              <w:rPr>
                <w:sz w:val="22"/>
              </w:rPr>
              <w:t xml:space="preserve">Después de mantenerse sin cambios a principios de la semana, los futuros de arroz en cáscara de Chicago para entrega en mayo repuntaron el 11 de marzo, alcanzando un máximo de 10.740 dólares estadounidenses por quintal (alrededor de 237 dólares estadounidenses por tonelada). Los futuros cayeron después ligeramente hasta terminar la semana en 10.615 dólares estadounidenses por quintal (alrededor de 234 dólares estadounidenses por tonelada). </w:t>
            </w:r>
          </w:p>
          <w:p w:rsidR="00416912" w:rsidRPr="00416912" w:rsidRDefault="00416912" w:rsidP="00416912">
            <w:pPr>
              <w:ind w:left="880" w:right="203"/>
              <w:jc w:val="both"/>
              <w:rPr>
                <w:sz w:val="22"/>
              </w:rPr>
            </w:pPr>
          </w:p>
          <w:p w:rsidR="00416912" w:rsidRPr="00416912" w:rsidRDefault="00416912" w:rsidP="00416912">
            <w:pPr>
              <w:ind w:left="880" w:right="203"/>
              <w:jc w:val="both"/>
              <w:rPr>
                <w:sz w:val="22"/>
              </w:rPr>
            </w:pPr>
            <w:r w:rsidRPr="00416912">
              <w:rPr>
                <w:sz w:val="22"/>
              </w:rPr>
              <w:t>El mercado en efectivo de arroz en cáscara de Estados Unidos de Norteamérica se mantuvo tranquilo y casi sin cambios, a pesar de un informe sobre oferta y demanda agrícola del USDA relativamente alcista que proyectó un aumento de las exportaciones de arroz de grano largo de Estados Unidos de Norteamérica de un millón de quintales (45 mil 359 toneladas).</w:t>
            </w:r>
          </w:p>
          <w:p w:rsidR="00416912" w:rsidRPr="00416912" w:rsidRDefault="00416912" w:rsidP="00416912">
            <w:pPr>
              <w:ind w:left="880" w:right="203"/>
              <w:jc w:val="both"/>
              <w:rPr>
                <w:sz w:val="22"/>
                <w:szCs w:val="22"/>
              </w:rPr>
            </w:pPr>
          </w:p>
          <w:p w:rsidR="00416912" w:rsidRPr="00416912" w:rsidRDefault="00416912" w:rsidP="00416912">
            <w:pPr>
              <w:jc w:val="both"/>
              <w:rPr>
                <w:sz w:val="22"/>
                <w:szCs w:val="22"/>
              </w:rPr>
            </w:pPr>
          </w:p>
          <w:p w:rsidR="00416912" w:rsidRPr="00416912" w:rsidRDefault="00416912" w:rsidP="00416912">
            <w:pPr>
              <w:autoSpaceDE w:val="0"/>
              <w:autoSpaceDN w:val="0"/>
              <w:adjustRightInd w:val="0"/>
              <w:spacing w:after="240"/>
              <w:ind w:left="731" w:hanging="570"/>
              <w:jc w:val="both"/>
              <w:rPr>
                <w:sz w:val="20"/>
                <w:szCs w:val="20"/>
              </w:rPr>
            </w:pPr>
            <w:r w:rsidRPr="00416912">
              <w:rPr>
                <w:sz w:val="20"/>
                <w:szCs w:val="20"/>
                <w:lang w:val="es-MX" w:eastAsia="es-MX"/>
              </w:rPr>
              <w:t>*Al 13 de marzo de 2015.</w:t>
            </w:r>
          </w:p>
        </w:tc>
      </w:tr>
    </w:tbl>
    <w:p w:rsidR="00416912" w:rsidRPr="00416912" w:rsidRDefault="00416912" w:rsidP="00416912">
      <w:pPr>
        <w:ind w:firstLine="284"/>
        <w:jc w:val="center"/>
        <w:rPr>
          <w:b/>
          <w:sz w:val="22"/>
          <w:szCs w:val="22"/>
        </w:rPr>
      </w:pPr>
    </w:p>
    <w:p w:rsidR="00416912" w:rsidRPr="00416912" w:rsidRDefault="00416912" w:rsidP="00416912">
      <w:pPr>
        <w:ind w:right="-522"/>
        <w:jc w:val="both"/>
        <w:rPr>
          <w:b/>
          <w:sz w:val="20"/>
          <w:szCs w:val="20"/>
        </w:rPr>
      </w:pPr>
    </w:p>
    <w:p w:rsidR="00416912" w:rsidRPr="00416912" w:rsidRDefault="00416912" w:rsidP="00416912">
      <w:pPr>
        <w:ind w:left="567" w:right="-522" w:hanging="993"/>
        <w:jc w:val="both"/>
        <w:rPr>
          <w:sz w:val="20"/>
          <w:szCs w:val="20"/>
        </w:rPr>
      </w:pPr>
      <w:r w:rsidRPr="00416912">
        <w:rPr>
          <w:sz w:val="20"/>
          <w:szCs w:val="20"/>
        </w:rPr>
        <w:t>FUENTE</w:t>
      </w:r>
      <w:proofErr w:type="gramStart"/>
      <w:r w:rsidRPr="00416912">
        <w:rPr>
          <w:sz w:val="20"/>
          <w:szCs w:val="20"/>
        </w:rPr>
        <w:t>:  Elaborado</w:t>
      </w:r>
      <w:proofErr w:type="gramEnd"/>
      <w:r w:rsidRPr="00416912">
        <w:rPr>
          <w:sz w:val="20"/>
          <w:szCs w:val="20"/>
        </w:rPr>
        <w:t xml:space="preserve"> por la Comisión Nacional de los Salarios Mínimos con información Reporte del semanal del Comportamiento del Mercado Agropecuario Internacional (futuros) del 18 de marzo de 2015.</w:t>
      </w:r>
    </w:p>
    <w:p w:rsidR="00416912" w:rsidRPr="00416912" w:rsidRDefault="00416912" w:rsidP="00416912">
      <w:pPr>
        <w:ind w:right="-522"/>
        <w:jc w:val="both"/>
        <w:rPr>
          <w:b/>
          <w:sz w:val="20"/>
          <w:szCs w:val="20"/>
        </w:rPr>
      </w:pPr>
    </w:p>
    <w:p w:rsidR="00416912" w:rsidRPr="00416912" w:rsidRDefault="00416912" w:rsidP="00416912">
      <w:pPr>
        <w:ind w:left="-426"/>
        <w:rPr>
          <w:b/>
          <w:color w:val="0000FF"/>
          <w:sz w:val="20"/>
          <w:szCs w:val="20"/>
          <w:u w:val="single"/>
        </w:rPr>
      </w:pPr>
      <w:r w:rsidRPr="00416912">
        <w:rPr>
          <w:b/>
          <w:sz w:val="20"/>
          <w:szCs w:val="20"/>
        </w:rPr>
        <w:t>Fuente de Información:</w:t>
      </w:r>
    </w:p>
    <w:p w:rsidR="00416912" w:rsidRPr="00416912" w:rsidRDefault="00935135" w:rsidP="00416912">
      <w:pPr>
        <w:ind w:left="-426"/>
        <w:jc w:val="both"/>
        <w:rPr>
          <w:sz w:val="20"/>
          <w:szCs w:val="20"/>
        </w:rPr>
      </w:pPr>
      <w:hyperlink r:id="rId10" w:history="1">
        <w:r w:rsidR="00416912" w:rsidRPr="00416912">
          <w:rPr>
            <w:color w:val="0000FF"/>
            <w:sz w:val="20"/>
            <w:szCs w:val="20"/>
            <w:u w:val="single"/>
          </w:rPr>
          <w:t>http://www.aserca.gob.mx/comercializacion/analisis/Documents/FUTUROS.pdf</w:t>
        </w:r>
      </w:hyperlink>
      <w:r w:rsidR="00416912" w:rsidRPr="00416912">
        <w:rPr>
          <w:sz w:val="20"/>
          <w:szCs w:val="20"/>
        </w:rPr>
        <w:t xml:space="preserve"> </w:t>
      </w:r>
    </w:p>
    <w:p w:rsidR="00416912" w:rsidRPr="00416912" w:rsidRDefault="00935135" w:rsidP="00416912">
      <w:pPr>
        <w:ind w:left="-426"/>
        <w:jc w:val="both"/>
        <w:rPr>
          <w:sz w:val="20"/>
          <w:szCs w:val="20"/>
        </w:rPr>
      </w:pPr>
      <w:hyperlink r:id="rId11" w:anchor="Marzo_20151" w:history="1">
        <w:r w:rsidR="00416912" w:rsidRPr="00416912">
          <w:rPr>
            <w:color w:val="0000FF"/>
            <w:sz w:val="20"/>
            <w:szCs w:val="20"/>
            <w:u w:val="single"/>
          </w:rPr>
          <w:t>http://www.infoaserca.gob.mx/analisis/semanal.asp#Marzo_20151</w:t>
        </w:r>
      </w:hyperlink>
      <w:r w:rsidR="00416912" w:rsidRPr="00416912">
        <w:rPr>
          <w:sz w:val="20"/>
          <w:szCs w:val="20"/>
        </w:rPr>
        <w:t xml:space="preserve"> </w:t>
      </w:r>
    </w:p>
    <w:p w:rsidR="008E5F27" w:rsidRDefault="008E5F27" w:rsidP="00416912">
      <w:pPr>
        <w:ind w:right="28"/>
        <w:jc w:val="center"/>
      </w:pPr>
    </w:p>
    <w:p w:rsidR="00364D4D" w:rsidRPr="007A6638" w:rsidRDefault="00364D4D" w:rsidP="008E5F27">
      <w:pPr>
        <w:spacing w:before="360" w:after="360"/>
        <w:ind w:right="28"/>
        <w:rPr>
          <w:sz w:val="18"/>
          <w:szCs w:val="18"/>
        </w:rPr>
      </w:pPr>
      <w:r>
        <w:br w:type="column"/>
      </w:r>
      <w:r w:rsidRPr="00105D82">
        <w:rPr>
          <w:b/>
          <w:color w:val="0000FF"/>
          <w:sz w:val="26"/>
          <w:szCs w:val="26"/>
        </w:rPr>
        <w:lastRenderedPageBreak/>
        <w:t>Variación acumulada del INPC</w:t>
      </w:r>
    </w:p>
    <w:p w:rsidR="00364D4D" w:rsidRDefault="00364D4D" w:rsidP="00364D4D">
      <w:pPr>
        <w:spacing w:after="240" w:line="360" w:lineRule="auto"/>
        <w:ind w:right="23"/>
        <w:jc w:val="both"/>
        <w:rPr>
          <w:sz w:val="26"/>
          <w:szCs w:val="26"/>
        </w:rPr>
      </w:pPr>
      <w:r>
        <w:rPr>
          <w:sz w:val="26"/>
          <w:szCs w:val="26"/>
        </w:rPr>
        <w:t xml:space="preserve">La variación acumulada </w:t>
      </w:r>
      <w:r w:rsidR="001B2BFD">
        <w:rPr>
          <w:sz w:val="26"/>
          <w:szCs w:val="26"/>
        </w:rPr>
        <w:t>el primer bimestre del año</w:t>
      </w:r>
      <w:r>
        <w:rPr>
          <w:sz w:val="26"/>
          <w:szCs w:val="26"/>
        </w:rPr>
        <w:t xml:space="preserve"> fue de</w:t>
      </w:r>
      <w:r w:rsidRPr="009C3B27">
        <w:rPr>
          <w:sz w:val="26"/>
          <w:szCs w:val="26"/>
        </w:rPr>
        <w:t xml:space="preserve"> </w:t>
      </w:r>
      <w:r w:rsidR="001B2BFD">
        <w:rPr>
          <w:sz w:val="26"/>
          <w:szCs w:val="26"/>
        </w:rPr>
        <w:t>0.10</w:t>
      </w:r>
      <w:r>
        <w:rPr>
          <w:sz w:val="26"/>
          <w:szCs w:val="26"/>
        </w:rPr>
        <w:t>%; es decir,</w:t>
      </w:r>
      <w:r w:rsidRPr="009C3B27">
        <w:rPr>
          <w:sz w:val="26"/>
          <w:szCs w:val="26"/>
        </w:rPr>
        <w:t xml:space="preserve"> </w:t>
      </w:r>
      <w:r w:rsidR="00A209C7">
        <w:rPr>
          <w:sz w:val="26"/>
          <w:szCs w:val="26"/>
        </w:rPr>
        <w:t xml:space="preserve">                           </w:t>
      </w:r>
      <w:r w:rsidR="001B2BFD">
        <w:rPr>
          <w:sz w:val="26"/>
          <w:szCs w:val="26"/>
        </w:rPr>
        <w:t>1.05</w:t>
      </w:r>
      <w:r w:rsidRPr="009C3B27">
        <w:rPr>
          <w:sz w:val="26"/>
          <w:szCs w:val="26"/>
        </w:rPr>
        <w:t xml:space="preserve"> puntos porcentuales por </w:t>
      </w:r>
      <w:r>
        <w:rPr>
          <w:sz w:val="26"/>
          <w:szCs w:val="26"/>
        </w:rPr>
        <w:t>debajo</w:t>
      </w:r>
      <w:r w:rsidRPr="009C3B27">
        <w:rPr>
          <w:sz w:val="26"/>
          <w:szCs w:val="26"/>
        </w:rPr>
        <w:t xml:space="preserve"> </w:t>
      </w:r>
      <w:r>
        <w:rPr>
          <w:sz w:val="26"/>
          <w:szCs w:val="26"/>
        </w:rPr>
        <w:t xml:space="preserve">del nivel observado en el lapso similar de </w:t>
      </w:r>
      <w:r w:rsidR="00A209C7">
        <w:rPr>
          <w:sz w:val="26"/>
          <w:szCs w:val="26"/>
        </w:rPr>
        <w:t>2014</w:t>
      </w:r>
      <w:r w:rsidRPr="009C3B27">
        <w:rPr>
          <w:sz w:val="26"/>
          <w:szCs w:val="26"/>
        </w:rPr>
        <w:t xml:space="preserve"> (</w:t>
      </w:r>
      <w:r w:rsidR="001B2BFD">
        <w:rPr>
          <w:sz w:val="26"/>
          <w:szCs w:val="26"/>
        </w:rPr>
        <w:t>1.15</w:t>
      </w:r>
      <w:r w:rsidRPr="009C3B27">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840" w:type="dxa"/>
          </w:tcPr>
          <w:p w:rsidR="00364D4D" w:rsidRPr="001E1E6C" w:rsidRDefault="00364D4D" w:rsidP="00B17B53">
            <w:pPr>
              <w:pStyle w:val="NormalWeb"/>
              <w:spacing w:before="60" w:beforeAutospacing="0" w:after="0" w:afterAutospacing="0"/>
              <w:jc w:val="center"/>
              <w:textAlignment w:val="baseline"/>
              <w:rPr>
                <w:sz w:val="22"/>
                <w:szCs w:val="22"/>
              </w:rPr>
            </w:pPr>
            <w:r w:rsidRPr="001E1E6C">
              <w:rPr>
                <w:rFonts w:eastAsia="+mn-ea"/>
                <w:b/>
                <w:bCs/>
                <w:color w:val="000000"/>
                <w:kern w:val="24"/>
                <w:sz w:val="22"/>
                <w:szCs w:val="22"/>
                <w:lang w:val="es-ES_tradnl"/>
              </w:rPr>
              <w:t>Í</w:t>
            </w:r>
            <w:r>
              <w:rPr>
                <w:rFonts w:eastAsia="+mn-ea"/>
                <w:b/>
                <w:bCs/>
                <w:color w:val="000000"/>
                <w:kern w:val="24"/>
                <w:sz w:val="22"/>
                <w:szCs w:val="22"/>
                <w:lang w:val="es-ES_tradnl"/>
              </w:rPr>
              <w:t xml:space="preserve">NDICE NACIONAL DE PRECIOS AL </w:t>
            </w:r>
            <w:r w:rsidRPr="001E1E6C">
              <w:rPr>
                <w:rFonts w:eastAsia="+mn-ea"/>
                <w:b/>
                <w:bCs/>
                <w:color w:val="000000"/>
                <w:kern w:val="24"/>
                <w:sz w:val="22"/>
                <w:szCs w:val="22"/>
                <w:lang w:val="es-ES_tradnl"/>
              </w:rPr>
              <w:t>CONSUMIDOR</w:t>
            </w:r>
          </w:p>
          <w:p w:rsidR="00364D4D" w:rsidRPr="00771574" w:rsidRDefault="00364D4D" w:rsidP="00B17B53">
            <w:pPr>
              <w:pStyle w:val="NormalWeb"/>
              <w:spacing w:before="0" w:beforeAutospacing="0" w:after="0" w:afterAutospacing="0"/>
              <w:jc w:val="center"/>
              <w:textAlignment w:val="baseline"/>
              <w:rPr>
                <w:b/>
                <w:sz w:val="22"/>
                <w:szCs w:val="22"/>
              </w:rPr>
            </w:pPr>
            <w:r w:rsidRPr="00771574">
              <w:rPr>
                <w:rFonts w:eastAsia="+mn-ea"/>
                <w:b/>
                <w:bCs/>
                <w:color w:val="000000"/>
                <w:kern w:val="24"/>
                <w:sz w:val="22"/>
                <w:szCs w:val="22"/>
                <w:lang w:val="es-ES_tradnl"/>
              </w:rPr>
              <w:t xml:space="preserve">- Variación </w:t>
            </w:r>
            <w:r>
              <w:rPr>
                <w:rFonts w:eastAsia="+mn-ea"/>
                <w:b/>
                <w:bCs/>
                <w:color w:val="000000"/>
                <w:kern w:val="24"/>
                <w:sz w:val="22"/>
                <w:szCs w:val="22"/>
                <w:lang w:val="es-ES_tradnl"/>
              </w:rPr>
              <w:t>acumulada</w:t>
            </w:r>
            <w:r w:rsidRPr="00771574">
              <w:rPr>
                <w:rFonts w:eastAsia="+mn-ea"/>
                <w:b/>
                <w:bCs/>
                <w:color w:val="000000"/>
                <w:kern w:val="24"/>
                <w:sz w:val="22"/>
                <w:szCs w:val="22"/>
                <w:lang w:val="es-ES_tradnl"/>
              </w:rPr>
              <w:t xml:space="preserve"> </w:t>
            </w:r>
            <w:r w:rsidRPr="00771574">
              <w:rPr>
                <w:rFonts w:eastAsia="+mn-ea"/>
                <w:b/>
                <w:bCs/>
                <w:color w:val="000000"/>
                <w:kern w:val="24"/>
                <w:sz w:val="22"/>
                <w:szCs w:val="22"/>
                <w:lang w:val="en-US"/>
              </w:rPr>
              <w:t>-</w:t>
            </w:r>
          </w:p>
          <w:p w:rsidR="00364D4D" w:rsidRDefault="00364D4D"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 xml:space="preserve">Enero - </w:t>
            </w:r>
            <w:r w:rsidR="001244B5">
              <w:rPr>
                <w:rFonts w:eastAsia="+mn-ea"/>
                <w:b/>
                <w:bCs/>
                <w:color w:val="000000"/>
                <w:kern w:val="24"/>
                <w:sz w:val="22"/>
                <w:szCs w:val="22"/>
                <w:lang w:val="es-MX"/>
              </w:rPr>
              <w:t>febrero</w:t>
            </w:r>
          </w:p>
          <w:p w:rsidR="00364D4D" w:rsidRDefault="00A209C7" w:rsidP="00B17B53">
            <w:pPr>
              <w:pStyle w:val="NormalWeb"/>
              <w:spacing w:before="0" w:beforeAutospacing="0" w:after="0" w:afterAutospacing="0"/>
              <w:jc w:val="center"/>
              <w:textAlignment w:val="baseline"/>
              <w:rPr>
                <w:rFonts w:eastAsia="+mn-ea"/>
                <w:b/>
                <w:bCs/>
                <w:color w:val="000000"/>
                <w:kern w:val="24"/>
                <w:sz w:val="22"/>
                <w:szCs w:val="22"/>
                <w:lang w:val="en-US"/>
              </w:rPr>
            </w:pPr>
            <w:r>
              <w:rPr>
                <w:rFonts w:eastAsia="+mn-ea"/>
                <w:b/>
                <w:bCs/>
                <w:color w:val="000000"/>
                <w:kern w:val="24"/>
                <w:sz w:val="22"/>
                <w:szCs w:val="22"/>
                <w:lang w:val="en-US"/>
              </w:rPr>
              <w:t>2005</w:t>
            </w:r>
            <w:r w:rsidR="00364D4D" w:rsidRPr="00771574">
              <w:rPr>
                <w:rFonts w:eastAsia="+mn-ea"/>
                <w:b/>
                <w:bCs/>
                <w:color w:val="000000"/>
                <w:kern w:val="24"/>
                <w:sz w:val="22"/>
                <w:szCs w:val="22"/>
                <w:lang w:val="en-US"/>
              </w:rPr>
              <w:t xml:space="preserve"> </w:t>
            </w:r>
            <w:r w:rsidR="00364D4D">
              <w:rPr>
                <w:rFonts w:eastAsia="+mn-ea"/>
                <w:b/>
                <w:bCs/>
                <w:color w:val="000000"/>
                <w:kern w:val="24"/>
                <w:sz w:val="22"/>
                <w:szCs w:val="22"/>
                <w:lang w:val="en-US"/>
              </w:rPr>
              <w:t>–</w:t>
            </w:r>
            <w:r w:rsidR="00364D4D" w:rsidRPr="00771574">
              <w:rPr>
                <w:rFonts w:eastAsia="+mn-ea"/>
                <w:b/>
                <w:bCs/>
                <w:color w:val="000000"/>
                <w:kern w:val="24"/>
                <w:sz w:val="22"/>
                <w:szCs w:val="22"/>
                <w:lang w:val="en-US"/>
              </w:rPr>
              <w:t xml:space="preserve"> </w:t>
            </w:r>
            <w:r>
              <w:rPr>
                <w:rFonts w:eastAsia="+mn-ea"/>
                <w:b/>
                <w:bCs/>
                <w:color w:val="000000"/>
                <w:kern w:val="24"/>
                <w:sz w:val="22"/>
                <w:szCs w:val="22"/>
                <w:lang w:val="en-US"/>
              </w:rPr>
              <w:t>2015</w:t>
            </w:r>
          </w:p>
          <w:p w:rsidR="00364D4D" w:rsidRPr="000C4B44" w:rsidRDefault="00364D4D" w:rsidP="00B17B53">
            <w:pPr>
              <w:pStyle w:val="NormalWeb"/>
              <w:spacing w:before="0" w:beforeAutospacing="0" w:after="0" w:afterAutospacing="0"/>
              <w:jc w:val="center"/>
              <w:textAlignment w:val="baseline"/>
              <w:rPr>
                <w:rFonts w:eastAsia="+mn-ea"/>
                <w:b/>
                <w:bCs/>
                <w:color w:val="000000"/>
                <w:kern w:val="24"/>
                <w:sz w:val="22"/>
                <w:szCs w:val="22"/>
                <w:lang w:val="en-US"/>
              </w:rPr>
            </w:pPr>
            <w:r w:rsidRPr="00A05E54">
              <w:rPr>
                <w:rFonts w:eastAsia="+mn-ea"/>
                <w:b/>
                <w:bCs/>
                <w:color w:val="000000"/>
                <w:kern w:val="24"/>
                <w:sz w:val="22"/>
                <w:szCs w:val="22"/>
                <w:lang w:val="es-MX"/>
              </w:rPr>
              <w:t>- Por ciento -</w:t>
            </w:r>
            <w:r>
              <w:rPr>
                <w:noProof/>
                <w:sz w:val="20"/>
                <w:szCs w:val="20"/>
                <w:lang w:val="es-MX" w:eastAsia="es-MX"/>
              </w:rPr>
              <w:drawing>
                <wp:inline distT="0" distB="0" distL="0" distR="0" wp14:anchorId="3267E575" wp14:editId="56DA7C1D">
                  <wp:extent cx="5349240" cy="3131820"/>
                  <wp:effectExtent l="0" t="0" r="3810" b="11430"/>
                  <wp:docPr id="3193" name="Objeto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364D4D" w:rsidTr="00B17B53">
        <w:tc>
          <w:tcPr>
            <w:tcW w:w="8840" w:type="dxa"/>
          </w:tcPr>
          <w:p w:rsidR="00364D4D" w:rsidRDefault="00364D4D" w:rsidP="00B17B53">
            <w:pPr>
              <w:spacing w:line="360" w:lineRule="auto"/>
              <w:ind w:right="20"/>
              <w:jc w:val="center"/>
              <w:rPr>
                <w:sz w:val="26"/>
                <w:szCs w:val="26"/>
                <w:lang w:val="es-MX"/>
              </w:rPr>
            </w:pPr>
          </w:p>
        </w:tc>
      </w:tr>
      <w:tr w:rsidR="00364D4D" w:rsidTr="00B17B53">
        <w:tc>
          <w:tcPr>
            <w:tcW w:w="8840" w:type="dxa"/>
          </w:tcPr>
          <w:p w:rsidR="00364D4D" w:rsidRPr="000C4B44" w:rsidRDefault="00364D4D" w:rsidP="00B17B53">
            <w:pPr>
              <w:ind w:left="1040" w:right="85" w:hanging="886"/>
              <w:jc w:val="both"/>
              <w:rPr>
                <w:rFonts w:eastAsia="+mn-ea"/>
                <w:color w:val="000000"/>
                <w:kern w:val="24"/>
                <w:sz w:val="20"/>
                <w:szCs w:val="20"/>
              </w:rPr>
            </w:pPr>
            <w:r w:rsidRPr="001E1E6C">
              <w:rPr>
                <w:rFonts w:eastAsia="+mn-ea"/>
                <w:color w:val="000000"/>
                <w:kern w:val="24"/>
                <w:sz w:val="20"/>
                <w:szCs w:val="20"/>
              </w:rPr>
              <w:t>FUENTE: Elaborado por la Comisión Nacional de los S</w:t>
            </w:r>
            <w:r>
              <w:rPr>
                <w:rFonts w:eastAsia="+mn-ea"/>
                <w:color w:val="000000"/>
                <w:kern w:val="24"/>
                <w:sz w:val="20"/>
                <w:szCs w:val="20"/>
              </w:rPr>
              <w:t xml:space="preserve">alarios Mínimos con información </w:t>
            </w:r>
            <w:r w:rsidRPr="001E1E6C">
              <w:rPr>
                <w:rFonts w:eastAsia="+mn-ea"/>
                <w:color w:val="000000"/>
                <w:kern w:val="24"/>
                <w:sz w:val="20"/>
                <w:szCs w:val="20"/>
              </w:rPr>
              <w:t>del</w:t>
            </w:r>
            <w:r>
              <w:rPr>
                <w:rFonts w:eastAsia="+mn-ea"/>
                <w:color w:val="000000"/>
                <w:kern w:val="24"/>
                <w:sz w:val="20"/>
                <w:szCs w:val="20"/>
              </w:rPr>
              <w:t xml:space="preserve"> </w:t>
            </w:r>
            <w:r w:rsidRPr="001E1E6C">
              <w:rPr>
                <w:rFonts w:eastAsia="+mn-ea"/>
                <w:color w:val="000000"/>
                <w:kern w:val="24"/>
                <w:sz w:val="20"/>
                <w:szCs w:val="20"/>
              </w:rPr>
              <w:t>Instituto Nacional de Estadística y Geografía.</w:t>
            </w:r>
          </w:p>
        </w:tc>
      </w:tr>
    </w:tbl>
    <w:p w:rsidR="00364D4D" w:rsidRDefault="00B91F37" w:rsidP="00364D4D">
      <w:pPr>
        <w:spacing w:before="360" w:line="336" w:lineRule="auto"/>
        <w:ind w:right="23"/>
        <w:jc w:val="both"/>
        <w:rPr>
          <w:sz w:val="26"/>
          <w:szCs w:val="26"/>
        </w:rPr>
      </w:pPr>
      <w:r>
        <w:rPr>
          <w:sz w:val="26"/>
          <w:szCs w:val="26"/>
        </w:rPr>
        <w:t xml:space="preserve">Los grupos de genéricos que sobresalen en el descenso </w:t>
      </w:r>
      <w:r w:rsidR="00460569">
        <w:rPr>
          <w:sz w:val="26"/>
          <w:szCs w:val="26"/>
        </w:rPr>
        <w:t xml:space="preserve">acumulado </w:t>
      </w:r>
      <w:r>
        <w:rPr>
          <w:sz w:val="26"/>
          <w:szCs w:val="26"/>
        </w:rPr>
        <w:t>de precios en el</w:t>
      </w:r>
      <w:r w:rsidR="00364D4D">
        <w:rPr>
          <w:sz w:val="26"/>
          <w:szCs w:val="26"/>
        </w:rPr>
        <w:t xml:space="preserve"> intervalo de referencia</w:t>
      </w:r>
      <w:r w:rsidR="00364D4D" w:rsidRPr="00DE7650">
        <w:rPr>
          <w:sz w:val="26"/>
          <w:szCs w:val="26"/>
        </w:rPr>
        <w:t xml:space="preserve">, con relación al mismo período de </w:t>
      </w:r>
      <w:r w:rsidR="00A209C7">
        <w:rPr>
          <w:sz w:val="26"/>
          <w:szCs w:val="26"/>
        </w:rPr>
        <w:t>2014</w:t>
      </w:r>
      <w:r w:rsidR="00364D4D" w:rsidRPr="00DE7650">
        <w:rPr>
          <w:sz w:val="26"/>
          <w:szCs w:val="26"/>
        </w:rPr>
        <w:t>, se presentaron en</w:t>
      </w:r>
      <w:r>
        <w:rPr>
          <w:sz w:val="26"/>
          <w:szCs w:val="26"/>
        </w:rPr>
        <w:t>:</w:t>
      </w:r>
      <w:r w:rsidR="00364D4D" w:rsidRPr="00DE7650">
        <w:rPr>
          <w:sz w:val="26"/>
          <w:szCs w:val="26"/>
        </w:rPr>
        <w:t xml:space="preserve"> </w:t>
      </w:r>
      <w:r w:rsidR="005D0BD7">
        <w:rPr>
          <w:sz w:val="26"/>
          <w:szCs w:val="26"/>
        </w:rPr>
        <w:t>frutas frescas</w:t>
      </w:r>
      <w:r w:rsidR="00364D4D">
        <w:rPr>
          <w:sz w:val="26"/>
          <w:szCs w:val="26"/>
        </w:rPr>
        <w:t xml:space="preserve"> </w:t>
      </w:r>
      <w:r w:rsidR="00364D4D" w:rsidRPr="00DE7650">
        <w:rPr>
          <w:sz w:val="26"/>
          <w:szCs w:val="26"/>
        </w:rPr>
        <w:t>(</w:t>
      </w:r>
      <w:r w:rsidR="005D0BD7">
        <w:rPr>
          <w:sz w:val="26"/>
          <w:szCs w:val="26"/>
        </w:rPr>
        <w:t>13.06</w:t>
      </w:r>
      <w:r w:rsidR="00364D4D">
        <w:rPr>
          <w:sz w:val="26"/>
          <w:szCs w:val="26"/>
        </w:rPr>
        <w:t xml:space="preserve"> </w:t>
      </w:r>
      <w:r w:rsidR="00364D4D" w:rsidRPr="00DE7650">
        <w:rPr>
          <w:sz w:val="26"/>
          <w:szCs w:val="26"/>
        </w:rPr>
        <w:t xml:space="preserve">puntos porcentuales), </w:t>
      </w:r>
      <w:r w:rsidR="005D0BD7">
        <w:rPr>
          <w:sz w:val="26"/>
          <w:szCs w:val="26"/>
        </w:rPr>
        <w:t xml:space="preserve">refrescos envasados y agua embotellada </w:t>
      </w:r>
      <w:r w:rsidR="00364D4D" w:rsidRPr="00DE7650">
        <w:rPr>
          <w:sz w:val="26"/>
          <w:szCs w:val="26"/>
        </w:rPr>
        <w:t>(</w:t>
      </w:r>
      <w:r w:rsidR="005D0BD7">
        <w:rPr>
          <w:sz w:val="26"/>
          <w:szCs w:val="26"/>
        </w:rPr>
        <w:t>9.61</w:t>
      </w:r>
      <w:r w:rsidR="00364D4D" w:rsidRPr="00DE7650">
        <w:rPr>
          <w:sz w:val="26"/>
          <w:szCs w:val="26"/>
        </w:rPr>
        <w:t xml:space="preserve">), </w:t>
      </w:r>
      <w:r w:rsidR="005D0BD7">
        <w:rPr>
          <w:sz w:val="26"/>
          <w:szCs w:val="26"/>
        </w:rPr>
        <w:t>azúcar</w:t>
      </w:r>
      <w:r w:rsidR="00364D4D" w:rsidRPr="00DE7650">
        <w:rPr>
          <w:sz w:val="26"/>
          <w:szCs w:val="26"/>
        </w:rPr>
        <w:t xml:space="preserve"> (</w:t>
      </w:r>
      <w:r w:rsidR="005D0BD7">
        <w:rPr>
          <w:sz w:val="26"/>
          <w:szCs w:val="26"/>
        </w:rPr>
        <w:t>7.27</w:t>
      </w:r>
      <w:r w:rsidR="00364D4D" w:rsidRPr="00DE7650">
        <w:rPr>
          <w:sz w:val="26"/>
          <w:szCs w:val="26"/>
        </w:rPr>
        <w:t xml:space="preserve">) y </w:t>
      </w:r>
      <w:r w:rsidR="005D0BD7">
        <w:rPr>
          <w:sz w:val="26"/>
          <w:szCs w:val="26"/>
        </w:rPr>
        <w:t>servicio telefónico</w:t>
      </w:r>
      <w:r w:rsidR="00364D4D">
        <w:rPr>
          <w:sz w:val="26"/>
          <w:szCs w:val="26"/>
        </w:rPr>
        <w:t xml:space="preserve"> </w:t>
      </w:r>
      <w:r w:rsidR="00364D4D" w:rsidRPr="00DE7650">
        <w:rPr>
          <w:sz w:val="26"/>
          <w:szCs w:val="26"/>
        </w:rPr>
        <w:t>(</w:t>
      </w:r>
      <w:r w:rsidR="005D0BD7">
        <w:rPr>
          <w:sz w:val="26"/>
          <w:szCs w:val="26"/>
        </w:rPr>
        <w:t>7.08</w:t>
      </w:r>
      <w:r w:rsidR="00364D4D" w:rsidRPr="00DE7650">
        <w:rPr>
          <w:sz w:val="26"/>
          <w:szCs w:val="26"/>
        </w:rPr>
        <w:t xml:space="preserve">). </w:t>
      </w:r>
      <w:r w:rsidR="00364D4D" w:rsidRPr="000E5400">
        <w:rPr>
          <w:sz w:val="26"/>
          <w:szCs w:val="26"/>
        </w:rPr>
        <w:t>Por el contrario,</w:t>
      </w:r>
      <w:r w:rsidR="00364D4D" w:rsidRPr="00DE7650">
        <w:rPr>
          <w:sz w:val="26"/>
          <w:szCs w:val="26"/>
        </w:rPr>
        <w:t xml:space="preserve"> los grupos que observaron las mayores alzas en el ritmo de la variación acumulada de sus precios fueron</w:t>
      </w:r>
      <w:r w:rsidR="00364D4D">
        <w:rPr>
          <w:sz w:val="26"/>
          <w:szCs w:val="26"/>
        </w:rPr>
        <w:t>:</w:t>
      </w:r>
      <w:r w:rsidR="00364D4D" w:rsidRPr="00DE7650">
        <w:rPr>
          <w:sz w:val="26"/>
          <w:szCs w:val="26"/>
        </w:rPr>
        <w:t xml:space="preserve"> </w:t>
      </w:r>
      <w:r w:rsidR="005D0BD7">
        <w:rPr>
          <w:sz w:val="26"/>
          <w:szCs w:val="26"/>
        </w:rPr>
        <w:t>legumbres secas</w:t>
      </w:r>
      <w:r w:rsidR="00364D4D" w:rsidRPr="00DE7650">
        <w:rPr>
          <w:sz w:val="26"/>
          <w:szCs w:val="26"/>
        </w:rPr>
        <w:t xml:space="preserve"> (</w:t>
      </w:r>
      <w:r w:rsidR="005D0BD7">
        <w:rPr>
          <w:sz w:val="26"/>
          <w:szCs w:val="26"/>
        </w:rPr>
        <w:t>11.0</w:t>
      </w:r>
      <w:r w:rsidR="00364D4D">
        <w:rPr>
          <w:sz w:val="26"/>
          <w:szCs w:val="26"/>
        </w:rPr>
        <w:t xml:space="preserve"> </w:t>
      </w:r>
      <w:r w:rsidR="00364D4D" w:rsidRPr="00DE7650">
        <w:rPr>
          <w:sz w:val="26"/>
          <w:szCs w:val="26"/>
        </w:rPr>
        <w:t xml:space="preserve">puntos porcentuales), </w:t>
      </w:r>
      <w:r w:rsidR="005D0BD7">
        <w:rPr>
          <w:sz w:val="26"/>
          <w:szCs w:val="26"/>
        </w:rPr>
        <w:t>huevo</w:t>
      </w:r>
      <w:r w:rsidR="00364D4D" w:rsidRPr="00DE7650">
        <w:rPr>
          <w:sz w:val="26"/>
          <w:szCs w:val="26"/>
        </w:rPr>
        <w:t xml:space="preserve"> (</w:t>
      </w:r>
      <w:r w:rsidR="005D0BD7">
        <w:rPr>
          <w:sz w:val="26"/>
          <w:szCs w:val="26"/>
        </w:rPr>
        <w:t xml:space="preserve">6.67), muebles de cocina (4.90) </w:t>
      </w:r>
      <w:r w:rsidR="00460569">
        <w:rPr>
          <w:sz w:val="26"/>
          <w:szCs w:val="26"/>
        </w:rPr>
        <w:t>y</w:t>
      </w:r>
      <w:r w:rsidR="005D0BD7">
        <w:rPr>
          <w:sz w:val="26"/>
          <w:szCs w:val="26"/>
        </w:rPr>
        <w:t xml:space="preserve"> aceites y grasas vegetales comestibles</w:t>
      </w:r>
      <w:r w:rsidR="00364D4D" w:rsidRPr="00DE7650">
        <w:rPr>
          <w:sz w:val="26"/>
          <w:szCs w:val="26"/>
        </w:rPr>
        <w:t xml:space="preserve"> (</w:t>
      </w:r>
      <w:r w:rsidR="005D0BD7">
        <w:rPr>
          <w:sz w:val="26"/>
          <w:szCs w:val="26"/>
        </w:rPr>
        <w:t>2.71</w:t>
      </w:r>
      <w:r w:rsidR="00364D4D" w:rsidRPr="00DE7650">
        <w:rPr>
          <w:sz w:val="26"/>
          <w:szCs w:val="26"/>
        </w:rPr>
        <w:t>).</w:t>
      </w:r>
    </w:p>
    <w:p w:rsidR="00364D4D" w:rsidRPr="00E313B7" w:rsidRDefault="00364D4D" w:rsidP="00364D4D">
      <w:pPr>
        <w:pStyle w:val="Ttulo1"/>
        <w:spacing w:after="360"/>
        <w:jc w:val="left"/>
        <w:rPr>
          <w:color w:val="0000FF"/>
          <w:sz w:val="26"/>
          <w:szCs w:val="26"/>
        </w:rPr>
      </w:pPr>
      <w:r w:rsidRPr="00E313B7">
        <w:rPr>
          <w:color w:val="0000FF"/>
          <w:sz w:val="26"/>
          <w:szCs w:val="26"/>
        </w:rPr>
        <w:lastRenderedPageBreak/>
        <w:t>Inflación interanual</w:t>
      </w:r>
    </w:p>
    <w:p w:rsidR="00364D4D" w:rsidRPr="001521BE" w:rsidRDefault="00364D4D" w:rsidP="00364D4D">
      <w:pPr>
        <w:spacing w:line="360" w:lineRule="auto"/>
        <w:ind w:right="20"/>
        <w:jc w:val="both"/>
        <w:rPr>
          <w:sz w:val="26"/>
          <w:szCs w:val="26"/>
        </w:rPr>
      </w:pPr>
      <w:r>
        <w:rPr>
          <w:sz w:val="26"/>
          <w:szCs w:val="26"/>
        </w:rPr>
        <w:t>En el transcurso</w:t>
      </w:r>
      <w:r w:rsidRPr="001624E0">
        <w:rPr>
          <w:sz w:val="26"/>
          <w:szCs w:val="26"/>
        </w:rPr>
        <w:t xml:space="preserve"> de </w:t>
      </w:r>
      <w:r w:rsidR="001244B5">
        <w:rPr>
          <w:sz w:val="26"/>
          <w:szCs w:val="26"/>
        </w:rPr>
        <w:t>febrero</w:t>
      </w:r>
      <w:r w:rsidRPr="001624E0">
        <w:rPr>
          <w:sz w:val="26"/>
          <w:szCs w:val="26"/>
        </w:rPr>
        <w:t xml:space="preserve"> de </w:t>
      </w:r>
      <w:r w:rsidR="00A209C7">
        <w:rPr>
          <w:sz w:val="26"/>
          <w:szCs w:val="26"/>
        </w:rPr>
        <w:t>2014</w:t>
      </w:r>
      <w:r w:rsidRPr="001624E0">
        <w:rPr>
          <w:sz w:val="26"/>
          <w:szCs w:val="26"/>
        </w:rPr>
        <w:t xml:space="preserve"> a </w:t>
      </w:r>
      <w:r w:rsidR="001244B5">
        <w:rPr>
          <w:sz w:val="26"/>
          <w:szCs w:val="26"/>
        </w:rPr>
        <w:t>febrero</w:t>
      </w:r>
      <w:r w:rsidRPr="001624E0">
        <w:rPr>
          <w:sz w:val="26"/>
          <w:szCs w:val="26"/>
        </w:rPr>
        <w:t xml:space="preserve"> de </w:t>
      </w:r>
      <w:r w:rsidR="00A209C7">
        <w:rPr>
          <w:sz w:val="26"/>
          <w:szCs w:val="26"/>
        </w:rPr>
        <w:t>2015</w:t>
      </w:r>
      <w:r w:rsidRPr="001624E0">
        <w:rPr>
          <w:sz w:val="26"/>
          <w:szCs w:val="26"/>
        </w:rPr>
        <w:t xml:space="preserve">, la variación del INPC fue de </w:t>
      </w:r>
      <w:r w:rsidR="00E03DEE">
        <w:rPr>
          <w:sz w:val="26"/>
          <w:szCs w:val="26"/>
        </w:rPr>
        <w:t>3.0</w:t>
      </w:r>
      <w:r w:rsidRPr="001624E0">
        <w:rPr>
          <w:sz w:val="26"/>
          <w:szCs w:val="26"/>
        </w:rPr>
        <w:t xml:space="preserve">%, nivel </w:t>
      </w:r>
      <w:r>
        <w:rPr>
          <w:sz w:val="26"/>
          <w:szCs w:val="26"/>
        </w:rPr>
        <w:t>menor</w:t>
      </w:r>
      <w:r w:rsidRPr="001624E0">
        <w:rPr>
          <w:sz w:val="26"/>
          <w:szCs w:val="26"/>
        </w:rPr>
        <w:t xml:space="preserve"> en </w:t>
      </w:r>
      <w:r w:rsidR="00E03DEE">
        <w:rPr>
          <w:sz w:val="26"/>
          <w:szCs w:val="26"/>
        </w:rPr>
        <w:t>0.07</w:t>
      </w:r>
      <w:r>
        <w:rPr>
          <w:sz w:val="26"/>
          <w:szCs w:val="26"/>
        </w:rPr>
        <w:t xml:space="preserve"> </w:t>
      </w:r>
      <w:r w:rsidRPr="001624E0">
        <w:rPr>
          <w:sz w:val="26"/>
          <w:szCs w:val="26"/>
        </w:rPr>
        <w:t xml:space="preserve">puntos porcentuales </w:t>
      </w:r>
      <w:r>
        <w:rPr>
          <w:sz w:val="26"/>
          <w:szCs w:val="26"/>
        </w:rPr>
        <w:t>si se le confronta con el observado el mes anterior</w:t>
      </w:r>
      <w:r w:rsidRPr="00883B25">
        <w:rPr>
          <w:sz w:val="26"/>
          <w:szCs w:val="26"/>
        </w:rPr>
        <w:t xml:space="preserve"> </w:t>
      </w:r>
      <w:r>
        <w:rPr>
          <w:sz w:val="26"/>
          <w:szCs w:val="26"/>
        </w:rPr>
        <w:t>(</w:t>
      </w:r>
      <w:r w:rsidR="00E03DEE">
        <w:rPr>
          <w:sz w:val="26"/>
          <w:szCs w:val="26"/>
        </w:rPr>
        <w:t>3.07</w:t>
      </w:r>
      <w:r>
        <w:rPr>
          <w:sz w:val="26"/>
          <w:szCs w:val="26"/>
        </w:rPr>
        <w:t>%)</w:t>
      </w:r>
      <w:r w:rsidRPr="002544EA">
        <w:rPr>
          <w:sz w:val="26"/>
          <w:szCs w:val="26"/>
        </w:rPr>
        <w:t xml:space="preserve"> </w:t>
      </w:r>
      <w:r>
        <w:rPr>
          <w:sz w:val="26"/>
          <w:szCs w:val="26"/>
        </w:rPr>
        <w:t>para un lapso similar, como se aprecia en la gráfica siguiente.</w:t>
      </w:r>
    </w:p>
    <w:p w:rsidR="00364D4D" w:rsidRDefault="00364D4D" w:rsidP="00364D4D">
      <w:pPr>
        <w:spacing w:line="360" w:lineRule="auto"/>
        <w:ind w:right="23"/>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3B3384" w:rsidRDefault="00364D4D" w:rsidP="00B17B53">
            <w:pPr>
              <w:pStyle w:val="NormalWeb"/>
              <w:spacing w:before="0" w:beforeAutospacing="0" w:after="0" w:afterAutospacing="0"/>
              <w:jc w:val="center"/>
              <w:rPr>
                <w:sz w:val="22"/>
                <w:szCs w:val="22"/>
              </w:rPr>
            </w:pPr>
            <w:r w:rsidRPr="003B3384">
              <w:rPr>
                <w:b/>
                <w:bCs/>
                <w:color w:val="000000"/>
                <w:kern w:val="24"/>
                <w:sz w:val="22"/>
                <w:szCs w:val="22"/>
                <w:lang w:val="es-ES_tradnl"/>
              </w:rPr>
              <w:t>ÍNDICE NACIONAL DE PRECIOS AL CONSUMIDOR</w:t>
            </w:r>
          </w:p>
          <w:p w:rsidR="00364D4D" w:rsidRPr="00250404" w:rsidRDefault="00364D4D" w:rsidP="00B17B53">
            <w:pPr>
              <w:pStyle w:val="NormalWeb"/>
              <w:spacing w:before="0" w:beforeAutospacing="0" w:after="0" w:afterAutospacing="0"/>
              <w:jc w:val="center"/>
              <w:rPr>
                <w:b/>
                <w:sz w:val="22"/>
                <w:szCs w:val="22"/>
              </w:rPr>
            </w:pPr>
            <w:r w:rsidRPr="00250404">
              <w:rPr>
                <w:b/>
                <w:bCs/>
                <w:color w:val="000000"/>
                <w:kern w:val="24"/>
                <w:sz w:val="22"/>
                <w:szCs w:val="22"/>
                <w:lang w:val="es-ES_tradnl"/>
              </w:rPr>
              <w:t xml:space="preserve">- Variación con respecto al mismo mes del año anterior </w:t>
            </w:r>
            <w:r w:rsidRPr="00250404">
              <w:rPr>
                <w:b/>
                <w:bCs/>
                <w:color w:val="000000"/>
                <w:kern w:val="24"/>
                <w:sz w:val="22"/>
                <w:szCs w:val="22"/>
              </w:rPr>
              <w:t>-</w:t>
            </w:r>
          </w:p>
          <w:p w:rsidR="00364D4D" w:rsidRDefault="001244B5" w:rsidP="00B17B53">
            <w:pPr>
              <w:pStyle w:val="NormalWeb"/>
              <w:spacing w:before="0" w:beforeAutospacing="0" w:after="0" w:afterAutospacing="0"/>
              <w:jc w:val="center"/>
              <w:textAlignment w:val="baseline"/>
              <w:rPr>
                <w:b/>
                <w:bCs/>
                <w:color w:val="000000"/>
                <w:kern w:val="24"/>
                <w:sz w:val="22"/>
                <w:szCs w:val="22"/>
                <w:lang w:val="en-US"/>
              </w:rPr>
            </w:pPr>
            <w:r>
              <w:rPr>
                <w:rFonts w:eastAsia="+mn-ea"/>
                <w:b/>
                <w:bCs/>
                <w:color w:val="000000"/>
                <w:kern w:val="24"/>
                <w:sz w:val="22"/>
                <w:szCs w:val="22"/>
                <w:lang w:val="es-MX"/>
              </w:rPr>
              <w:t>Febrero</w:t>
            </w:r>
            <w:r w:rsidR="00364D4D">
              <w:rPr>
                <w:rFonts w:eastAsia="+mn-ea"/>
                <w:b/>
                <w:bCs/>
                <w:color w:val="000000"/>
                <w:kern w:val="24"/>
                <w:sz w:val="22"/>
                <w:szCs w:val="22"/>
                <w:lang w:val="es-MX"/>
              </w:rPr>
              <w:t xml:space="preserve"> </w:t>
            </w:r>
            <w:r w:rsidR="00364D4D">
              <w:rPr>
                <w:b/>
                <w:bCs/>
                <w:color w:val="000000"/>
                <w:kern w:val="24"/>
                <w:sz w:val="22"/>
                <w:szCs w:val="22"/>
                <w:lang w:val="en-US"/>
              </w:rPr>
              <w:t>201</w:t>
            </w:r>
            <w:r w:rsidR="00E03DEE">
              <w:rPr>
                <w:b/>
                <w:bCs/>
                <w:color w:val="000000"/>
                <w:kern w:val="24"/>
                <w:sz w:val="22"/>
                <w:szCs w:val="22"/>
                <w:lang w:val="en-US"/>
              </w:rPr>
              <w:t>3</w:t>
            </w:r>
            <w:r w:rsidR="00364D4D" w:rsidRPr="00250404">
              <w:rPr>
                <w:b/>
                <w:bCs/>
                <w:color w:val="000000"/>
                <w:kern w:val="24"/>
                <w:sz w:val="22"/>
                <w:szCs w:val="22"/>
                <w:lang w:val="en-US"/>
              </w:rPr>
              <w:t xml:space="preserve"> </w:t>
            </w:r>
            <w:r w:rsidR="00364D4D">
              <w:rPr>
                <w:b/>
                <w:bCs/>
                <w:color w:val="000000"/>
                <w:kern w:val="24"/>
                <w:sz w:val="22"/>
                <w:szCs w:val="22"/>
                <w:lang w:val="en-US"/>
              </w:rPr>
              <w:t>–</w:t>
            </w:r>
            <w:r w:rsidR="00364D4D" w:rsidRPr="00250404">
              <w:rPr>
                <w:b/>
                <w:bCs/>
                <w:color w:val="000000"/>
                <w:kern w:val="24"/>
                <w:sz w:val="22"/>
                <w:szCs w:val="22"/>
                <w:lang w:val="en-US"/>
              </w:rPr>
              <w:t xml:space="preserve"> </w:t>
            </w:r>
            <w:r>
              <w:rPr>
                <w:rFonts w:eastAsia="+mn-ea"/>
                <w:b/>
                <w:bCs/>
                <w:color w:val="000000"/>
                <w:kern w:val="24"/>
                <w:sz w:val="22"/>
                <w:szCs w:val="22"/>
                <w:lang w:val="es-MX"/>
              </w:rPr>
              <w:t>febrero</w:t>
            </w:r>
            <w:r w:rsidR="00364D4D">
              <w:rPr>
                <w:rFonts w:eastAsia="+mn-ea"/>
                <w:b/>
                <w:bCs/>
                <w:color w:val="000000"/>
                <w:kern w:val="24"/>
                <w:sz w:val="22"/>
                <w:szCs w:val="22"/>
                <w:lang w:val="es-MX"/>
              </w:rPr>
              <w:t xml:space="preserve"> </w:t>
            </w:r>
            <w:r w:rsidR="00A209C7">
              <w:rPr>
                <w:b/>
                <w:bCs/>
                <w:color w:val="000000"/>
                <w:kern w:val="24"/>
                <w:sz w:val="22"/>
                <w:szCs w:val="22"/>
                <w:lang w:val="en-US"/>
              </w:rPr>
              <w:t>2015</w:t>
            </w:r>
          </w:p>
          <w:p w:rsidR="00364D4D" w:rsidRPr="00916598" w:rsidRDefault="00364D4D" w:rsidP="00B17B53">
            <w:pPr>
              <w:pStyle w:val="NormalWeb"/>
              <w:spacing w:before="0" w:beforeAutospacing="0" w:after="0" w:afterAutospacing="0"/>
              <w:jc w:val="center"/>
              <w:textAlignment w:val="baseline"/>
              <w:rPr>
                <w:b/>
                <w:sz w:val="22"/>
                <w:szCs w:val="22"/>
              </w:rPr>
            </w:pPr>
            <w:r w:rsidRPr="00A05E54">
              <w:rPr>
                <w:rFonts w:eastAsia="+mn-ea"/>
                <w:b/>
                <w:bCs/>
                <w:color w:val="000000"/>
                <w:kern w:val="24"/>
                <w:sz w:val="22"/>
                <w:szCs w:val="22"/>
                <w:lang w:val="es-MX"/>
              </w:rPr>
              <w:t>- Por ciento -</w:t>
            </w:r>
          </w:p>
        </w:tc>
      </w:tr>
      <w:tr w:rsidR="00364D4D" w:rsidTr="00B17B53">
        <w:tc>
          <w:tcPr>
            <w:tcW w:w="8980" w:type="dxa"/>
          </w:tcPr>
          <w:p w:rsidR="00364D4D" w:rsidRPr="00547799" w:rsidRDefault="00364D4D" w:rsidP="00B17B53">
            <w:pPr>
              <w:spacing w:line="360" w:lineRule="auto"/>
              <w:ind w:right="23"/>
              <w:jc w:val="center"/>
              <w:rPr>
                <w:color w:val="FF0000"/>
                <w:sz w:val="26"/>
                <w:szCs w:val="26"/>
              </w:rPr>
            </w:pPr>
            <w:r w:rsidRPr="00547799">
              <w:rPr>
                <w:noProof/>
                <w:color w:val="FF0000"/>
                <w:sz w:val="26"/>
                <w:szCs w:val="26"/>
                <w:lang w:val="es-MX" w:eastAsia="es-MX"/>
              </w:rPr>
              <w:drawing>
                <wp:inline distT="0" distB="0" distL="0" distR="0" wp14:anchorId="16D850BC" wp14:editId="039DFADE">
                  <wp:extent cx="5213267" cy="3645725"/>
                  <wp:effectExtent l="57150" t="38100" r="64135" b="88265"/>
                  <wp:docPr id="57" name="Objeto 30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364D4D" w:rsidTr="00B17B53">
        <w:tc>
          <w:tcPr>
            <w:tcW w:w="8980" w:type="dxa"/>
          </w:tcPr>
          <w:p w:rsidR="00364D4D" w:rsidRPr="00916598" w:rsidRDefault="00364D4D" w:rsidP="00B17B53">
            <w:pPr>
              <w:pStyle w:val="NormalWeb"/>
              <w:spacing w:before="0" w:beforeAutospacing="0" w:after="0" w:afterAutospacing="0"/>
              <w:ind w:left="1278" w:right="400" w:hanging="914"/>
              <w:jc w:val="both"/>
              <w:rPr>
                <w:sz w:val="20"/>
                <w:szCs w:val="20"/>
              </w:rPr>
            </w:pPr>
            <w:r w:rsidRPr="00B415D2">
              <w:rPr>
                <w:color w:val="000000"/>
                <w:kern w:val="24"/>
                <w:sz w:val="20"/>
                <w:szCs w:val="20"/>
              </w:rPr>
              <w:t>FUENTE: Elaborado por la Comisión Nacional de los Salar</w:t>
            </w:r>
            <w:r>
              <w:rPr>
                <w:color w:val="000000"/>
                <w:kern w:val="24"/>
                <w:sz w:val="20"/>
                <w:szCs w:val="20"/>
              </w:rPr>
              <w:t xml:space="preserve">ios Mínimos con información del </w:t>
            </w:r>
            <w:r w:rsidRPr="00B415D2">
              <w:rPr>
                <w:color w:val="000000"/>
                <w:kern w:val="24"/>
                <w:sz w:val="20"/>
                <w:szCs w:val="20"/>
              </w:rPr>
              <w:t>Instituto Nacional</w:t>
            </w:r>
            <w:r>
              <w:rPr>
                <w:sz w:val="20"/>
                <w:szCs w:val="20"/>
              </w:rPr>
              <w:t xml:space="preserve"> </w:t>
            </w:r>
            <w:r w:rsidRPr="00B415D2">
              <w:rPr>
                <w:color w:val="000000"/>
                <w:kern w:val="24"/>
                <w:sz w:val="20"/>
                <w:szCs w:val="20"/>
              </w:rPr>
              <w:t>de Estadística y Geografía.</w:t>
            </w:r>
          </w:p>
        </w:tc>
      </w:tr>
    </w:tbl>
    <w:p w:rsidR="00364D4D" w:rsidRDefault="00364D4D" w:rsidP="00364D4D">
      <w:pPr>
        <w:spacing w:line="360" w:lineRule="auto"/>
        <w:ind w:right="23"/>
        <w:jc w:val="both"/>
        <w:rPr>
          <w:sz w:val="26"/>
          <w:szCs w:val="26"/>
        </w:rPr>
      </w:pPr>
    </w:p>
    <w:p w:rsidR="00364D4D" w:rsidRDefault="00364D4D" w:rsidP="00364D4D">
      <w:pPr>
        <w:spacing w:line="360" w:lineRule="auto"/>
        <w:ind w:right="20"/>
        <w:jc w:val="both"/>
        <w:rPr>
          <w:sz w:val="26"/>
          <w:szCs w:val="26"/>
        </w:rPr>
      </w:pPr>
    </w:p>
    <w:p w:rsidR="00364D4D" w:rsidRDefault="00364D4D" w:rsidP="00364D4D">
      <w:pPr>
        <w:spacing w:before="240" w:line="360" w:lineRule="auto"/>
        <w:ind w:right="23"/>
        <w:jc w:val="both"/>
        <w:rPr>
          <w:sz w:val="26"/>
          <w:szCs w:val="26"/>
        </w:rPr>
      </w:pPr>
      <w:r>
        <w:rPr>
          <w:sz w:val="26"/>
          <w:szCs w:val="26"/>
        </w:rPr>
        <w:br w:type="page"/>
      </w:r>
      <w:r w:rsidRPr="00EA7664">
        <w:rPr>
          <w:sz w:val="26"/>
          <w:szCs w:val="26"/>
        </w:rPr>
        <w:lastRenderedPageBreak/>
        <w:t xml:space="preserve">Entre </w:t>
      </w:r>
      <w:r w:rsidR="001244B5">
        <w:rPr>
          <w:sz w:val="26"/>
          <w:szCs w:val="26"/>
        </w:rPr>
        <w:t>febrero</w:t>
      </w:r>
      <w:r>
        <w:rPr>
          <w:sz w:val="26"/>
          <w:szCs w:val="26"/>
        </w:rPr>
        <w:t xml:space="preserve"> de </w:t>
      </w:r>
      <w:r w:rsidR="00A209C7">
        <w:rPr>
          <w:sz w:val="26"/>
          <w:szCs w:val="26"/>
        </w:rPr>
        <w:t>2014</w:t>
      </w:r>
      <w:r w:rsidRPr="00EA7664">
        <w:rPr>
          <w:sz w:val="26"/>
          <w:szCs w:val="26"/>
        </w:rPr>
        <w:t xml:space="preserve"> y </w:t>
      </w:r>
      <w:r w:rsidR="001244B5">
        <w:rPr>
          <w:sz w:val="26"/>
          <w:szCs w:val="26"/>
        </w:rPr>
        <w:t>febrero</w:t>
      </w:r>
      <w:r w:rsidRPr="00EA7664">
        <w:rPr>
          <w:sz w:val="26"/>
          <w:szCs w:val="26"/>
        </w:rPr>
        <w:t xml:space="preserve"> de </w:t>
      </w:r>
      <w:r w:rsidR="00A209C7">
        <w:rPr>
          <w:sz w:val="26"/>
          <w:szCs w:val="26"/>
        </w:rPr>
        <w:t>2015</w:t>
      </w:r>
      <w:r w:rsidRPr="00EA7664">
        <w:rPr>
          <w:sz w:val="26"/>
          <w:szCs w:val="26"/>
        </w:rPr>
        <w:t xml:space="preserve">, como se mencionó, el INPC registró una variación de </w:t>
      </w:r>
      <w:r w:rsidR="0027090A">
        <w:rPr>
          <w:sz w:val="26"/>
          <w:szCs w:val="26"/>
        </w:rPr>
        <w:t>3.0</w:t>
      </w:r>
      <w:r w:rsidRPr="00EA7664">
        <w:rPr>
          <w:sz w:val="26"/>
          <w:szCs w:val="26"/>
        </w:rPr>
        <w:t xml:space="preserve">%, con lo que resulta </w:t>
      </w:r>
      <w:r>
        <w:rPr>
          <w:sz w:val="26"/>
          <w:szCs w:val="26"/>
        </w:rPr>
        <w:t>menor</w:t>
      </w:r>
      <w:r w:rsidRPr="00EA7664">
        <w:rPr>
          <w:sz w:val="26"/>
          <w:szCs w:val="26"/>
        </w:rPr>
        <w:t xml:space="preserve"> en</w:t>
      </w:r>
      <w:r>
        <w:rPr>
          <w:sz w:val="26"/>
          <w:szCs w:val="26"/>
        </w:rPr>
        <w:t xml:space="preserve"> </w:t>
      </w:r>
      <w:r w:rsidR="0027090A">
        <w:rPr>
          <w:sz w:val="26"/>
          <w:szCs w:val="26"/>
        </w:rPr>
        <w:t>1.23</w:t>
      </w:r>
      <w:r w:rsidRPr="00EA7664">
        <w:rPr>
          <w:sz w:val="26"/>
          <w:szCs w:val="26"/>
        </w:rPr>
        <w:t xml:space="preserve"> puntos porcentuales </w:t>
      </w:r>
      <w:r>
        <w:rPr>
          <w:sz w:val="26"/>
          <w:szCs w:val="26"/>
        </w:rPr>
        <w:t xml:space="preserve">si se le compara con la ocurrida un año antes </w:t>
      </w:r>
      <w:r w:rsidRPr="00EA7664">
        <w:rPr>
          <w:sz w:val="26"/>
          <w:szCs w:val="26"/>
        </w:rPr>
        <w:t>(</w:t>
      </w:r>
      <w:r w:rsidR="0027090A">
        <w:rPr>
          <w:sz w:val="26"/>
          <w:szCs w:val="26"/>
        </w:rPr>
        <w:t>4.23</w:t>
      </w:r>
      <w:r w:rsidRPr="00EA7664">
        <w:rPr>
          <w:sz w:val="26"/>
          <w:szCs w:val="26"/>
        </w:rPr>
        <w:t>%).</w:t>
      </w:r>
      <w:r>
        <w:rPr>
          <w:sz w:val="26"/>
          <w:szCs w:val="26"/>
        </w:rPr>
        <w:t xml:space="preserve"> Los decrementos </w:t>
      </w:r>
      <w:r w:rsidRPr="007130B3">
        <w:rPr>
          <w:sz w:val="26"/>
          <w:szCs w:val="26"/>
        </w:rPr>
        <w:t xml:space="preserve">más </w:t>
      </w:r>
      <w:r>
        <w:rPr>
          <w:sz w:val="26"/>
          <w:szCs w:val="26"/>
        </w:rPr>
        <w:t>notables</w:t>
      </w:r>
      <w:r w:rsidRPr="00EA7664">
        <w:rPr>
          <w:sz w:val="26"/>
          <w:szCs w:val="26"/>
        </w:rPr>
        <w:t xml:space="preserve"> se presentaron en los siguientes productos</w:t>
      </w:r>
      <w:r>
        <w:rPr>
          <w:sz w:val="26"/>
          <w:szCs w:val="26"/>
        </w:rPr>
        <w:t xml:space="preserve"> genéricos</w:t>
      </w:r>
      <w:r w:rsidRPr="00EA7664">
        <w:rPr>
          <w:sz w:val="26"/>
          <w:szCs w:val="26"/>
        </w:rPr>
        <w:t xml:space="preserve">: </w:t>
      </w:r>
      <w:r w:rsidR="0027090A">
        <w:rPr>
          <w:sz w:val="26"/>
          <w:szCs w:val="26"/>
        </w:rPr>
        <w:t>larga distancia nacional</w:t>
      </w:r>
      <w:r>
        <w:rPr>
          <w:sz w:val="26"/>
          <w:szCs w:val="26"/>
        </w:rPr>
        <w:t xml:space="preserve"> </w:t>
      </w:r>
      <w:r w:rsidR="0027090A">
        <w:rPr>
          <w:sz w:val="26"/>
          <w:szCs w:val="26"/>
        </w:rPr>
        <w:t>(100.0</w:t>
      </w:r>
      <w:r w:rsidRPr="00EA7664">
        <w:rPr>
          <w:sz w:val="26"/>
          <w:szCs w:val="26"/>
        </w:rPr>
        <w:t>%</w:t>
      </w:r>
      <w:r w:rsidR="0027090A">
        <w:rPr>
          <w:sz w:val="26"/>
          <w:szCs w:val="26"/>
        </w:rPr>
        <w:t>)</w:t>
      </w:r>
      <w:r>
        <w:rPr>
          <w:sz w:val="26"/>
          <w:szCs w:val="26"/>
        </w:rPr>
        <w:t>;</w:t>
      </w:r>
      <w:r w:rsidRPr="00EA7664">
        <w:rPr>
          <w:sz w:val="26"/>
          <w:szCs w:val="26"/>
        </w:rPr>
        <w:t xml:space="preserve"> </w:t>
      </w:r>
      <w:r w:rsidR="0027090A">
        <w:rPr>
          <w:sz w:val="26"/>
          <w:szCs w:val="26"/>
        </w:rPr>
        <w:t>limón</w:t>
      </w:r>
      <w:r>
        <w:rPr>
          <w:sz w:val="26"/>
          <w:szCs w:val="26"/>
        </w:rPr>
        <w:t xml:space="preserve"> </w:t>
      </w:r>
      <w:r w:rsidR="0027090A">
        <w:rPr>
          <w:sz w:val="26"/>
          <w:szCs w:val="26"/>
        </w:rPr>
        <w:t>(57.40</w:t>
      </w:r>
      <w:r w:rsidRPr="00EA7664">
        <w:rPr>
          <w:sz w:val="26"/>
          <w:szCs w:val="26"/>
        </w:rPr>
        <w:t>%</w:t>
      </w:r>
      <w:r w:rsidR="0027090A">
        <w:rPr>
          <w:sz w:val="26"/>
          <w:szCs w:val="26"/>
        </w:rPr>
        <w:t>)</w:t>
      </w:r>
      <w:r>
        <w:rPr>
          <w:sz w:val="26"/>
          <w:szCs w:val="26"/>
        </w:rPr>
        <w:t>;</w:t>
      </w:r>
      <w:r w:rsidRPr="00EA7664">
        <w:rPr>
          <w:sz w:val="26"/>
          <w:szCs w:val="26"/>
        </w:rPr>
        <w:t xml:space="preserve"> </w:t>
      </w:r>
      <w:r w:rsidR="0027090A">
        <w:rPr>
          <w:sz w:val="26"/>
          <w:szCs w:val="26"/>
        </w:rPr>
        <w:t>cebolla</w:t>
      </w:r>
      <w:r w:rsidRPr="00EA7664">
        <w:rPr>
          <w:sz w:val="26"/>
          <w:szCs w:val="26"/>
        </w:rPr>
        <w:t xml:space="preserve"> </w:t>
      </w:r>
      <w:r w:rsidR="0027090A">
        <w:rPr>
          <w:sz w:val="26"/>
          <w:szCs w:val="26"/>
        </w:rPr>
        <w:t>(42.74</w:t>
      </w:r>
      <w:r w:rsidRPr="00EA7664">
        <w:rPr>
          <w:sz w:val="26"/>
          <w:szCs w:val="26"/>
        </w:rPr>
        <w:t>%</w:t>
      </w:r>
      <w:r w:rsidR="0027090A">
        <w:rPr>
          <w:sz w:val="26"/>
          <w:szCs w:val="26"/>
        </w:rPr>
        <w:t>)</w:t>
      </w:r>
      <w:r>
        <w:rPr>
          <w:sz w:val="26"/>
          <w:szCs w:val="26"/>
        </w:rPr>
        <w:t>;</w:t>
      </w:r>
      <w:r w:rsidRPr="00EA7664">
        <w:rPr>
          <w:sz w:val="26"/>
          <w:szCs w:val="26"/>
        </w:rPr>
        <w:t xml:space="preserve"> </w:t>
      </w:r>
      <w:r w:rsidR="0027090A">
        <w:rPr>
          <w:sz w:val="26"/>
          <w:szCs w:val="26"/>
        </w:rPr>
        <w:t>larga distancia internacional</w:t>
      </w:r>
      <w:r>
        <w:rPr>
          <w:sz w:val="26"/>
          <w:szCs w:val="26"/>
        </w:rPr>
        <w:t xml:space="preserve"> </w:t>
      </w:r>
      <w:r w:rsidR="0027090A">
        <w:rPr>
          <w:sz w:val="26"/>
          <w:szCs w:val="26"/>
        </w:rPr>
        <w:t>40.69</w:t>
      </w:r>
      <w:r w:rsidRPr="00EA7664">
        <w:rPr>
          <w:sz w:val="26"/>
          <w:szCs w:val="26"/>
        </w:rPr>
        <w:t xml:space="preserve">% y </w:t>
      </w:r>
      <w:r w:rsidR="0027090A">
        <w:rPr>
          <w:sz w:val="26"/>
          <w:szCs w:val="26"/>
        </w:rPr>
        <w:t>chile serrano</w:t>
      </w:r>
      <w:r>
        <w:rPr>
          <w:sz w:val="26"/>
          <w:szCs w:val="26"/>
        </w:rPr>
        <w:t xml:space="preserve"> </w:t>
      </w:r>
      <w:r w:rsidR="0027090A">
        <w:rPr>
          <w:sz w:val="26"/>
          <w:szCs w:val="26"/>
        </w:rPr>
        <w:t>(23.97%)</w:t>
      </w:r>
      <w:r w:rsidRPr="00EA7664">
        <w:rPr>
          <w:sz w:val="26"/>
          <w:szCs w:val="26"/>
        </w:rPr>
        <w:t>.</w:t>
      </w:r>
    </w:p>
    <w:p w:rsidR="00364D4D" w:rsidRDefault="00364D4D" w:rsidP="00364D4D">
      <w:pPr>
        <w:spacing w:line="360" w:lineRule="auto"/>
        <w:ind w:right="20"/>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311956" w:rsidRDefault="00364D4D" w:rsidP="00B17B53">
            <w:pPr>
              <w:pStyle w:val="NormalWeb"/>
              <w:spacing w:before="0" w:beforeAutospacing="0" w:after="0" w:afterAutospacing="0"/>
              <w:jc w:val="center"/>
              <w:rPr>
                <w:sz w:val="22"/>
                <w:szCs w:val="22"/>
              </w:rPr>
            </w:pPr>
            <w:r w:rsidRPr="00311956">
              <w:rPr>
                <w:b/>
                <w:bCs/>
                <w:color w:val="000000"/>
                <w:kern w:val="24"/>
                <w:sz w:val="22"/>
                <w:szCs w:val="22"/>
                <w:lang w:val="es-ES_tradnl"/>
              </w:rPr>
              <w:t>ÍNDICE NACIONAL DE PRECIOS AL CONSUMIDOR</w:t>
            </w:r>
          </w:p>
          <w:p w:rsidR="00364D4D" w:rsidRPr="00346E21" w:rsidRDefault="00364D4D" w:rsidP="00B17B53">
            <w:pPr>
              <w:pStyle w:val="NormalWeb"/>
              <w:spacing w:before="0" w:beforeAutospacing="0" w:after="0" w:afterAutospacing="0"/>
              <w:jc w:val="center"/>
              <w:rPr>
                <w:b/>
                <w:sz w:val="22"/>
                <w:szCs w:val="22"/>
              </w:rPr>
            </w:pPr>
            <w:r w:rsidRPr="00346E21">
              <w:rPr>
                <w:b/>
                <w:bCs/>
                <w:color w:val="000000"/>
                <w:kern w:val="24"/>
                <w:sz w:val="22"/>
                <w:szCs w:val="22"/>
                <w:lang w:val="es-ES_tradnl"/>
              </w:rPr>
              <w:t xml:space="preserve">- Variación con respecto al mismo mes del año anterior </w:t>
            </w:r>
            <w:r w:rsidRPr="00346E21">
              <w:rPr>
                <w:b/>
                <w:bCs/>
                <w:color w:val="000000"/>
                <w:kern w:val="24"/>
                <w:sz w:val="22"/>
                <w:szCs w:val="22"/>
              </w:rPr>
              <w:t>-</w:t>
            </w:r>
          </w:p>
          <w:p w:rsidR="00364D4D" w:rsidRDefault="001244B5" w:rsidP="00B17B53">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Febrero</w:t>
            </w:r>
          </w:p>
          <w:p w:rsidR="00364D4D" w:rsidRDefault="00A209C7" w:rsidP="00B17B53">
            <w:pPr>
              <w:pStyle w:val="NormalWeb"/>
              <w:spacing w:before="0" w:beforeAutospacing="0" w:after="0" w:afterAutospacing="0"/>
              <w:jc w:val="center"/>
              <w:rPr>
                <w:b/>
                <w:bCs/>
                <w:color w:val="000000"/>
                <w:kern w:val="24"/>
                <w:sz w:val="22"/>
                <w:szCs w:val="22"/>
                <w:lang w:val="en-US"/>
              </w:rPr>
            </w:pPr>
            <w:r>
              <w:rPr>
                <w:b/>
                <w:bCs/>
                <w:color w:val="000000"/>
                <w:kern w:val="24"/>
                <w:sz w:val="22"/>
                <w:szCs w:val="22"/>
                <w:lang w:val="en-US"/>
              </w:rPr>
              <w:t>2005</w:t>
            </w:r>
            <w:r w:rsidR="00364D4D" w:rsidRPr="00346E21">
              <w:rPr>
                <w:b/>
                <w:bCs/>
                <w:color w:val="000000"/>
                <w:kern w:val="24"/>
                <w:sz w:val="22"/>
                <w:szCs w:val="22"/>
                <w:lang w:val="en-US"/>
              </w:rPr>
              <w:t xml:space="preserve"> </w:t>
            </w:r>
            <w:r w:rsidR="00364D4D">
              <w:rPr>
                <w:b/>
                <w:bCs/>
                <w:color w:val="000000"/>
                <w:kern w:val="24"/>
                <w:sz w:val="22"/>
                <w:szCs w:val="22"/>
                <w:lang w:val="en-US"/>
              </w:rPr>
              <w:t>–</w:t>
            </w:r>
            <w:r w:rsidR="00364D4D" w:rsidRPr="00346E21">
              <w:rPr>
                <w:b/>
                <w:bCs/>
                <w:color w:val="000000"/>
                <w:kern w:val="24"/>
                <w:sz w:val="22"/>
                <w:szCs w:val="22"/>
                <w:lang w:val="en-US"/>
              </w:rPr>
              <w:t xml:space="preserve"> </w:t>
            </w:r>
            <w:r>
              <w:rPr>
                <w:b/>
                <w:bCs/>
                <w:color w:val="000000"/>
                <w:kern w:val="24"/>
                <w:sz w:val="22"/>
                <w:szCs w:val="22"/>
                <w:lang w:val="en-US"/>
              </w:rPr>
              <w:t>2015</w:t>
            </w:r>
          </w:p>
          <w:p w:rsidR="00364D4D" w:rsidRPr="00BC3A10" w:rsidRDefault="00364D4D" w:rsidP="00B17B53">
            <w:pPr>
              <w:pStyle w:val="NormalWeb"/>
              <w:spacing w:before="0" w:beforeAutospacing="0" w:after="0" w:afterAutospacing="0"/>
              <w:jc w:val="center"/>
              <w:rPr>
                <w:b/>
                <w:sz w:val="22"/>
                <w:szCs w:val="22"/>
              </w:rPr>
            </w:pPr>
            <w:r w:rsidRPr="00A05E54">
              <w:rPr>
                <w:rFonts w:eastAsia="+mn-ea"/>
                <w:b/>
                <w:bCs/>
                <w:color w:val="000000"/>
                <w:kern w:val="24"/>
                <w:sz w:val="22"/>
                <w:szCs w:val="22"/>
                <w:lang w:val="es-MX"/>
              </w:rPr>
              <w:t>- Por ciento -</w:t>
            </w:r>
          </w:p>
        </w:tc>
      </w:tr>
      <w:tr w:rsidR="00364D4D" w:rsidTr="00B17B53">
        <w:tc>
          <w:tcPr>
            <w:tcW w:w="8980" w:type="dxa"/>
          </w:tcPr>
          <w:p w:rsidR="00364D4D" w:rsidRDefault="00364D4D" w:rsidP="001244B5">
            <w:pPr>
              <w:spacing w:line="360" w:lineRule="auto"/>
              <w:ind w:right="20"/>
              <w:jc w:val="center"/>
              <w:rPr>
                <w:sz w:val="26"/>
                <w:szCs w:val="26"/>
              </w:rPr>
            </w:pPr>
            <w:r w:rsidRPr="00311956">
              <w:rPr>
                <w:noProof/>
                <w:sz w:val="20"/>
                <w:szCs w:val="20"/>
                <w:lang w:val="es-MX" w:eastAsia="es-MX"/>
              </w:rPr>
              <w:drawing>
                <wp:inline distT="0" distB="0" distL="0" distR="0" wp14:anchorId="5EADBD76" wp14:editId="4A4A3527">
                  <wp:extent cx="5193792" cy="3304032"/>
                  <wp:effectExtent l="0" t="0" r="6985" b="10795"/>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364D4D" w:rsidTr="00B17B53">
        <w:tc>
          <w:tcPr>
            <w:tcW w:w="8980" w:type="dxa"/>
          </w:tcPr>
          <w:p w:rsidR="00364D4D" w:rsidRDefault="00364D4D" w:rsidP="00B17B53">
            <w:pPr>
              <w:pStyle w:val="NormalWeb"/>
              <w:spacing w:before="0" w:beforeAutospacing="0" w:after="0" w:afterAutospacing="0"/>
              <w:ind w:left="1330" w:right="953" w:hanging="882"/>
              <w:jc w:val="both"/>
              <w:rPr>
                <w:sz w:val="26"/>
                <w:szCs w:val="26"/>
              </w:rPr>
            </w:pPr>
            <w:r w:rsidRPr="00B415D2">
              <w:rPr>
                <w:color w:val="000000"/>
                <w:kern w:val="24"/>
                <w:sz w:val="20"/>
                <w:szCs w:val="20"/>
              </w:rPr>
              <w:t>FUENTE: Elaborado por la Comisión Nacional de los Salarios Mínimos con información del Instituto Nacional</w:t>
            </w:r>
            <w:r>
              <w:rPr>
                <w:sz w:val="20"/>
                <w:szCs w:val="20"/>
              </w:rPr>
              <w:t xml:space="preserve"> </w:t>
            </w:r>
            <w:r w:rsidRPr="00B415D2">
              <w:rPr>
                <w:color w:val="000000"/>
                <w:kern w:val="24"/>
                <w:sz w:val="20"/>
                <w:szCs w:val="20"/>
              </w:rPr>
              <w:t>de Estadística y Geografía.</w:t>
            </w:r>
          </w:p>
        </w:tc>
      </w:tr>
    </w:tbl>
    <w:p w:rsidR="00364D4D" w:rsidRDefault="00364D4D" w:rsidP="00364D4D">
      <w:pPr>
        <w:spacing w:line="360" w:lineRule="auto"/>
        <w:ind w:right="20"/>
        <w:jc w:val="both"/>
        <w:rPr>
          <w:sz w:val="26"/>
          <w:szCs w:val="26"/>
        </w:rPr>
      </w:pPr>
    </w:p>
    <w:p w:rsidR="00364D4D" w:rsidRPr="00E313B7" w:rsidRDefault="00364D4D" w:rsidP="00364D4D">
      <w:pPr>
        <w:pStyle w:val="Ttulo1"/>
        <w:jc w:val="left"/>
        <w:rPr>
          <w:color w:val="0000FF"/>
          <w:sz w:val="26"/>
          <w:szCs w:val="26"/>
        </w:rPr>
      </w:pPr>
      <w:r>
        <w:br w:type="page"/>
      </w:r>
      <w:r w:rsidRPr="00E313B7">
        <w:rPr>
          <w:color w:val="0000FF"/>
          <w:sz w:val="26"/>
          <w:szCs w:val="26"/>
        </w:rPr>
        <w:lastRenderedPageBreak/>
        <w:t>Índice de Precios de la Canasta Básica</w:t>
      </w:r>
    </w:p>
    <w:p w:rsidR="00364D4D" w:rsidRPr="002F6741" w:rsidRDefault="00364D4D" w:rsidP="00364D4D">
      <w:pPr>
        <w:spacing w:line="360" w:lineRule="auto"/>
        <w:ind w:right="20"/>
        <w:jc w:val="both"/>
        <w:rPr>
          <w:b/>
          <w:sz w:val="26"/>
          <w:szCs w:val="26"/>
        </w:rPr>
      </w:pPr>
    </w:p>
    <w:p w:rsidR="00364D4D" w:rsidRDefault="00364D4D" w:rsidP="00364D4D">
      <w:pPr>
        <w:spacing w:line="360" w:lineRule="auto"/>
        <w:ind w:right="20"/>
        <w:jc w:val="both"/>
        <w:rPr>
          <w:sz w:val="26"/>
          <w:szCs w:val="26"/>
        </w:rPr>
      </w:pPr>
      <w:r w:rsidRPr="00BE580F">
        <w:rPr>
          <w:sz w:val="26"/>
          <w:szCs w:val="26"/>
        </w:rPr>
        <w:t xml:space="preserve">En </w:t>
      </w:r>
      <w:r w:rsidR="001244B5">
        <w:rPr>
          <w:sz w:val="26"/>
          <w:szCs w:val="26"/>
        </w:rPr>
        <w:t>febrero</w:t>
      </w:r>
      <w:r w:rsidRPr="00BE580F">
        <w:rPr>
          <w:sz w:val="26"/>
          <w:szCs w:val="26"/>
        </w:rPr>
        <w:t xml:space="preserve"> del presente año, el Índice de Precios de la Canasta Básica alcanzó un </w:t>
      </w:r>
      <w:r>
        <w:rPr>
          <w:sz w:val="26"/>
          <w:szCs w:val="26"/>
        </w:rPr>
        <w:t>incremento</w:t>
      </w:r>
      <w:r w:rsidRPr="00BE580F">
        <w:rPr>
          <w:sz w:val="26"/>
          <w:szCs w:val="26"/>
        </w:rPr>
        <w:t xml:space="preserve"> de </w:t>
      </w:r>
      <w:r w:rsidR="00B53012">
        <w:rPr>
          <w:sz w:val="26"/>
          <w:szCs w:val="26"/>
        </w:rPr>
        <w:t>0.32</w:t>
      </w:r>
      <w:r w:rsidRPr="00BE580F">
        <w:rPr>
          <w:sz w:val="26"/>
          <w:szCs w:val="26"/>
        </w:rPr>
        <w:t xml:space="preserve">%, con lo que acumuló en los primeros </w:t>
      </w:r>
      <w:r w:rsidR="00B53012">
        <w:rPr>
          <w:sz w:val="26"/>
          <w:szCs w:val="26"/>
        </w:rPr>
        <w:t>dos</w:t>
      </w:r>
      <w:r w:rsidRPr="00BE580F">
        <w:rPr>
          <w:sz w:val="26"/>
          <w:szCs w:val="26"/>
        </w:rPr>
        <w:t xml:space="preserve"> meses de </w:t>
      </w:r>
      <w:r w:rsidR="00A209C7">
        <w:rPr>
          <w:sz w:val="26"/>
          <w:szCs w:val="26"/>
        </w:rPr>
        <w:t>2015</w:t>
      </w:r>
      <w:r w:rsidRPr="00BE580F">
        <w:rPr>
          <w:sz w:val="26"/>
          <w:szCs w:val="26"/>
        </w:rPr>
        <w:t xml:space="preserve"> </w:t>
      </w:r>
      <w:r>
        <w:rPr>
          <w:sz w:val="26"/>
          <w:szCs w:val="26"/>
        </w:rPr>
        <w:t>una variación</w:t>
      </w:r>
      <w:r w:rsidRPr="00BE580F">
        <w:rPr>
          <w:sz w:val="26"/>
          <w:szCs w:val="26"/>
        </w:rPr>
        <w:t xml:space="preserve"> de </w:t>
      </w:r>
      <w:r w:rsidR="00B53012">
        <w:rPr>
          <w:sz w:val="26"/>
          <w:szCs w:val="26"/>
        </w:rPr>
        <w:t>0.37</w:t>
      </w:r>
      <w:r w:rsidRPr="00BE580F">
        <w:rPr>
          <w:sz w:val="26"/>
          <w:szCs w:val="26"/>
        </w:rPr>
        <w:t xml:space="preserve">%, porcentaje </w:t>
      </w:r>
      <w:r w:rsidR="00B53012">
        <w:rPr>
          <w:sz w:val="26"/>
          <w:szCs w:val="26"/>
        </w:rPr>
        <w:t>inferior</w:t>
      </w:r>
      <w:r w:rsidRPr="00BE580F">
        <w:rPr>
          <w:sz w:val="26"/>
          <w:szCs w:val="26"/>
        </w:rPr>
        <w:t xml:space="preserve"> en </w:t>
      </w:r>
      <w:r w:rsidR="00B53012">
        <w:rPr>
          <w:sz w:val="26"/>
          <w:szCs w:val="26"/>
        </w:rPr>
        <w:t>1.64</w:t>
      </w:r>
      <w:r w:rsidRPr="00BE580F">
        <w:rPr>
          <w:sz w:val="26"/>
          <w:szCs w:val="26"/>
        </w:rPr>
        <w:t xml:space="preserve"> punto</w:t>
      </w:r>
      <w:r>
        <w:rPr>
          <w:sz w:val="26"/>
          <w:szCs w:val="26"/>
        </w:rPr>
        <w:t>s</w:t>
      </w:r>
      <w:r w:rsidRPr="00BE580F">
        <w:rPr>
          <w:sz w:val="26"/>
          <w:szCs w:val="26"/>
        </w:rPr>
        <w:t xml:space="preserve"> porcentual</w:t>
      </w:r>
      <w:r>
        <w:rPr>
          <w:sz w:val="26"/>
          <w:szCs w:val="26"/>
        </w:rPr>
        <w:t>es</w:t>
      </w:r>
      <w:r w:rsidRPr="00BE580F">
        <w:rPr>
          <w:sz w:val="26"/>
          <w:szCs w:val="26"/>
        </w:rPr>
        <w:t xml:space="preserve"> con respecto al del mismo ciclo de </w:t>
      </w:r>
      <w:r w:rsidR="00A209C7">
        <w:rPr>
          <w:sz w:val="26"/>
          <w:szCs w:val="26"/>
        </w:rPr>
        <w:t>2014</w:t>
      </w:r>
      <w:r w:rsidRPr="00BE580F">
        <w:rPr>
          <w:sz w:val="26"/>
          <w:szCs w:val="26"/>
        </w:rPr>
        <w:t xml:space="preserve"> (</w:t>
      </w:r>
      <w:r w:rsidR="00B53012">
        <w:rPr>
          <w:sz w:val="26"/>
          <w:szCs w:val="26"/>
        </w:rPr>
        <w:t>2.01</w:t>
      </w:r>
      <w:r>
        <w:rPr>
          <w:sz w:val="26"/>
          <w:szCs w:val="26"/>
        </w:rPr>
        <w:t>%), como se observa a continuación.</w:t>
      </w:r>
    </w:p>
    <w:p w:rsidR="00364D4D" w:rsidRDefault="00364D4D" w:rsidP="00364D4D">
      <w:pPr>
        <w:spacing w:line="360" w:lineRule="auto"/>
        <w:ind w:right="20"/>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2C2884" w:rsidRDefault="00364D4D" w:rsidP="00B17B53">
            <w:pPr>
              <w:pStyle w:val="NormalWeb"/>
              <w:spacing w:before="0" w:beforeAutospacing="0" w:after="0" w:afterAutospacing="0"/>
              <w:jc w:val="center"/>
              <w:rPr>
                <w:sz w:val="22"/>
                <w:szCs w:val="22"/>
              </w:rPr>
            </w:pPr>
            <w:r w:rsidRPr="002C2884">
              <w:rPr>
                <w:b/>
                <w:bCs/>
                <w:color w:val="000000"/>
                <w:kern w:val="24"/>
                <w:sz w:val="22"/>
                <w:szCs w:val="22"/>
              </w:rPr>
              <w:t>ÍNDICE DE PRECIOS DE LA CANASTA BÁSICA</w:t>
            </w:r>
          </w:p>
          <w:p w:rsidR="00364D4D" w:rsidRPr="00847AC3" w:rsidRDefault="00364D4D" w:rsidP="00B17B53">
            <w:pPr>
              <w:pStyle w:val="NormalWeb"/>
              <w:spacing w:before="0" w:beforeAutospacing="0" w:after="0" w:afterAutospacing="0"/>
              <w:jc w:val="center"/>
              <w:rPr>
                <w:b/>
                <w:sz w:val="22"/>
                <w:szCs w:val="22"/>
              </w:rPr>
            </w:pPr>
            <w:r>
              <w:rPr>
                <w:b/>
                <w:bCs/>
                <w:color w:val="000000"/>
                <w:kern w:val="24"/>
                <w:sz w:val="22"/>
                <w:szCs w:val="22"/>
                <w:lang w:val="es-ES_tradnl"/>
              </w:rPr>
              <w:t xml:space="preserve">- Variaciones acumuladas </w:t>
            </w:r>
            <w:r w:rsidRPr="00847AC3">
              <w:rPr>
                <w:b/>
                <w:bCs/>
                <w:color w:val="000000"/>
                <w:kern w:val="24"/>
                <w:sz w:val="22"/>
                <w:szCs w:val="22"/>
                <w:lang w:val="es-ES_tradnl"/>
              </w:rPr>
              <w:t>-</w:t>
            </w:r>
          </w:p>
          <w:p w:rsidR="00364D4D" w:rsidRPr="00847AC3" w:rsidRDefault="00364D4D" w:rsidP="00B17B53">
            <w:pPr>
              <w:pStyle w:val="NormalWeb"/>
              <w:spacing w:before="0" w:beforeAutospacing="0" w:after="0" w:afterAutospacing="0"/>
              <w:jc w:val="center"/>
              <w:rPr>
                <w:b/>
                <w:sz w:val="22"/>
                <w:szCs w:val="22"/>
              </w:rPr>
            </w:pPr>
            <w:r>
              <w:rPr>
                <w:b/>
                <w:bCs/>
                <w:color w:val="000000"/>
                <w:kern w:val="24"/>
                <w:sz w:val="22"/>
                <w:szCs w:val="22"/>
                <w:lang w:val="es-MX"/>
              </w:rPr>
              <w:t xml:space="preserve">Enero - </w:t>
            </w:r>
            <w:r w:rsidR="001244B5">
              <w:rPr>
                <w:b/>
                <w:bCs/>
                <w:color w:val="000000"/>
                <w:kern w:val="24"/>
                <w:sz w:val="22"/>
                <w:szCs w:val="22"/>
                <w:lang w:val="es-MX"/>
              </w:rPr>
              <w:t>febrero</w:t>
            </w:r>
          </w:p>
          <w:p w:rsidR="00364D4D" w:rsidRPr="00A537D9" w:rsidRDefault="00A209C7"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2005</w:t>
            </w:r>
            <w:r w:rsidR="00364D4D" w:rsidRPr="00A537D9">
              <w:rPr>
                <w:b/>
                <w:bCs/>
                <w:color w:val="000000"/>
                <w:kern w:val="24"/>
                <w:sz w:val="22"/>
                <w:szCs w:val="22"/>
                <w:lang w:val="es-MX"/>
              </w:rPr>
              <w:t xml:space="preserve"> – </w:t>
            </w:r>
            <w:r>
              <w:rPr>
                <w:b/>
                <w:bCs/>
                <w:color w:val="000000"/>
                <w:kern w:val="24"/>
                <w:sz w:val="22"/>
                <w:szCs w:val="22"/>
                <w:lang w:val="es-MX"/>
              </w:rPr>
              <w:t>2015</w:t>
            </w:r>
          </w:p>
          <w:p w:rsidR="00364D4D" w:rsidRPr="00457F1A" w:rsidRDefault="00364D4D" w:rsidP="00B17B53">
            <w:pPr>
              <w:pStyle w:val="NormalWeb"/>
              <w:spacing w:before="0" w:beforeAutospacing="0" w:after="0" w:afterAutospacing="0"/>
              <w:jc w:val="center"/>
              <w:rPr>
                <w:b/>
                <w:sz w:val="22"/>
                <w:szCs w:val="22"/>
              </w:rPr>
            </w:pPr>
            <w:r w:rsidRPr="00A05E54">
              <w:rPr>
                <w:rFonts w:eastAsia="+mn-ea"/>
                <w:b/>
                <w:bCs/>
                <w:color w:val="000000"/>
                <w:kern w:val="24"/>
                <w:sz w:val="22"/>
                <w:szCs w:val="22"/>
                <w:lang w:val="es-MX"/>
              </w:rPr>
              <w:t>- Por ciento -</w:t>
            </w:r>
          </w:p>
        </w:tc>
      </w:tr>
      <w:tr w:rsidR="00364D4D" w:rsidTr="00B17B53">
        <w:tc>
          <w:tcPr>
            <w:tcW w:w="8980" w:type="dxa"/>
          </w:tcPr>
          <w:p w:rsidR="00364D4D" w:rsidRDefault="00364D4D" w:rsidP="00B17B53">
            <w:pPr>
              <w:spacing w:line="360" w:lineRule="auto"/>
              <w:ind w:right="20"/>
              <w:jc w:val="center"/>
              <w:rPr>
                <w:sz w:val="26"/>
                <w:szCs w:val="26"/>
              </w:rPr>
            </w:pPr>
            <w:r w:rsidRPr="00311956">
              <w:rPr>
                <w:noProof/>
                <w:sz w:val="20"/>
                <w:szCs w:val="20"/>
                <w:lang w:val="es-MX" w:eastAsia="es-MX"/>
              </w:rPr>
              <w:drawing>
                <wp:inline distT="0" distB="0" distL="0" distR="0" wp14:anchorId="1BE5F87B" wp14:editId="607A3BF5">
                  <wp:extent cx="5216055" cy="3307743"/>
                  <wp:effectExtent l="0" t="0" r="3810" b="6985"/>
                  <wp:docPr id="59" name="Gráfico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364D4D" w:rsidTr="00B17B53">
        <w:tc>
          <w:tcPr>
            <w:tcW w:w="8980" w:type="dxa"/>
          </w:tcPr>
          <w:p w:rsidR="00364D4D" w:rsidRPr="00402AD9" w:rsidRDefault="00364D4D" w:rsidP="00B17B53">
            <w:pPr>
              <w:pStyle w:val="NormalWeb"/>
              <w:spacing w:before="0" w:beforeAutospacing="0" w:after="0" w:afterAutospacing="0"/>
              <w:ind w:left="1344" w:right="400" w:hanging="897"/>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tc>
      </w:tr>
    </w:tbl>
    <w:p w:rsidR="00364D4D" w:rsidRDefault="00364D4D" w:rsidP="00364D4D">
      <w:pPr>
        <w:spacing w:line="360" w:lineRule="auto"/>
        <w:ind w:right="20"/>
        <w:jc w:val="both"/>
        <w:rPr>
          <w:sz w:val="26"/>
          <w:szCs w:val="26"/>
        </w:rPr>
      </w:pPr>
    </w:p>
    <w:p w:rsidR="00364D4D" w:rsidRPr="00537C1E" w:rsidRDefault="00364D4D" w:rsidP="006C5396">
      <w:pPr>
        <w:spacing w:before="360" w:after="360" w:line="360" w:lineRule="auto"/>
        <w:ind w:right="23"/>
        <w:jc w:val="both"/>
        <w:rPr>
          <w:sz w:val="26"/>
          <w:szCs w:val="26"/>
        </w:rPr>
      </w:pPr>
      <w:r>
        <w:rPr>
          <w:sz w:val="26"/>
          <w:szCs w:val="26"/>
        </w:rPr>
        <w:br w:type="page"/>
      </w:r>
      <w:r w:rsidR="006C5396" w:rsidRPr="006C5396">
        <w:rPr>
          <w:sz w:val="26"/>
          <w:szCs w:val="26"/>
        </w:rPr>
        <w:lastRenderedPageBreak/>
        <w:t xml:space="preserve">En la siguiente tabla se presentan los genéricos cuyos movimientos de precios determinaron, </w:t>
      </w:r>
      <w:r w:rsidR="002C1FB6">
        <w:rPr>
          <w:sz w:val="26"/>
          <w:szCs w:val="26"/>
        </w:rPr>
        <w:t>principalmente</w:t>
      </w:r>
      <w:r w:rsidR="006C5396" w:rsidRPr="006C5396">
        <w:rPr>
          <w:sz w:val="26"/>
          <w:szCs w:val="26"/>
        </w:rPr>
        <w:t xml:space="preserve">, la menor variación del Índice de Precios de la Canasta Básica, en los primeros </w:t>
      </w:r>
      <w:r w:rsidR="006C5396">
        <w:rPr>
          <w:sz w:val="26"/>
          <w:szCs w:val="26"/>
        </w:rPr>
        <w:t>dos</w:t>
      </w:r>
      <w:r w:rsidR="006C5396" w:rsidRPr="006C5396">
        <w:rPr>
          <w:sz w:val="26"/>
          <w:szCs w:val="26"/>
        </w:rPr>
        <w:t xml:space="preserve"> meses del año en curso, en balance con el mismo período de un año antes.</w:t>
      </w:r>
    </w:p>
    <w:tbl>
      <w:tblPr>
        <w:tblW w:w="8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2"/>
        <w:gridCol w:w="1143"/>
        <w:gridCol w:w="1144"/>
        <w:gridCol w:w="1949"/>
      </w:tblGrid>
      <w:tr w:rsidR="00364D4D" w:rsidRPr="00BA7A08" w:rsidTr="00B17B53">
        <w:trPr>
          <w:jc w:val="center"/>
        </w:trPr>
        <w:tc>
          <w:tcPr>
            <w:tcW w:w="8398" w:type="dxa"/>
            <w:gridSpan w:val="4"/>
            <w:tcBorders>
              <w:top w:val="nil"/>
              <w:left w:val="nil"/>
              <w:bottom w:val="single" w:sz="4" w:space="0" w:color="auto"/>
              <w:right w:val="nil"/>
            </w:tcBorders>
            <w:shd w:val="clear" w:color="auto" w:fill="auto"/>
            <w:vAlign w:val="center"/>
          </w:tcPr>
          <w:p w:rsidR="00364D4D" w:rsidRDefault="00364D4D" w:rsidP="00B17B53">
            <w:pPr>
              <w:spacing w:before="60"/>
              <w:ind w:right="23"/>
              <w:jc w:val="center"/>
              <w:rPr>
                <w:b/>
                <w:sz w:val="22"/>
                <w:szCs w:val="22"/>
              </w:rPr>
            </w:pPr>
            <w:r w:rsidRPr="005B76CF">
              <w:rPr>
                <w:b/>
                <w:sz w:val="22"/>
                <w:szCs w:val="22"/>
              </w:rPr>
              <w:t xml:space="preserve">ÍNDICE DE PRECIOS DE LA CANASTA BÁSICA </w:t>
            </w:r>
          </w:p>
          <w:p w:rsidR="00364D4D" w:rsidRDefault="00364D4D" w:rsidP="00B17B53">
            <w:pPr>
              <w:ind w:right="20"/>
              <w:jc w:val="center"/>
              <w:rPr>
                <w:b/>
                <w:sz w:val="22"/>
                <w:szCs w:val="22"/>
              </w:rPr>
            </w:pPr>
            <w:r w:rsidRPr="005B76CF">
              <w:rPr>
                <w:b/>
                <w:sz w:val="22"/>
                <w:szCs w:val="22"/>
              </w:rPr>
              <w:t xml:space="preserve">BIENES Y SERVICIOS CON LOS MAYORES </w:t>
            </w:r>
          </w:p>
          <w:p w:rsidR="00364D4D" w:rsidRPr="005B76CF" w:rsidRDefault="001A3AE1" w:rsidP="00B17B53">
            <w:pPr>
              <w:ind w:right="20"/>
              <w:jc w:val="center"/>
              <w:rPr>
                <w:b/>
                <w:sz w:val="22"/>
                <w:szCs w:val="22"/>
              </w:rPr>
            </w:pPr>
            <w:r>
              <w:rPr>
                <w:b/>
                <w:sz w:val="22"/>
                <w:szCs w:val="22"/>
              </w:rPr>
              <w:t>DECREMENTOS</w:t>
            </w:r>
            <w:r w:rsidR="00364D4D">
              <w:rPr>
                <w:b/>
                <w:sz w:val="22"/>
                <w:szCs w:val="22"/>
              </w:rPr>
              <w:t xml:space="preserve"> </w:t>
            </w:r>
            <w:r w:rsidR="00364D4D" w:rsidRPr="005B76CF">
              <w:rPr>
                <w:b/>
                <w:sz w:val="22"/>
                <w:szCs w:val="22"/>
              </w:rPr>
              <w:t>EN EL RI</w:t>
            </w:r>
            <w:r w:rsidR="00364D4D">
              <w:rPr>
                <w:b/>
                <w:sz w:val="22"/>
                <w:szCs w:val="22"/>
              </w:rPr>
              <w:t>TM</w:t>
            </w:r>
            <w:r w:rsidR="00364D4D" w:rsidRPr="005B76CF">
              <w:rPr>
                <w:b/>
                <w:sz w:val="22"/>
                <w:szCs w:val="22"/>
              </w:rPr>
              <w:t>O INFLACIONARIO</w:t>
            </w:r>
          </w:p>
          <w:p w:rsidR="00364D4D" w:rsidRPr="00A21AEB" w:rsidRDefault="00364D4D" w:rsidP="00B17B53">
            <w:pPr>
              <w:ind w:right="20"/>
              <w:jc w:val="center"/>
              <w:rPr>
                <w:b/>
                <w:sz w:val="22"/>
                <w:szCs w:val="22"/>
              </w:rPr>
            </w:pPr>
            <w:r w:rsidRPr="00A21AEB">
              <w:rPr>
                <w:b/>
                <w:sz w:val="22"/>
                <w:szCs w:val="22"/>
              </w:rPr>
              <w:t xml:space="preserve">- </w:t>
            </w:r>
            <w:r w:rsidRPr="00A21AEB">
              <w:rPr>
                <w:b/>
                <w:sz w:val="22"/>
                <w:szCs w:val="20"/>
              </w:rPr>
              <w:t xml:space="preserve">Variaciones </w:t>
            </w:r>
            <w:r>
              <w:rPr>
                <w:b/>
                <w:sz w:val="22"/>
                <w:szCs w:val="20"/>
              </w:rPr>
              <w:t>acumuladas</w:t>
            </w:r>
            <w:r w:rsidRPr="00A21AEB">
              <w:rPr>
                <w:b/>
                <w:sz w:val="22"/>
                <w:szCs w:val="20"/>
              </w:rPr>
              <w:t xml:space="preserve"> </w:t>
            </w:r>
            <w:r w:rsidRPr="00A21AEB">
              <w:rPr>
                <w:b/>
                <w:sz w:val="22"/>
                <w:szCs w:val="22"/>
              </w:rPr>
              <w:t>-</w:t>
            </w:r>
          </w:p>
          <w:p w:rsidR="00364D4D" w:rsidRPr="00A21AEB" w:rsidRDefault="00364D4D" w:rsidP="00B17B53">
            <w:pPr>
              <w:ind w:right="20"/>
              <w:jc w:val="center"/>
              <w:rPr>
                <w:b/>
                <w:sz w:val="22"/>
                <w:szCs w:val="22"/>
              </w:rPr>
            </w:pPr>
            <w:r>
              <w:rPr>
                <w:b/>
                <w:sz w:val="22"/>
                <w:szCs w:val="22"/>
              </w:rPr>
              <w:t xml:space="preserve">Enero - </w:t>
            </w:r>
            <w:r w:rsidR="001244B5">
              <w:rPr>
                <w:b/>
                <w:sz w:val="22"/>
                <w:szCs w:val="22"/>
              </w:rPr>
              <w:t>febrero</w:t>
            </w:r>
          </w:p>
          <w:p w:rsidR="00364D4D" w:rsidRPr="00A21AEB" w:rsidRDefault="00364D4D" w:rsidP="00B17B53">
            <w:pPr>
              <w:ind w:right="20"/>
              <w:jc w:val="center"/>
              <w:rPr>
                <w:b/>
                <w:sz w:val="22"/>
                <w:szCs w:val="22"/>
              </w:rPr>
            </w:pPr>
            <w:r w:rsidRPr="00A21AEB">
              <w:rPr>
                <w:b/>
                <w:sz w:val="22"/>
                <w:szCs w:val="22"/>
              </w:rPr>
              <w:t>- Por ciento -</w:t>
            </w:r>
          </w:p>
          <w:p w:rsidR="00364D4D" w:rsidRPr="00740AE6" w:rsidRDefault="00364D4D" w:rsidP="00B17B53">
            <w:pPr>
              <w:ind w:right="20"/>
              <w:jc w:val="center"/>
              <w:rPr>
                <w:b/>
                <w:sz w:val="16"/>
                <w:szCs w:val="16"/>
              </w:rPr>
            </w:pPr>
          </w:p>
        </w:tc>
      </w:tr>
      <w:tr w:rsidR="00364D4D" w:rsidRPr="00BA7A08" w:rsidTr="003259A8">
        <w:trPr>
          <w:jc w:val="center"/>
        </w:trPr>
        <w:tc>
          <w:tcPr>
            <w:tcW w:w="4162" w:type="dxa"/>
            <w:tcBorders>
              <w:top w:val="single" w:sz="4" w:space="0" w:color="auto"/>
              <w:left w:val="single" w:sz="4" w:space="0" w:color="auto"/>
              <w:bottom w:val="single" w:sz="4" w:space="0" w:color="auto"/>
              <w:right w:val="single" w:sz="4" w:space="0" w:color="FFFFFF" w:themeColor="background1"/>
            </w:tcBorders>
            <w:shd w:val="clear" w:color="auto" w:fill="336600"/>
            <w:vAlign w:val="center"/>
          </w:tcPr>
          <w:p w:rsidR="00364D4D" w:rsidRPr="003B642E" w:rsidRDefault="00364D4D" w:rsidP="00B17B53">
            <w:pPr>
              <w:ind w:right="14"/>
              <w:jc w:val="center"/>
              <w:rPr>
                <w:b/>
                <w:color w:val="FFFFFF" w:themeColor="background1"/>
                <w:sz w:val="20"/>
                <w:szCs w:val="20"/>
              </w:rPr>
            </w:pPr>
            <w:r w:rsidRPr="003B642E">
              <w:rPr>
                <w:b/>
                <w:color w:val="FFFFFF" w:themeColor="background1"/>
                <w:sz w:val="20"/>
                <w:szCs w:val="20"/>
              </w:rPr>
              <w:t>CONCEPTO</w:t>
            </w:r>
          </w:p>
        </w:tc>
        <w:tc>
          <w:tcPr>
            <w:tcW w:w="1143" w:type="dxa"/>
            <w:tcBorders>
              <w:top w:val="single" w:sz="4" w:space="0" w:color="auto"/>
              <w:left w:val="single" w:sz="4" w:space="0" w:color="FFFFFF" w:themeColor="background1"/>
              <w:bottom w:val="single" w:sz="4" w:space="0" w:color="auto"/>
              <w:right w:val="single" w:sz="4" w:space="0" w:color="FFFFFF" w:themeColor="background1"/>
            </w:tcBorders>
            <w:shd w:val="clear" w:color="auto" w:fill="336600"/>
            <w:vAlign w:val="center"/>
          </w:tcPr>
          <w:p w:rsidR="00364D4D" w:rsidRPr="003B642E" w:rsidRDefault="00A209C7" w:rsidP="00B17B53">
            <w:pPr>
              <w:jc w:val="center"/>
              <w:rPr>
                <w:b/>
                <w:color w:val="FFFFFF" w:themeColor="background1"/>
                <w:sz w:val="20"/>
                <w:szCs w:val="20"/>
              </w:rPr>
            </w:pPr>
            <w:r>
              <w:rPr>
                <w:b/>
                <w:color w:val="FFFFFF" w:themeColor="background1"/>
                <w:sz w:val="20"/>
                <w:szCs w:val="20"/>
              </w:rPr>
              <w:t>2014</w:t>
            </w:r>
          </w:p>
        </w:tc>
        <w:tc>
          <w:tcPr>
            <w:tcW w:w="1144" w:type="dxa"/>
            <w:tcBorders>
              <w:top w:val="single" w:sz="4" w:space="0" w:color="auto"/>
              <w:left w:val="single" w:sz="4" w:space="0" w:color="FFFFFF" w:themeColor="background1"/>
              <w:bottom w:val="single" w:sz="4" w:space="0" w:color="auto"/>
              <w:right w:val="single" w:sz="4" w:space="0" w:color="FFFFFF" w:themeColor="background1"/>
            </w:tcBorders>
            <w:shd w:val="clear" w:color="auto" w:fill="336600"/>
            <w:vAlign w:val="center"/>
          </w:tcPr>
          <w:p w:rsidR="00364D4D" w:rsidRPr="003B642E" w:rsidRDefault="00A209C7" w:rsidP="00B17B53">
            <w:pPr>
              <w:jc w:val="center"/>
              <w:rPr>
                <w:b/>
                <w:color w:val="FFFFFF" w:themeColor="background1"/>
                <w:sz w:val="20"/>
                <w:szCs w:val="20"/>
              </w:rPr>
            </w:pPr>
            <w:r>
              <w:rPr>
                <w:b/>
                <w:color w:val="FFFFFF" w:themeColor="background1"/>
                <w:sz w:val="20"/>
                <w:szCs w:val="20"/>
              </w:rPr>
              <w:t>2015</w:t>
            </w:r>
          </w:p>
        </w:tc>
        <w:tc>
          <w:tcPr>
            <w:tcW w:w="1949" w:type="dxa"/>
            <w:tcBorders>
              <w:top w:val="single" w:sz="4" w:space="0" w:color="auto"/>
              <w:left w:val="single" w:sz="4" w:space="0" w:color="FFFFFF" w:themeColor="background1"/>
              <w:bottom w:val="single" w:sz="4" w:space="0" w:color="auto"/>
              <w:right w:val="single" w:sz="4" w:space="0" w:color="auto"/>
            </w:tcBorders>
            <w:shd w:val="clear" w:color="auto" w:fill="336600"/>
            <w:vAlign w:val="center"/>
          </w:tcPr>
          <w:p w:rsidR="00364D4D" w:rsidRPr="003B642E" w:rsidRDefault="00364D4D" w:rsidP="00B17B53">
            <w:pPr>
              <w:spacing w:before="40"/>
              <w:jc w:val="center"/>
              <w:rPr>
                <w:b/>
                <w:color w:val="FFFFFF" w:themeColor="background1"/>
                <w:sz w:val="20"/>
                <w:szCs w:val="20"/>
              </w:rPr>
            </w:pPr>
            <w:r w:rsidRPr="003B642E">
              <w:rPr>
                <w:b/>
                <w:color w:val="FFFFFF" w:themeColor="background1"/>
                <w:sz w:val="20"/>
                <w:szCs w:val="20"/>
              </w:rPr>
              <w:t>DIFERENCIA EN</w:t>
            </w:r>
          </w:p>
          <w:p w:rsidR="00364D4D" w:rsidRPr="003B642E" w:rsidRDefault="00364D4D" w:rsidP="00B17B53">
            <w:pPr>
              <w:jc w:val="center"/>
              <w:rPr>
                <w:b/>
                <w:color w:val="FFFFFF" w:themeColor="background1"/>
                <w:sz w:val="20"/>
                <w:szCs w:val="20"/>
              </w:rPr>
            </w:pPr>
            <w:r w:rsidRPr="003B642E">
              <w:rPr>
                <w:b/>
                <w:color w:val="FFFFFF" w:themeColor="background1"/>
                <w:sz w:val="20"/>
                <w:szCs w:val="20"/>
              </w:rPr>
              <w:t>PUNTOS</w:t>
            </w:r>
          </w:p>
          <w:p w:rsidR="00364D4D" w:rsidRPr="003B642E" w:rsidRDefault="00364D4D" w:rsidP="00B17B53">
            <w:pPr>
              <w:spacing w:after="40"/>
              <w:jc w:val="center"/>
              <w:rPr>
                <w:b/>
                <w:color w:val="FFFFFF" w:themeColor="background1"/>
                <w:sz w:val="20"/>
                <w:szCs w:val="20"/>
              </w:rPr>
            </w:pPr>
            <w:r w:rsidRPr="003B642E">
              <w:rPr>
                <w:b/>
                <w:color w:val="FFFFFF" w:themeColor="background1"/>
                <w:sz w:val="20"/>
                <w:szCs w:val="20"/>
              </w:rPr>
              <w:t>PORCENTUALES</w:t>
            </w:r>
          </w:p>
        </w:tc>
      </w:tr>
      <w:tr w:rsidR="003259A8" w:rsidRPr="00BA7A08" w:rsidTr="003259A8">
        <w:trPr>
          <w:trHeight w:val="165"/>
          <w:jc w:val="center"/>
        </w:trPr>
        <w:tc>
          <w:tcPr>
            <w:tcW w:w="4162" w:type="dxa"/>
            <w:tcBorders>
              <w:top w:val="single" w:sz="4" w:space="0" w:color="auto"/>
              <w:bottom w:val="single" w:sz="4" w:space="0" w:color="auto"/>
              <w:right w:val="single" w:sz="4" w:space="0" w:color="auto"/>
            </w:tcBorders>
            <w:vAlign w:val="center"/>
          </w:tcPr>
          <w:p w:rsidR="003259A8" w:rsidRPr="003259A8" w:rsidRDefault="003259A8" w:rsidP="003259A8">
            <w:pPr>
              <w:ind w:firstLineChars="24" w:firstLine="48"/>
              <w:rPr>
                <w:b/>
                <w:bCs/>
                <w:sz w:val="20"/>
                <w:szCs w:val="20"/>
              </w:rPr>
            </w:pPr>
            <w:r w:rsidRPr="003259A8">
              <w:rPr>
                <w:b/>
                <w:bCs/>
                <w:sz w:val="20"/>
                <w:szCs w:val="20"/>
              </w:rPr>
              <w:t xml:space="preserve">CANASTA BÁSICA </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
                <w:bCs/>
                <w:sz w:val="20"/>
                <w:szCs w:val="20"/>
                <w:lang w:val="es-MX" w:eastAsia="es-MX"/>
              </w:rPr>
            </w:pPr>
            <w:r w:rsidRPr="003259A8">
              <w:rPr>
                <w:b/>
                <w:bCs/>
                <w:sz w:val="20"/>
                <w:szCs w:val="20"/>
              </w:rPr>
              <w:t>2.01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
                <w:bCs/>
                <w:sz w:val="20"/>
                <w:szCs w:val="20"/>
              </w:rPr>
            </w:pPr>
            <w:r w:rsidRPr="003259A8">
              <w:rPr>
                <w:b/>
                <w:bCs/>
                <w:sz w:val="20"/>
                <w:szCs w:val="20"/>
              </w:rPr>
              <w:t>0.37</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
                <w:bCs/>
                <w:sz w:val="20"/>
                <w:szCs w:val="20"/>
              </w:rPr>
            </w:pPr>
            <w:r w:rsidRPr="003259A8">
              <w:rPr>
                <w:b/>
                <w:bCs/>
                <w:sz w:val="20"/>
                <w:szCs w:val="20"/>
              </w:rPr>
              <w:t>-1.64</w:t>
            </w:r>
          </w:p>
        </w:tc>
      </w:tr>
      <w:tr w:rsidR="003259A8" w:rsidRPr="00BA7A08" w:rsidTr="003259A8">
        <w:trPr>
          <w:trHeight w:val="346"/>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lang w:val="es-MX" w:eastAsia="es-MX"/>
              </w:rPr>
            </w:pPr>
            <w:r w:rsidRPr="003259A8">
              <w:rPr>
                <w:sz w:val="20"/>
                <w:szCs w:val="20"/>
              </w:rPr>
              <w:t>Larga distancia nacional</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0.61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-100.00</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-100.61</w:t>
            </w:r>
          </w:p>
        </w:tc>
      </w:tr>
      <w:tr w:rsidR="003259A8" w:rsidRPr="00BA7A08" w:rsidTr="003259A8">
        <w:trPr>
          <w:trHeight w:val="318"/>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Gas doméstico natural</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13.52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-8.91</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-22.43</w:t>
            </w:r>
          </w:p>
        </w:tc>
      </w:tr>
      <w:tr w:rsidR="003259A8" w:rsidRPr="00BA7A08" w:rsidTr="003259A8">
        <w:trPr>
          <w:trHeight w:val="304"/>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Metro o transporte eléctrico</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15.45</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0.00</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-15.45</w:t>
            </w:r>
          </w:p>
        </w:tc>
      </w:tr>
      <w:tr w:rsidR="003259A8" w:rsidRPr="00BA7A08" w:rsidTr="003259A8">
        <w:trPr>
          <w:trHeight w:val="319"/>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Refrescos envasados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14.69</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1.66</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-13.03</w:t>
            </w:r>
          </w:p>
        </w:tc>
      </w:tr>
      <w:tr w:rsidR="003259A8" w:rsidRPr="00BA7A08" w:rsidTr="003259A8">
        <w:trPr>
          <w:trHeight w:val="80"/>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Azúcar</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4.44</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-2.83</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-7.27</w:t>
            </w:r>
          </w:p>
        </w:tc>
      </w:tr>
      <w:tr w:rsidR="003259A8" w:rsidRPr="00BA7A08" w:rsidTr="003259A8">
        <w:trPr>
          <w:trHeight w:val="346"/>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Galletas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5.30</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0.54</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-4.76</w:t>
            </w:r>
          </w:p>
        </w:tc>
      </w:tr>
      <w:tr w:rsidR="003259A8" w:rsidRPr="00BA7A08" w:rsidTr="003259A8">
        <w:trPr>
          <w:trHeight w:val="290"/>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Tostadas</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4.52</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-0.14</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-4.66</w:t>
            </w:r>
          </w:p>
        </w:tc>
      </w:tr>
      <w:tr w:rsidR="003259A8" w:rsidRPr="00BA7A08" w:rsidTr="003259A8">
        <w:trPr>
          <w:trHeight w:val="332"/>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Servicio telefónico local fijo</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-0.01</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-4.44</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-4.43</w:t>
            </w:r>
          </w:p>
        </w:tc>
      </w:tr>
      <w:tr w:rsidR="003259A8" w:rsidRPr="00BA7A08" w:rsidTr="003259A8">
        <w:trPr>
          <w:trHeight w:val="291"/>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Electricidad</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1.98</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-2.41</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-4.39</w:t>
            </w:r>
          </w:p>
        </w:tc>
      </w:tr>
      <w:tr w:rsidR="003259A8" w:rsidRPr="00BA7A08" w:rsidTr="003259A8">
        <w:trPr>
          <w:trHeight w:val="332"/>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256"/>
              <w:rPr>
                <w:sz w:val="20"/>
                <w:szCs w:val="20"/>
              </w:rPr>
            </w:pPr>
            <w:r w:rsidRPr="003259A8">
              <w:rPr>
                <w:sz w:val="20"/>
                <w:szCs w:val="20"/>
              </w:rPr>
              <w:t>Autobús foráneo</w:t>
            </w:r>
          </w:p>
        </w:tc>
        <w:tc>
          <w:tcPr>
            <w:tcW w:w="1143"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4.57</w:t>
            </w:r>
          </w:p>
        </w:tc>
        <w:tc>
          <w:tcPr>
            <w:tcW w:w="1144"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241"/>
              <w:jc w:val="right"/>
              <w:rPr>
                <w:bCs/>
                <w:sz w:val="20"/>
                <w:szCs w:val="20"/>
              </w:rPr>
            </w:pPr>
            <w:r w:rsidRPr="003259A8">
              <w:rPr>
                <w:bCs/>
                <w:sz w:val="20"/>
                <w:szCs w:val="20"/>
              </w:rPr>
              <w:t>1.13</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259A8" w:rsidRPr="003259A8" w:rsidRDefault="003259A8" w:rsidP="003259A8">
            <w:pPr>
              <w:ind w:left="-1009" w:right="689"/>
              <w:jc w:val="right"/>
              <w:rPr>
                <w:bCs/>
                <w:sz w:val="20"/>
                <w:szCs w:val="20"/>
              </w:rPr>
            </w:pPr>
            <w:r w:rsidRPr="003259A8">
              <w:rPr>
                <w:bCs/>
                <w:sz w:val="20"/>
                <w:szCs w:val="20"/>
              </w:rPr>
              <w:t>-3.44</w:t>
            </w:r>
          </w:p>
        </w:tc>
      </w:tr>
      <w:tr w:rsidR="00364D4D" w:rsidRPr="00BA7A08" w:rsidTr="003259A8">
        <w:trPr>
          <w:jc w:val="center"/>
        </w:trPr>
        <w:tc>
          <w:tcPr>
            <w:tcW w:w="8398" w:type="dxa"/>
            <w:gridSpan w:val="4"/>
            <w:tcBorders>
              <w:top w:val="single" w:sz="4" w:space="0" w:color="auto"/>
              <w:left w:val="nil"/>
              <w:bottom w:val="nil"/>
              <w:right w:val="nil"/>
            </w:tcBorders>
          </w:tcPr>
          <w:p w:rsidR="00364D4D" w:rsidRPr="00BA7A08" w:rsidRDefault="00364D4D" w:rsidP="00B17B53">
            <w:pPr>
              <w:spacing w:before="120" w:after="60"/>
              <w:ind w:left="886" w:right="-84" w:hanging="886"/>
              <w:jc w:val="both"/>
              <w:rPr>
                <w:sz w:val="20"/>
                <w:szCs w:val="20"/>
              </w:rPr>
            </w:pPr>
            <w:r w:rsidRPr="00BA7A08">
              <w:rPr>
                <w:sz w:val="20"/>
                <w:szCs w:val="20"/>
              </w:rPr>
              <w:t xml:space="preserve">FUENTE: </w:t>
            </w:r>
            <w:r w:rsidRPr="00342B87">
              <w:rPr>
                <w:sz w:val="20"/>
                <w:szCs w:val="20"/>
              </w:rPr>
              <w:t>Elaborado por la Comisión Nacional de los Salarios Mínimos con información del Instituto Nacional de Estadística y Geografía.</w:t>
            </w:r>
          </w:p>
        </w:tc>
      </w:tr>
    </w:tbl>
    <w:p w:rsidR="00364D4D" w:rsidRDefault="00364D4D" w:rsidP="00364D4D">
      <w:pPr>
        <w:spacing w:line="360" w:lineRule="auto"/>
        <w:ind w:right="20"/>
        <w:jc w:val="both"/>
        <w:rPr>
          <w:sz w:val="26"/>
          <w:szCs w:val="26"/>
        </w:rPr>
      </w:pPr>
    </w:p>
    <w:p w:rsidR="00364D4D" w:rsidRDefault="00364D4D" w:rsidP="00364D4D">
      <w:pPr>
        <w:spacing w:line="360" w:lineRule="auto"/>
        <w:ind w:right="20"/>
        <w:jc w:val="both"/>
        <w:rPr>
          <w:sz w:val="26"/>
          <w:szCs w:val="26"/>
        </w:rPr>
      </w:pPr>
    </w:p>
    <w:p w:rsidR="00364D4D" w:rsidRDefault="00364D4D" w:rsidP="00364D4D">
      <w:pPr>
        <w:rPr>
          <w:sz w:val="26"/>
          <w:szCs w:val="26"/>
        </w:rPr>
      </w:pPr>
      <w:r>
        <w:rPr>
          <w:sz w:val="26"/>
          <w:szCs w:val="26"/>
        </w:rPr>
        <w:br w:type="page"/>
      </w:r>
    </w:p>
    <w:p w:rsidR="00364D4D" w:rsidRPr="00E313B7" w:rsidRDefault="00364D4D" w:rsidP="00364D4D">
      <w:pPr>
        <w:pStyle w:val="Puesto"/>
        <w:spacing w:after="0"/>
        <w:jc w:val="left"/>
        <w:rPr>
          <w:rFonts w:ascii="Times New Roman" w:hAnsi="Times New Roman" w:cs="Times New Roman"/>
          <w:color w:val="0000FF"/>
          <w:sz w:val="26"/>
          <w:szCs w:val="26"/>
        </w:rPr>
      </w:pPr>
      <w:r w:rsidRPr="00E313B7">
        <w:rPr>
          <w:rFonts w:ascii="Times New Roman" w:hAnsi="Times New Roman" w:cs="Times New Roman"/>
          <w:color w:val="0000FF"/>
          <w:sz w:val="26"/>
          <w:szCs w:val="26"/>
        </w:rPr>
        <w:lastRenderedPageBreak/>
        <w:t>Comportamiento acumulado del INPC por rubro de gasto</w:t>
      </w:r>
    </w:p>
    <w:p w:rsidR="00364D4D" w:rsidRDefault="00364D4D" w:rsidP="00364D4D">
      <w:pPr>
        <w:spacing w:line="360" w:lineRule="auto"/>
        <w:ind w:right="28"/>
        <w:jc w:val="both"/>
        <w:rPr>
          <w:sz w:val="26"/>
          <w:szCs w:val="26"/>
        </w:rPr>
      </w:pPr>
    </w:p>
    <w:p w:rsidR="00364D4D" w:rsidRPr="00CF1F4C" w:rsidRDefault="000C4A9F" w:rsidP="00364D4D">
      <w:pPr>
        <w:spacing w:line="360" w:lineRule="auto"/>
        <w:ind w:right="28"/>
        <w:jc w:val="both"/>
        <w:rPr>
          <w:sz w:val="26"/>
          <w:szCs w:val="26"/>
        </w:rPr>
      </w:pPr>
      <w:r>
        <w:rPr>
          <w:sz w:val="26"/>
          <w:szCs w:val="26"/>
        </w:rPr>
        <w:t>Seis</w:t>
      </w:r>
      <w:r w:rsidR="00364D4D" w:rsidRPr="004E033A">
        <w:rPr>
          <w:sz w:val="26"/>
          <w:szCs w:val="26"/>
        </w:rPr>
        <w:t xml:space="preserve"> de los ocho rubros que forman el gasto familiar </w:t>
      </w:r>
      <w:r w:rsidR="00364D4D">
        <w:rPr>
          <w:sz w:val="26"/>
          <w:szCs w:val="26"/>
        </w:rPr>
        <w:t xml:space="preserve">acumularon, de </w:t>
      </w:r>
      <w:r w:rsidR="00364D4D" w:rsidRPr="004E033A">
        <w:rPr>
          <w:sz w:val="26"/>
          <w:szCs w:val="26"/>
        </w:rPr>
        <w:t xml:space="preserve">enero </w:t>
      </w:r>
      <w:r w:rsidR="00364D4D">
        <w:rPr>
          <w:sz w:val="26"/>
          <w:szCs w:val="26"/>
        </w:rPr>
        <w:t>a</w:t>
      </w:r>
      <w:r w:rsidR="00364D4D" w:rsidRPr="004E033A">
        <w:rPr>
          <w:sz w:val="26"/>
          <w:szCs w:val="26"/>
        </w:rPr>
        <w:t xml:space="preserve"> </w:t>
      </w:r>
      <w:r w:rsidR="001244B5">
        <w:rPr>
          <w:sz w:val="26"/>
          <w:szCs w:val="26"/>
        </w:rPr>
        <w:t>febrero</w:t>
      </w:r>
      <w:r w:rsidR="00364D4D" w:rsidRPr="004E033A">
        <w:rPr>
          <w:sz w:val="26"/>
          <w:szCs w:val="26"/>
        </w:rPr>
        <w:t xml:space="preserve"> de </w:t>
      </w:r>
      <w:r w:rsidR="00A209C7">
        <w:rPr>
          <w:sz w:val="26"/>
          <w:szCs w:val="26"/>
        </w:rPr>
        <w:t>2015</w:t>
      </w:r>
      <w:r w:rsidR="00364D4D" w:rsidRPr="004E033A">
        <w:rPr>
          <w:sz w:val="26"/>
          <w:szCs w:val="26"/>
        </w:rPr>
        <w:t xml:space="preserve">, variaciones de precios menores a las mostradas en similar ciclo de un año antes. Sobresalió el rubro de </w:t>
      </w:r>
      <w:r>
        <w:rPr>
          <w:sz w:val="26"/>
          <w:szCs w:val="26"/>
        </w:rPr>
        <w:t>Transporte</w:t>
      </w:r>
      <w:r w:rsidR="00364D4D" w:rsidRPr="004E033A">
        <w:rPr>
          <w:sz w:val="26"/>
          <w:szCs w:val="26"/>
        </w:rPr>
        <w:t xml:space="preserve"> al observar un</w:t>
      </w:r>
      <w:r w:rsidR="00364D4D">
        <w:rPr>
          <w:sz w:val="26"/>
          <w:szCs w:val="26"/>
        </w:rPr>
        <w:t>a variación</w:t>
      </w:r>
      <w:r w:rsidR="00364D4D" w:rsidRPr="004E033A">
        <w:rPr>
          <w:sz w:val="26"/>
          <w:szCs w:val="26"/>
        </w:rPr>
        <w:t xml:space="preserve"> de </w:t>
      </w:r>
      <w:r>
        <w:rPr>
          <w:sz w:val="26"/>
          <w:szCs w:val="26"/>
        </w:rPr>
        <w:t>0.10</w:t>
      </w:r>
      <w:r w:rsidR="00364D4D" w:rsidRPr="004E033A">
        <w:rPr>
          <w:sz w:val="26"/>
          <w:szCs w:val="26"/>
        </w:rPr>
        <w:t xml:space="preserve">%, inferior en </w:t>
      </w:r>
      <w:r>
        <w:rPr>
          <w:sz w:val="26"/>
          <w:szCs w:val="26"/>
        </w:rPr>
        <w:t>1.63</w:t>
      </w:r>
      <w:r w:rsidR="00364D4D" w:rsidRPr="004E033A">
        <w:rPr>
          <w:sz w:val="26"/>
          <w:szCs w:val="26"/>
        </w:rPr>
        <w:t xml:space="preserve"> puntos porcentuales al porcentaje registrado en </w:t>
      </w:r>
      <w:r w:rsidR="00A209C7">
        <w:rPr>
          <w:sz w:val="26"/>
          <w:szCs w:val="26"/>
        </w:rPr>
        <w:t>2014</w:t>
      </w:r>
      <w:r w:rsidR="00364D4D" w:rsidRPr="004E033A">
        <w:rPr>
          <w:sz w:val="26"/>
          <w:szCs w:val="26"/>
        </w:rPr>
        <w:t xml:space="preserve"> (</w:t>
      </w:r>
      <w:r>
        <w:rPr>
          <w:sz w:val="26"/>
          <w:szCs w:val="26"/>
        </w:rPr>
        <w:t>1.73</w:t>
      </w:r>
      <w:r w:rsidR="00364D4D" w:rsidRPr="004E033A">
        <w:rPr>
          <w:sz w:val="26"/>
          <w:szCs w:val="26"/>
        </w:rPr>
        <w:t xml:space="preserve">%); los conceptos que dentro de este rubro </w:t>
      </w:r>
      <w:r w:rsidR="00364D4D">
        <w:rPr>
          <w:sz w:val="26"/>
          <w:szCs w:val="26"/>
        </w:rPr>
        <w:t>evidenciaron</w:t>
      </w:r>
      <w:r w:rsidR="00364D4D" w:rsidRPr="004E033A">
        <w:rPr>
          <w:sz w:val="26"/>
          <w:szCs w:val="26"/>
        </w:rPr>
        <w:t xml:space="preserve"> las bajas más notables en el ritmo de crecimiento de los precios, en términos de puntos porcentuales, fueron</w:t>
      </w:r>
      <w:r w:rsidR="00364D4D">
        <w:rPr>
          <w:sz w:val="26"/>
          <w:szCs w:val="26"/>
        </w:rPr>
        <w:t xml:space="preserve"> </w:t>
      </w:r>
      <w:r>
        <w:rPr>
          <w:sz w:val="26"/>
          <w:szCs w:val="26"/>
        </w:rPr>
        <w:t>metro o transporte eléctrico</w:t>
      </w:r>
      <w:r w:rsidR="00364D4D" w:rsidRPr="004E033A">
        <w:rPr>
          <w:sz w:val="26"/>
          <w:szCs w:val="26"/>
        </w:rPr>
        <w:t xml:space="preserve"> (</w:t>
      </w:r>
      <w:r>
        <w:rPr>
          <w:sz w:val="26"/>
          <w:szCs w:val="26"/>
        </w:rPr>
        <w:t>15.45</w:t>
      </w:r>
      <w:r w:rsidR="00364D4D" w:rsidRPr="004E033A">
        <w:rPr>
          <w:sz w:val="26"/>
          <w:szCs w:val="26"/>
        </w:rPr>
        <w:t xml:space="preserve">), </w:t>
      </w:r>
      <w:r>
        <w:rPr>
          <w:sz w:val="26"/>
          <w:szCs w:val="26"/>
        </w:rPr>
        <w:t>transporte aéreo</w:t>
      </w:r>
      <w:r w:rsidR="00364D4D" w:rsidRPr="004E033A">
        <w:rPr>
          <w:sz w:val="26"/>
          <w:szCs w:val="26"/>
        </w:rPr>
        <w:t xml:space="preserve"> (</w:t>
      </w:r>
      <w:r>
        <w:rPr>
          <w:sz w:val="26"/>
          <w:szCs w:val="26"/>
        </w:rPr>
        <w:t>7.58</w:t>
      </w:r>
      <w:r w:rsidR="00364D4D" w:rsidRPr="004E033A">
        <w:rPr>
          <w:sz w:val="26"/>
          <w:szCs w:val="26"/>
        </w:rPr>
        <w:t xml:space="preserve">) y </w:t>
      </w:r>
      <w:r>
        <w:rPr>
          <w:sz w:val="26"/>
          <w:szCs w:val="26"/>
        </w:rPr>
        <w:t>trámites vehiculares</w:t>
      </w:r>
      <w:r w:rsidR="00364D4D" w:rsidRPr="004E033A">
        <w:rPr>
          <w:sz w:val="26"/>
          <w:szCs w:val="26"/>
        </w:rPr>
        <w:t xml:space="preserve"> (</w:t>
      </w:r>
      <w:r>
        <w:rPr>
          <w:sz w:val="26"/>
          <w:szCs w:val="26"/>
        </w:rPr>
        <w:t>3.63</w:t>
      </w:r>
      <w:r w:rsidR="00364D4D" w:rsidRPr="004E033A">
        <w:rPr>
          <w:sz w:val="26"/>
          <w:szCs w:val="26"/>
        </w:rPr>
        <w:t>).</w:t>
      </w:r>
    </w:p>
    <w:p w:rsidR="00364D4D" w:rsidRPr="00FC4CE0" w:rsidRDefault="00364D4D" w:rsidP="00364D4D">
      <w:pPr>
        <w:spacing w:line="360" w:lineRule="auto"/>
        <w:ind w:right="28"/>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9056" w:type="dxa"/>
          </w:tcPr>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rPr>
              <w:t>Í</w:t>
            </w:r>
            <w:r>
              <w:rPr>
                <w:b/>
                <w:bCs/>
                <w:color w:val="000000"/>
                <w:kern w:val="24"/>
                <w:sz w:val="22"/>
                <w:szCs w:val="22"/>
              </w:rPr>
              <w:t xml:space="preserve">NDICE NACIONAL DE PRECIOS AL </w:t>
            </w:r>
            <w:r w:rsidRPr="008C1B66">
              <w:rPr>
                <w:b/>
                <w:bCs/>
                <w:color w:val="000000"/>
                <w:kern w:val="24"/>
                <w:sz w:val="22"/>
                <w:szCs w:val="22"/>
              </w:rPr>
              <w:t>CONSUMIDOR</w:t>
            </w:r>
          </w:p>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rPr>
              <w:t>RUBRO DE GASTO</w:t>
            </w:r>
          </w:p>
          <w:p w:rsidR="00364D4D" w:rsidRPr="00E10A28" w:rsidRDefault="00364D4D" w:rsidP="00B17B53">
            <w:pPr>
              <w:pStyle w:val="NormalWeb"/>
              <w:spacing w:before="0" w:beforeAutospacing="0" w:after="0" w:afterAutospacing="0"/>
              <w:jc w:val="center"/>
              <w:rPr>
                <w:b/>
                <w:sz w:val="22"/>
                <w:szCs w:val="22"/>
              </w:rPr>
            </w:pPr>
            <w:r>
              <w:rPr>
                <w:b/>
                <w:bCs/>
                <w:color w:val="000000"/>
                <w:kern w:val="24"/>
                <w:sz w:val="22"/>
                <w:szCs w:val="22"/>
                <w:lang w:val="es-ES_tradnl"/>
              </w:rPr>
              <w:t xml:space="preserve">- Variaciones acumuladas </w:t>
            </w:r>
            <w:r w:rsidRPr="00E10A28">
              <w:rPr>
                <w:b/>
                <w:bCs/>
                <w:color w:val="000000"/>
                <w:kern w:val="24"/>
                <w:sz w:val="22"/>
                <w:szCs w:val="22"/>
                <w:lang w:val="es-ES_tradnl"/>
              </w:rPr>
              <w:t>-</w:t>
            </w:r>
          </w:p>
          <w:p w:rsidR="00364D4D" w:rsidRDefault="00364D4D"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 xml:space="preserve">Enero - </w:t>
            </w:r>
            <w:r w:rsidR="001244B5">
              <w:rPr>
                <w:b/>
                <w:bCs/>
                <w:color w:val="000000"/>
                <w:kern w:val="24"/>
                <w:sz w:val="22"/>
                <w:szCs w:val="22"/>
                <w:lang w:val="es-MX"/>
              </w:rPr>
              <w:t>febrero</w:t>
            </w:r>
          </w:p>
          <w:p w:rsidR="00364D4D" w:rsidRPr="0085281F"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9056" w:type="dxa"/>
          </w:tcPr>
          <w:p w:rsidR="00364D4D" w:rsidRDefault="00364D4D" w:rsidP="00B17B53">
            <w:pPr>
              <w:spacing w:line="360" w:lineRule="auto"/>
              <w:ind w:right="28"/>
              <w:jc w:val="center"/>
              <w:rPr>
                <w:sz w:val="16"/>
                <w:szCs w:val="16"/>
              </w:rPr>
            </w:pPr>
            <w:r w:rsidRPr="00814830">
              <w:rPr>
                <w:noProof/>
                <w:sz w:val="20"/>
                <w:szCs w:val="20"/>
                <w:lang w:val="es-MX" w:eastAsia="es-MX"/>
              </w:rPr>
              <w:drawing>
                <wp:inline distT="0" distB="0" distL="0" distR="0" wp14:anchorId="4C5B0576" wp14:editId="5AED6971">
                  <wp:extent cx="5512279" cy="3398520"/>
                  <wp:effectExtent l="0" t="0" r="0" b="0"/>
                  <wp:docPr id="60" name="Gráfico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364D4D" w:rsidTr="00B17B53">
        <w:tc>
          <w:tcPr>
            <w:tcW w:w="9056" w:type="dxa"/>
          </w:tcPr>
          <w:p w:rsidR="00364D4D" w:rsidRPr="00457F1A" w:rsidRDefault="00364D4D" w:rsidP="00B17B53">
            <w:pPr>
              <w:pStyle w:val="NormalWeb"/>
              <w:spacing w:before="0" w:beforeAutospacing="0" w:after="0" w:afterAutospacing="0"/>
              <w:ind w:left="1078" w:right="-119" w:hanging="910"/>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p w:rsidR="00364D4D" w:rsidRPr="00890B5F" w:rsidRDefault="00364D4D" w:rsidP="00B17B53"/>
        </w:tc>
      </w:tr>
    </w:tbl>
    <w:p w:rsidR="00364D4D" w:rsidRDefault="00364D4D" w:rsidP="00364D4D"/>
    <w:p w:rsidR="00364D4D" w:rsidRPr="00E313B7" w:rsidRDefault="00364D4D" w:rsidP="00364D4D">
      <w:pPr>
        <w:pStyle w:val="Ttulo1"/>
        <w:jc w:val="left"/>
        <w:rPr>
          <w:color w:val="0000FF"/>
          <w:sz w:val="26"/>
          <w:szCs w:val="26"/>
        </w:rPr>
      </w:pPr>
      <w:r>
        <w:br w:type="column"/>
      </w:r>
      <w:r w:rsidRPr="00E313B7">
        <w:rPr>
          <w:color w:val="0000FF"/>
          <w:sz w:val="26"/>
          <w:szCs w:val="26"/>
        </w:rPr>
        <w:lastRenderedPageBreak/>
        <w:t>Comportamiento interanual del INPC por rubro de gasto</w:t>
      </w:r>
    </w:p>
    <w:p w:rsidR="00364D4D" w:rsidRPr="007E52AC" w:rsidRDefault="00364D4D" w:rsidP="00364D4D">
      <w:pPr>
        <w:spacing w:line="360" w:lineRule="auto"/>
        <w:ind w:right="23"/>
        <w:jc w:val="both"/>
        <w:rPr>
          <w:sz w:val="18"/>
          <w:szCs w:val="18"/>
        </w:rPr>
      </w:pPr>
    </w:p>
    <w:p w:rsidR="00364D4D" w:rsidRPr="00745035" w:rsidRDefault="00364D4D" w:rsidP="00364D4D">
      <w:pPr>
        <w:spacing w:line="360" w:lineRule="auto"/>
        <w:ind w:right="23"/>
        <w:jc w:val="both"/>
        <w:rPr>
          <w:sz w:val="16"/>
          <w:szCs w:val="16"/>
        </w:rPr>
      </w:pPr>
      <w:r>
        <w:rPr>
          <w:sz w:val="26"/>
          <w:szCs w:val="26"/>
        </w:rPr>
        <w:t xml:space="preserve">En el período que va de </w:t>
      </w:r>
      <w:r w:rsidR="001244B5">
        <w:rPr>
          <w:sz w:val="26"/>
          <w:szCs w:val="26"/>
        </w:rPr>
        <w:t>febrero</w:t>
      </w:r>
      <w:r w:rsidRPr="00BB43B7">
        <w:rPr>
          <w:sz w:val="26"/>
          <w:szCs w:val="26"/>
        </w:rPr>
        <w:t xml:space="preserve"> </w:t>
      </w:r>
      <w:r w:rsidR="00A209C7">
        <w:rPr>
          <w:sz w:val="26"/>
          <w:szCs w:val="26"/>
        </w:rPr>
        <w:t>2014</w:t>
      </w:r>
      <w:r w:rsidRPr="00225774">
        <w:rPr>
          <w:sz w:val="26"/>
          <w:szCs w:val="26"/>
        </w:rPr>
        <w:t xml:space="preserve"> a </w:t>
      </w:r>
      <w:r w:rsidR="001244B5">
        <w:rPr>
          <w:sz w:val="26"/>
          <w:szCs w:val="26"/>
        </w:rPr>
        <w:t>febrero</w:t>
      </w:r>
      <w:r w:rsidRPr="00BB43B7">
        <w:rPr>
          <w:sz w:val="26"/>
          <w:szCs w:val="26"/>
        </w:rPr>
        <w:t xml:space="preserve"> </w:t>
      </w:r>
      <w:r w:rsidR="00A209C7">
        <w:rPr>
          <w:sz w:val="26"/>
          <w:szCs w:val="26"/>
        </w:rPr>
        <w:t>2015</w:t>
      </w:r>
      <w:r>
        <w:rPr>
          <w:sz w:val="26"/>
          <w:szCs w:val="26"/>
        </w:rPr>
        <w:t xml:space="preserve">, </w:t>
      </w:r>
      <w:r w:rsidR="00235A48">
        <w:rPr>
          <w:sz w:val="26"/>
          <w:szCs w:val="26"/>
        </w:rPr>
        <w:t>tres</w:t>
      </w:r>
      <w:r w:rsidRPr="00225774">
        <w:rPr>
          <w:sz w:val="26"/>
          <w:szCs w:val="26"/>
        </w:rPr>
        <w:t xml:space="preserve"> </w:t>
      </w:r>
      <w:r>
        <w:rPr>
          <w:sz w:val="26"/>
          <w:szCs w:val="26"/>
        </w:rPr>
        <w:t>de</w:t>
      </w:r>
      <w:r w:rsidRPr="00225774">
        <w:rPr>
          <w:sz w:val="26"/>
          <w:szCs w:val="26"/>
        </w:rPr>
        <w:t xml:space="preserve"> los ocho rubros que </w:t>
      </w:r>
      <w:r>
        <w:rPr>
          <w:sz w:val="26"/>
          <w:szCs w:val="26"/>
        </w:rPr>
        <w:t>componen</w:t>
      </w:r>
      <w:r w:rsidRPr="00225774">
        <w:rPr>
          <w:sz w:val="26"/>
          <w:szCs w:val="26"/>
        </w:rPr>
        <w:t xml:space="preserve"> la estructura del gasto famil</w:t>
      </w:r>
      <w:r>
        <w:rPr>
          <w:sz w:val="26"/>
          <w:szCs w:val="26"/>
        </w:rPr>
        <w:t>iar</w:t>
      </w:r>
      <w:r w:rsidRPr="00225774">
        <w:rPr>
          <w:sz w:val="26"/>
          <w:szCs w:val="26"/>
        </w:rPr>
        <w:t xml:space="preserve"> </w:t>
      </w:r>
      <w:r>
        <w:rPr>
          <w:sz w:val="26"/>
          <w:szCs w:val="26"/>
        </w:rPr>
        <w:t>observaron</w:t>
      </w:r>
      <w:r w:rsidRPr="00225774">
        <w:rPr>
          <w:sz w:val="26"/>
          <w:szCs w:val="26"/>
        </w:rPr>
        <w:t xml:space="preserve"> variaciones de precios </w:t>
      </w:r>
      <w:r>
        <w:rPr>
          <w:sz w:val="26"/>
          <w:szCs w:val="26"/>
        </w:rPr>
        <w:t>inferiores</w:t>
      </w:r>
      <w:r w:rsidRPr="00225774">
        <w:rPr>
          <w:sz w:val="26"/>
          <w:szCs w:val="26"/>
        </w:rPr>
        <w:t xml:space="preserve"> a las </w:t>
      </w:r>
      <w:r>
        <w:rPr>
          <w:sz w:val="26"/>
          <w:szCs w:val="26"/>
        </w:rPr>
        <w:t xml:space="preserve">registradas un año antes. El </w:t>
      </w:r>
      <w:r w:rsidRPr="00225774">
        <w:rPr>
          <w:sz w:val="26"/>
          <w:szCs w:val="26"/>
        </w:rPr>
        <w:t xml:space="preserve">rubro de </w:t>
      </w:r>
      <w:r w:rsidR="00235A48">
        <w:rPr>
          <w:sz w:val="26"/>
          <w:szCs w:val="26"/>
        </w:rPr>
        <w:t>Transporte</w:t>
      </w:r>
      <w:r w:rsidRPr="00225774">
        <w:rPr>
          <w:sz w:val="26"/>
          <w:szCs w:val="26"/>
        </w:rPr>
        <w:t xml:space="preserve"> </w:t>
      </w:r>
      <w:r>
        <w:rPr>
          <w:sz w:val="26"/>
          <w:szCs w:val="26"/>
        </w:rPr>
        <w:t>destacó por mostrar</w:t>
      </w:r>
      <w:r w:rsidRPr="00225774">
        <w:rPr>
          <w:sz w:val="26"/>
          <w:szCs w:val="26"/>
        </w:rPr>
        <w:t xml:space="preserve"> </w:t>
      </w:r>
      <w:r>
        <w:rPr>
          <w:sz w:val="26"/>
          <w:szCs w:val="26"/>
        </w:rPr>
        <w:t>la mayor diferencia a la baja en puntos porcentuales</w:t>
      </w:r>
      <w:r w:rsidRPr="00225774">
        <w:rPr>
          <w:sz w:val="26"/>
          <w:szCs w:val="26"/>
        </w:rPr>
        <w:t xml:space="preserve"> (</w:t>
      </w:r>
      <w:r w:rsidR="00235A48">
        <w:rPr>
          <w:sz w:val="26"/>
          <w:szCs w:val="26"/>
        </w:rPr>
        <w:t>5.28</w:t>
      </w:r>
      <w:r w:rsidRPr="00225774">
        <w:rPr>
          <w:sz w:val="26"/>
          <w:szCs w:val="26"/>
        </w:rPr>
        <w:t xml:space="preserve">) </w:t>
      </w:r>
      <w:r>
        <w:rPr>
          <w:sz w:val="26"/>
          <w:szCs w:val="26"/>
        </w:rPr>
        <w:t xml:space="preserve">al registrar una tasa de </w:t>
      </w:r>
      <w:r w:rsidR="00235A48">
        <w:rPr>
          <w:sz w:val="26"/>
          <w:szCs w:val="26"/>
        </w:rPr>
        <w:t>2.78</w:t>
      </w:r>
      <w:r>
        <w:rPr>
          <w:sz w:val="26"/>
          <w:szCs w:val="26"/>
        </w:rPr>
        <w:t>%</w:t>
      </w:r>
      <w:r w:rsidRPr="00225774">
        <w:rPr>
          <w:sz w:val="26"/>
          <w:szCs w:val="26"/>
        </w:rPr>
        <w:t xml:space="preserve">. En </w:t>
      </w:r>
      <w:r>
        <w:rPr>
          <w:sz w:val="26"/>
          <w:szCs w:val="26"/>
        </w:rPr>
        <w:t>particular</w:t>
      </w:r>
      <w:r w:rsidRPr="00225774">
        <w:rPr>
          <w:sz w:val="26"/>
          <w:szCs w:val="26"/>
        </w:rPr>
        <w:t xml:space="preserve">, dentro de éste, algunos de los conceptos que </w:t>
      </w:r>
      <w:r>
        <w:rPr>
          <w:sz w:val="26"/>
          <w:szCs w:val="26"/>
        </w:rPr>
        <w:t>fueron punteros</w:t>
      </w:r>
      <w:r w:rsidRPr="00225774">
        <w:rPr>
          <w:sz w:val="26"/>
          <w:szCs w:val="26"/>
        </w:rPr>
        <w:t xml:space="preserve"> por </w:t>
      </w:r>
      <w:r>
        <w:rPr>
          <w:sz w:val="26"/>
          <w:szCs w:val="26"/>
        </w:rPr>
        <w:t>observar</w:t>
      </w:r>
      <w:r w:rsidRPr="00225774">
        <w:rPr>
          <w:sz w:val="26"/>
          <w:szCs w:val="26"/>
        </w:rPr>
        <w:t xml:space="preserve"> los mayores decrementos en</w:t>
      </w:r>
      <w:r>
        <w:rPr>
          <w:sz w:val="26"/>
          <w:szCs w:val="26"/>
        </w:rPr>
        <w:t xml:space="preserve"> el ritmo de variación de los precios, en</w:t>
      </w:r>
      <w:r w:rsidRPr="00225774">
        <w:rPr>
          <w:sz w:val="26"/>
          <w:szCs w:val="26"/>
        </w:rPr>
        <w:t xml:space="preserve"> términos de puntos porcentuales</w:t>
      </w:r>
      <w:r>
        <w:rPr>
          <w:sz w:val="26"/>
          <w:szCs w:val="26"/>
        </w:rPr>
        <w:t xml:space="preserve">, fueron </w:t>
      </w:r>
      <w:r w:rsidR="00235A48">
        <w:rPr>
          <w:sz w:val="26"/>
          <w:szCs w:val="26"/>
        </w:rPr>
        <w:t>metro o transporte eléctrico</w:t>
      </w:r>
      <w:r w:rsidRPr="00225774">
        <w:rPr>
          <w:sz w:val="26"/>
          <w:szCs w:val="26"/>
        </w:rPr>
        <w:t xml:space="preserve"> (</w:t>
      </w:r>
      <w:r w:rsidR="00235A48">
        <w:rPr>
          <w:sz w:val="26"/>
          <w:szCs w:val="26"/>
        </w:rPr>
        <w:t>51.46</w:t>
      </w:r>
      <w:r w:rsidRPr="00225774">
        <w:rPr>
          <w:sz w:val="26"/>
          <w:szCs w:val="26"/>
        </w:rPr>
        <w:t xml:space="preserve">), </w:t>
      </w:r>
      <w:r w:rsidR="00235A48">
        <w:rPr>
          <w:sz w:val="26"/>
          <w:szCs w:val="26"/>
        </w:rPr>
        <w:t xml:space="preserve">trámites vehiculares </w:t>
      </w:r>
      <w:r w:rsidRPr="00225774">
        <w:rPr>
          <w:sz w:val="26"/>
          <w:szCs w:val="26"/>
        </w:rPr>
        <w:t>(</w:t>
      </w:r>
      <w:r w:rsidR="00235A48">
        <w:rPr>
          <w:sz w:val="26"/>
          <w:szCs w:val="26"/>
        </w:rPr>
        <w:t>46.40</w:t>
      </w:r>
      <w:r w:rsidRPr="00225774">
        <w:rPr>
          <w:sz w:val="26"/>
          <w:szCs w:val="26"/>
        </w:rPr>
        <w:t xml:space="preserve">), </w:t>
      </w:r>
      <w:r w:rsidR="00235A48">
        <w:rPr>
          <w:sz w:val="26"/>
          <w:szCs w:val="26"/>
        </w:rPr>
        <w:t>colectivo</w:t>
      </w:r>
      <w:r w:rsidRPr="00225774">
        <w:rPr>
          <w:sz w:val="26"/>
          <w:szCs w:val="26"/>
        </w:rPr>
        <w:t xml:space="preserve"> (</w:t>
      </w:r>
      <w:r w:rsidR="00235A48">
        <w:rPr>
          <w:sz w:val="26"/>
          <w:szCs w:val="26"/>
        </w:rPr>
        <w:t>10.87</w:t>
      </w:r>
      <w:r w:rsidRPr="00225774">
        <w:rPr>
          <w:sz w:val="26"/>
          <w:szCs w:val="26"/>
        </w:rPr>
        <w:t xml:space="preserve">), </w:t>
      </w:r>
      <w:r w:rsidR="00235A48">
        <w:rPr>
          <w:sz w:val="26"/>
          <w:szCs w:val="26"/>
        </w:rPr>
        <w:t>gasolina de bajo octanaje</w:t>
      </w:r>
      <w:r w:rsidRPr="00225774">
        <w:rPr>
          <w:sz w:val="26"/>
          <w:szCs w:val="26"/>
        </w:rPr>
        <w:t xml:space="preserve"> (</w:t>
      </w:r>
      <w:r w:rsidR="00235A48">
        <w:rPr>
          <w:sz w:val="26"/>
          <w:szCs w:val="26"/>
        </w:rPr>
        <w:t>7.75</w:t>
      </w:r>
      <w:r w:rsidRPr="00225774">
        <w:rPr>
          <w:sz w:val="26"/>
          <w:szCs w:val="26"/>
        </w:rPr>
        <w:t xml:space="preserve">) y </w:t>
      </w:r>
      <w:r w:rsidR="00235A48">
        <w:rPr>
          <w:sz w:val="26"/>
          <w:szCs w:val="26"/>
        </w:rPr>
        <w:t>autobús urbano</w:t>
      </w:r>
      <w:r w:rsidRPr="00225774">
        <w:rPr>
          <w:sz w:val="26"/>
          <w:szCs w:val="26"/>
        </w:rPr>
        <w:t xml:space="preserve"> (</w:t>
      </w:r>
      <w:r w:rsidR="00235A48">
        <w:rPr>
          <w:sz w:val="26"/>
          <w:szCs w:val="26"/>
        </w:rPr>
        <w:t>6.60</w:t>
      </w:r>
      <w:r w:rsidRPr="00225774">
        <w:rPr>
          <w:sz w:val="26"/>
          <w:szCs w:val="26"/>
        </w:rPr>
        <w:t>).</w:t>
      </w:r>
    </w:p>
    <w:p w:rsidR="00364D4D" w:rsidRPr="006A027D" w:rsidRDefault="00364D4D" w:rsidP="00364D4D">
      <w:pPr>
        <w:spacing w:line="360" w:lineRule="auto"/>
        <w:ind w:right="20"/>
        <w:jc w:val="both"/>
        <w:rPr>
          <w:sz w:val="16"/>
          <w:szCs w:val="1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8C1B66" w:rsidRDefault="00364D4D" w:rsidP="00B17B53">
            <w:pPr>
              <w:pStyle w:val="NormalWeb"/>
              <w:spacing w:before="0" w:beforeAutospacing="0" w:after="0" w:afterAutospacing="0"/>
              <w:jc w:val="center"/>
              <w:rPr>
                <w:b/>
                <w:bCs/>
                <w:color w:val="000000"/>
                <w:kern w:val="24"/>
                <w:sz w:val="22"/>
                <w:szCs w:val="22"/>
              </w:rPr>
            </w:pPr>
            <w:r w:rsidRPr="008C1B66">
              <w:rPr>
                <w:b/>
                <w:bCs/>
                <w:color w:val="000000"/>
                <w:kern w:val="24"/>
                <w:sz w:val="22"/>
                <w:szCs w:val="22"/>
              </w:rPr>
              <w:t>Í</w:t>
            </w:r>
            <w:r>
              <w:rPr>
                <w:b/>
                <w:bCs/>
                <w:color w:val="000000"/>
                <w:kern w:val="24"/>
                <w:sz w:val="22"/>
                <w:szCs w:val="22"/>
              </w:rPr>
              <w:t xml:space="preserve">NDICE NACIONAL DE PRECIOS AL </w:t>
            </w:r>
            <w:r w:rsidRPr="008C1B66">
              <w:rPr>
                <w:b/>
                <w:bCs/>
                <w:color w:val="000000"/>
                <w:kern w:val="24"/>
                <w:sz w:val="22"/>
                <w:szCs w:val="22"/>
              </w:rPr>
              <w:t>CONSUMIDOR</w:t>
            </w:r>
          </w:p>
          <w:p w:rsidR="00364D4D" w:rsidRPr="008C1B66" w:rsidRDefault="00364D4D" w:rsidP="00B17B53">
            <w:pPr>
              <w:pStyle w:val="NormalWeb"/>
              <w:spacing w:before="0" w:beforeAutospacing="0" w:after="0" w:afterAutospacing="0"/>
              <w:jc w:val="center"/>
              <w:rPr>
                <w:b/>
                <w:bCs/>
                <w:color w:val="000000"/>
                <w:kern w:val="24"/>
                <w:sz w:val="22"/>
                <w:szCs w:val="22"/>
              </w:rPr>
            </w:pPr>
            <w:r w:rsidRPr="008C1B66">
              <w:rPr>
                <w:b/>
                <w:bCs/>
                <w:color w:val="000000"/>
                <w:kern w:val="24"/>
                <w:sz w:val="22"/>
                <w:szCs w:val="22"/>
              </w:rPr>
              <w:t>RUBRO DE GASTO</w:t>
            </w:r>
          </w:p>
          <w:p w:rsidR="00364D4D" w:rsidRPr="0082315E" w:rsidRDefault="00364D4D" w:rsidP="00B17B53">
            <w:pPr>
              <w:pStyle w:val="NormalWeb"/>
              <w:spacing w:before="0" w:beforeAutospacing="0" w:after="0" w:afterAutospacing="0"/>
              <w:jc w:val="center"/>
              <w:rPr>
                <w:b/>
                <w:bCs/>
                <w:color w:val="000000"/>
                <w:kern w:val="24"/>
                <w:sz w:val="22"/>
                <w:szCs w:val="22"/>
              </w:rPr>
            </w:pPr>
            <w:r w:rsidRPr="0082315E">
              <w:rPr>
                <w:b/>
                <w:bCs/>
                <w:color w:val="000000"/>
                <w:kern w:val="24"/>
                <w:sz w:val="22"/>
                <w:szCs w:val="22"/>
              </w:rPr>
              <w:t>- Variaciones con respecto al mismo mes del año anterior -</w:t>
            </w:r>
          </w:p>
          <w:p w:rsidR="00364D4D" w:rsidRDefault="001244B5" w:rsidP="00B17B53">
            <w:pPr>
              <w:pStyle w:val="NormalWeb"/>
              <w:spacing w:before="0" w:beforeAutospacing="0" w:after="0" w:afterAutospacing="0"/>
              <w:jc w:val="center"/>
              <w:rPr>
                <w:b/>
                <w:bCs/>
                <w:color w:val="000000"/>
                <w:kern w:val="24"/>
                <w:sz w:val="22"/>
                <w:szCs w:val="22"/>
              </w:rPr>
            </w:pPr>
            <w:r>
              <w:rPr>
                <w:b/>
                <w:bCs/>
                <w:color w:val="000000"/>
                <w:kern w:val="24"/>
                <w:sz w:val="22"/>
                <w:szCs w:val="22"/>
              </w:rPr>
              <w:t>Febrero</w:t>
            </w:r>
          </w:p>
          <w:p w:rsidR="00364D4D" w:rsidRPr="00650C19" w:rsidRDefault="00364D4D" w:rsidP="00B17B53">
            <w:pPr>
              <w:pStyle w:val="NormalWeb"/>
              <w:spacing w:before="0" w:beforeAutospacing="0" w:after="0" w:afterAutospacing="0"/>
              <w:jc w:val="center"/>
              <w:rPr>
                <w:b/>
                <w:bCs/>
                <w:color w:val="000000"/>
                <w:kern w:val="24"/>
                <w:sz w:val="22"/>
                <w:szCs w:val="22"/>
              </w:rPr>
            </w:pPr>
            <w:r>
              <w:rPr>
                <w:b/>
                <w:sz w:val="22"/>
                <w:szCs w:val="22"/>
              </w:rPr>
              <w:t>- Por ciento -</w:t>
            </w:r>
          </w:p>
        </w:tc>
      </w:tr>
      <w:tr w:rsidR="00364D4D" w:rsidTr="00B17B53">
        <w:tc>
          <w:tcPr>
            <w:tcW w:w="8980" w:type="dxa"/>
          </w:tcPr>
          <w:p w:rsidR="00364D4D" w:rsidRDefault="00364D4D" w:rsidP="00B17B53">
            <w:pPr>
              <w:spacing w:line="360" w:lineRule="auto"/>
            </w:pPr>
            <w:r>
              <w:rPr>
                <w:noProof/>
                <w:sz w:val="26"/>
                <w:szCs w:val="26"/>
                <w:lang w:val="es-MX" w:eastAsia="es-MX"/>
              </w:rPr>
              <w:drawing>
                <wp:inline distT="0" distB="0" distL="0" distR="0" wp14:anchorId="60F2EB44" wp14:editId="62387A06">
                  <wp:extent cx="5608320" cy="3011424"/>
                  <wp:effectExtent l="0" t="19050" r="0" b="0"/>
                  <wp:docPr id="18" name="Objeto 30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364D4D" w:rsidTr="00B17B53">
        <w:tc>
          <w:tcPr>
            <w:tcW w:w="8980" w:type="dxa"/>
          </w:tcPr>
          <w:p w:rsidR="00364D4D" w:rsidRPr="006C4BB6" w:rsidRDefault="00364D4D" w:rsidP="00B17B53">
            <w:pPr>
              <w:pStyle w:val="NormalWeb"/>
              <w:spacing w:before="0" w:beforeAutospacing="0" w:after="0" w:afterAutospacing="0"/>
              <w:ind w:left="1040" w:right="83" w:hanging="886"/>
              <w:jc w:val="both"/>
              <w:rPr>
                <w:color w:val="000000"/>
                <w:kern w:val="24"/>
                <w:sz w:val="20"/>
                <w:szCs w:val="20"/>
              </w:rPr>
            </w:pPr>
            <w:r w:rsidRPr="006861D0">
              <w:rPr>
                <w:color w:val="000000"/>
                <w:kern w:val="24"/>
                <w:sz w:val="20"/>
                <w:szCs w:val="20"/>
              </w:rPr>
              <w:t>FUENTE: Elaborado por la Comisión Nacional de los Salarios Mínimos con información del</w:t>
            </w:r>
            <w:r>
              <w:rPr>
                <w:color w:val="000000"/>
                <w:kern w:val="24"/>
                <w:sz w:val="20"/>
                <w:szCs w:val="20"/>
              </w:rPr>
              <w:t xml:space="preserve"> </w:t>
            </w:r>
            <w:r w:rsidRPr="006861D0">
              <w:rPr>
                <w:color w:val="000000"/>
                <w:kern w:val="24"/>
                <w:sz w:val="20"/>
                <w:szCs w:val="20"/>
              </w:rPr>
              <w:t>Instituto Nacional</w:t>
            </w:r>
            <w:r>
              <w:rPr>
                <w:sz w:val="20"/>
                <w:szCs w:val="20"/>
              </w:rPr>
              <w:t xml:space="preserve"> </w:t>
            </w:r>
            <w:r w:rsidRPr="006861D0">
              <w:rPr>
                <w:color w:val="000000"/>
                <w:kern w:val="24"/>
                <w:sz w:val="20"/>
                <w:szCs w:val="20"/>
              </w:rPr>
              <w:t>de Estadística y Geografía.</w:t>
            </w:r>
          </w:p>
          <w:p w:rsidR="00364D4D" w:rsidRDefault="00364D4D" w:rsidP="00B17B53">
            <w:pPr>
              <w:spacing w:line="360" w:lineRule="auto"/>
            </w:pPr>
          </w:p>
        </w:tc>
      </w:tr>
    </w:tbl>
    <w:p w:rsidR="00364D4D" w:rsidRDefault="00364D4D" w:rsidP="00364D4D">
      <w:pPr>
        <w:spacing w:line="360" w:lineRule="auto"/>
        <w:ind w:right="28"/>
        <w:jc w:val="both"/>
        <w:rPr>
          <w:sz w:val="26"/>
          <w:szCs w:val="26"/>
        </w:rPr>
      </w:pPr>
    </w:p>
    <w:p w:rsidR="00364D4D" w:rsidRPr="00E313B7" w:rsidRDefault="00364D4D" w:rsidP="00364D4D">
      <w:pPr>
        <w:pStyle w:val="Ttulo1"/>
        <w:jc w:val="left"/>
        <w:rPr>
          <w:color w:val="0000FF"/>
          <w:sz w:val="26"/>
          <w:szCs w:val="26"/>
        </w:rPr>
      </w:pPr>
      <w:r>
        <w:br w:type="column"/>
      </w:r>
      <w:r w:rsidRPr="00E313B7">
        <w:rPr>
          <w:color w:val="0000FF"/>
          <w:sz w:val="26"/>
          <w:szCs w:val="26"/>
        </w:rPr>
        <w:lastRenderedPageBreak/>
        <w:t>Principales incidencias de bienes y servicios en la variación mensual</w:t>
      </w:r>
    </w:p>
    <w:p w:rsidR="00364D4D" w:rsidRPr="00BA4529" w:rsidRDefault="00364D4D" w:rsidP="00364D4D">
      <w:pPr>
        <w:ind w:right="14"/>
        <w:jc w:val="both"/>
        <w:rPr>
          <w:b/>
          <w:sz w:val="18"/>
          <w:szCs w:val="26"/>
        </w:rPr>
      </w:pPr>
    </w:p>
    <w:p w:rsidR="00364D4D" w:rsidRDefault="00364D4D" w:rsidP="00364D4D">
      <w:pPr>
        <w:spacing w:line="360" w:lineRule="auto"/>
        <w:ind w:right="11"/>
        <w:jc w:val="both"/>
        <w:rPr>
          <w:sz w:val="26"/>
          <w:szCs w:val="26"/>
        </w:rPr>
      </w:pPr>
      <w:r>
        <w:rPr>
          <w:sz w:val="26"/>
          <w:szCs w:val="26"/>
        </w:rPr>
        <w:t>La</w:t>
      </w:r>
      <w:r w:rsidRPr="00CD20B7">
        <w:rPr>
          <w:sz w:val="26"/>
          <w:szCs w:val="26"/>
        </w:rPr>
        <w:t xml:space="preserve"> inflación </w:t>
      </w:r>
      <w:r>
        <w:rPr>
          <w:sz w:val="26"/>
          <w:szCs w:val="26"/>
        </w:rPr>
        <w:t xml:space="preserve">registró, en </w:t>
      </w:r>
      <w:r w:rsidR="001244B5">
        <w:rPr>
          <w:sz w:val="26"/>
          <w:szCs w:val="26"/>
        </w:rPr>
        <w:t>febrero</w:t>
      </w:r>
      <w:r>
        <w:rPr>
          <w:sz w:val="26"/>
          <w:szCs w:val="26"/>
        </w:rPr>
        <w:t xml:space="preserve"> de </w:t>
      </w:r>
      <w:r w:rsidR="00A209C7">
        <w:rPr>
          <w:sz w:val="26"/>
          <w:szCs w:val="26"/>
        </w:rPr>
        <w:t>2015</w:t>
      </w:r>
      <w:r w:rsidRPr="00CD20B7">
        <w:rPr>
          <w:sz w:val="26"/>
          <w:szCs w:val="26"/>
        </w:rPr>
        <w:t>,</w:t>
      </w:r>
      <w:r>
        <w:rPr>
          <w:sz w:val="26"/>
          <w:szCs w:val="26"/>
        </w:rPr>
        <w:t xml:space="preserve"> una variación </w:t>
      </w:r>
      <w:r w:rsidRPr="00CD20B7">
        <w:rPr>
          <w:sz w:val="26"/>
          <w:szCs w:val="26"/>
        </w:rPr>
        <w:t xml:space="preserve">de </w:t>
      </w:r>
      <w:r w:rsidR="00382600">
        <w:rPr>
          <w:sz w:val="26"/>
          <w:szCs w:val="26"/>
        </w:rPr>
        <w:t>0.19</w:t>
      </w:r>
      <w:r w:rsidRPr="00CD20B7">
        <w:rPr>
          <w:sz w:val="26"/>
          <w:szCs w:val="26"/>
        </w:rPr>
        <w:t xml:space="preserve">%, </w:t>
      </w:r>
      <w:r>
        <w:rPr>
          <w:sz w:val="26"/>
          <w:szCs w:val="26"/>
        </w:rPr>
        <w:t>como resultado</w:t>
      </w:r>
      <w:r w:rsidRPr="00CD20B7">
        <w:rPr>
          <w:sz w:val="26"/>
          <w:szCs w:val="26"/>
        </w:rPr>
        <w:t xml:space="preserve"> </w:t>
      </w:r>
      <w:r>
        <w:rPr>
          <w:sz w:val="26"/>
          <w:szCs w:val="26"/>
        </w:rPr>
        <w:t>de descontar el efecto de las incidencias</w:t>
      </w:r>
      <w:r w:rsidRPr="00CD20B7">
        <w:rPr>
          <w:rStyle w:val="Refdenotaalpie"/>
          <w:sz w:val="26"/>
          <w:szCs w:val="26"/>
        </w:rPr>
        <w:footnoteReference w:id="1"/>
      </w:r>
      <w:r>
        <w:rPr>
          <w:sz w:val="26"/>
          <w:szCs w:val="26"/>
        </w:rPr>
        <w:t xml:space="preserve"> negativas en </w:t>
      </w:r>
      <w:r w:rsidRPr="00CD20B7">
        <w:rPr>
          <w:sz w:val="26"/>
          <w:szCs w:val="26"/>
        </w:rPr>
        <w:t>las incidencias positivas</w:t>
      </w:r>
      <w:r>
        <w:rPr>
          <w:sz w:val="26"/>
          <w:szCs w:val="26"/>
        </w:rPr>
        <w:t xml:space="preserve"> de las variaciones de precios</w:t>
      </w:r>
      <w:r w:rsidRPr="00CD20B7">
        <w:rPr>
          <w:sz w:val="26"/>
          <w:szCs w:val="26"/>
        </w:rPr>
        <w:t>.</w:t>
      </w:r>
    </w:p>
    <w:p w:rsidR="00364D4D" w:rsidRDefault="00364D4D" w:rsidP="00364D4D">
      <w:pPr>
        <w:spacing w:line="360" w:lineRule="auto"/>
        <w:ind w:right="11"/>
        <w:jc w:val="both"/>
        <w:rPr>
          <w:sz w:val="26"/>
          <w:szCs w:val="26"/>
        </w:rPr>
      </w:pPr>
    </w:p>
    <w:tbl>
      <w:tblPr>
        <w:tblStyle w:val="Tablaconcuadrcula"/>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27"/>
        <w:gridCol w:w="4545"/>
      </w:tblGrid>
      <w:tr w:rsidR="00364D4D" w:rsidTr="00B17B53">
        <w:tc>
          <w:tcPr>
            <w:tcW w:w="9072" w:type="dxa"/>
            <w:gridSpan w:val="2"/>
          </w:tcPr>
          <w:p w:rsidR="00364D4D" w:rsidRDefault="00364D4D" w:rsidP="00B17B53">
            <w:pPr>
              <w:pStyle w:val="NormalWeb"/>
              <w:spacing w:before="0" w:beforeAutospacing="0" w:after="0" w:afterAutospacing="0"/>
              <w:jc w:val="center"/>
              <w:rPr>
                <w:b/>
                <w:sz w:val="22"/>
                <w:szCs w:val="22"/>
              </w:rPr>
            </w:pPr>
            <w:r>
              <w:rPr>
                <w:b/>
                <w:sz w:val="22"/>
                <w:szCs w:val="22"/>
              </w:rPr>
              <w:t xml:space="preserve">ÍNDICE NACIONAL DE PRECIOS AL CONSUMIDOR: </w:t>
            </w:r>
          </w:p>
          <w:p w:rsidR="00364D4D" w:rsidRDefault="00364D4D" w:rsidP="00B17B53">
            <w:pPr>
              <w:pStyle w:val="NormalWeb"/>
              <w:spacing w:before="0" w:beforeAutospacing="0" w:after="0" w:afterAutospacing="0"/>
              <w:jc w:val="center"/>
              <w:rPr>
                <w:b/>
                <w:sz w:val="22"/>
                <w:szCs w:val="22"/>
              </w:rPr>
            </w:pPr>
            <w:r>
              <w:rPr>
                <w:b/>
                <w:sz w:val="22"/>
                <w:szCs w:val="22"/>
              </w:rPr>
              <w:t xml:space="preserve">GENÉRICOS CON MAYORES </w:t>
            </w:r>
            <w:r w:rsidR="00D63275">
              <w:rPr>
                <w:b/>
                <w:sz w:val="22"/>
                <w:szCs w:val="22"/>
              </w:rPr>
              <w:t xml:space="preserve">Y MENORES </w:t>
            </w:r>
            <w:r>
              <w:rPr>
                <w:b/>
                <w:sz w:val="22"/>
                <w:szCs w:val="22"/>
              </w:rPr>
              <w:t>INCIDENCIAS</w:t>
            </w:r>
          </w:p>
          <w:p w:rsidR="00364D4D" w:rsidRPr="003B0D7D" w:rsidRDefault="00364D4D" w:rsidP="00B17B53">
            <w:pPr>
              <w:pStyle w:val="NormalWeb"/>
              <w:spacing w:before="0" w:beforeAutospacing="0" w:after="0" w:afterAutospacing="0"/>
              <w:jc w:val="center"/>
              <w:rPr>
                <w:b/>
                <w:bCs/>
                <w:color w:val="000000"/>
                <w:kern w:val="24"/>
                <w:sz w:val="22"/>
                <w:szCs w:val="22"/>
                <w:lang w:val="es-MX"/>
              </w:rPr>
            </w:pPr>
            <w:r>
              <w:rPr>
                <w:b/>
                <w:sz w:val="22"/>
                <w:szCs w:val="22"/>
              </w:rPr>
              <w:t>- Variación</w:t>
            </w:r>
            <w:r w:rsidRPr="003B0D7D">
              <w:rPr>
                <w:b/>
                <w:sz w:val="22"/>
                <w:szCs w:val="22"/>
              </w:rPr>
              <w:t xml:space="preserve"> </w:t>
            </w:r>
            <w:r>
              <w:rPr>
                <w:b/>
                <w:sz w:val="22"/>
                <w:szCs w:val="22"/>
              </w:rPr>
              <w:t>mensual</w:t>
            </w:r>
            <w:r w:rsidRPr="003B0D7D">
              <w:rPr>
                <w:b/>
                <w:bCs/>
                <w:color w:val="000000"/>
                <w:kern w:val="24"/>
                <w:sz w:val="22"/>
                <w:szCs w:val="22"/>
                <w:lang w:val="es-MX"/>
              </w:rPr>
              <w:t xml:space="preserve"> </w:t>
            </w:r>
            <w:r>
              <w:rPr>
                <w:b/>
                <w:bCs/>
                <w:color w:val="000000"/>
                <w:kern w:val="24"/>
                <w:sz w:val="22"/>
                <w:szCs w:val="22"/>
                <w:lang w:val="es-MX"/>
              </w:rPr>
              <w:t>-</w:t>
            </w:r>
          </w:p>
          <w:p w:rsidR="00364D4D" w:rsidRDefault="001244B5"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Febrero</w:t>
            </w:r>
            <w:r w:rsidR="00364D4D">
              <w:rPr>
                <w:b/>
                <w:bCs/>
                <w:color w:val="000000"/>
                <w:kern w:val="24"/>
                <w:sz w:val="22"/>
                <w:szCs w:val="22"/>
                <w:lang w:val="es-MX"/>
              </w:rPr>
              <w:t xml:space="preserve"> 201</w:t>
            </w:r>
            <w:r w:rsidR="00A209C7">
              <w:rPr>
                <w:b/>
                <w:bCs/>
                <w:color w:val="000000"/>
                <w:kern w:val="24"/>
                <w:sz w:val="22"/>
                <w:szCs w:val="22"/>
                <w:lang w:val="es-MX"/>
              </w:rPr>
              <w:t>5</w:t>
            </w:r>
          </w:p>
          <w:p w:rsidR="00364D4D" w:rsidRPr="005E0C01" w:rsidRDefault="00364D4D" w:rsidP="00B17B53">
            <w:pPr>
              <w:pStyle w:val="NormalWeb"/>
              <w:spacing w:before="0" w:beforeAutospacing="0" w:after="0" w:afterAutospacing="0"/>
              <w:jc w:val="center"/>
              <w:rPr>
                <w:b/>
                <w:bCs/>
                <w:color w:val="000000"/>
                <w:kern w:val="24"/>
                <w:sz w:val="6"/>
                <w:szCs w:val="22"/>
                <w:lang w:val="es-MX"/>
              </w:rPr>
            </w:pPr>
          </w:p>
          <w:p w:rsidR="00364D4D" w:rsidRPr="00533DFF" w:rsidRDefault="00A209C7"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INFLACIÓN = 0.19</w:t>
            </w:r>
            <w:r w:rsidR="00364D4D">
              <w:rPr>
                <w:b/>
                <w:bCs/>
                <w:color w:val="000000"/>
                <w:kern w:val="24"/>
                <w:sz w:val="22"/>
                <w:szCs w:val="22"/>
                <w:lang w:val="es-MX"/>
              </w:rPr>
              <w:t>%</w:t>
            </w:r>
          </w:p>
        </w:tc>
      </w:tr>
      <w:tr w:rsidR="00364D4D" w:rsidTr="00B17B53">
        <w:tc>
          <w:tcPr>
            <w:tcW w:w="4527" w:type="dxa"/>
          </w:tcPr>
          <w:p w:rsidR="00364D4D" w:rsidRPr="00E81F7B" w:rsidRDefault="00364D4D" w:rsidP="00B17B53">
            <w:pPr>
              <w:ind w:right="11"/>
              <w:jc w:val="center"/>
              <w:rPr>
                <w:sz w:val="22"/>
                <w:szCs w:val="26"/>
                <w:lang w:val="es-MX"/>
              </w:rPr>
            </w:pPr>
            <w:r w:rsidRPr="00E81F7B">
              <w:rPr>
                <w:b/>
                <w:bCs/>
                <w:sz w:val="22"/>
                <w:szCs w:val="26"/>
                <w:lang w:val="es-MX"/>
              </w:rPr>
              <w:t>Productos con incidencia positiva</w:t>
            </w:r>
          </w:p>
          <w:p w:rsidR="00364D4D" w:rsidRPr="00533DFF" w:rsidRDefault="00364D4D" w:rsidP="00A209C7">
            <w:pPr>
              <w:spacing w:after="240"/>
              <w:ind w:right="11"/>
              <w:jc w:val="center"/>
              <w:rPr>
                <w:sz w:val="26"/>
                <w:szCs w:val="26"/>
                <w:lang w:val="es-MX"/>
              </w:rPr>
            </w:pPr>
            <w:r w:rsidRPr="00E81F7B">
              <w:rPr>
                <w:b/>
                <w:bCs/>
                <w:sz w:val="22"/>
                <w:szCs w:val="26"/>
                <w:lang w:val="es-MX"/>
              </w:rPr>
              <w:t xml:space="preserve">SUBTOTAL: </w:t>
            </w:r>
            <w:r>
              <w:rPr>
                <w:b/>
                <w:bCs/>
                <w:sz w:val="22"/>
                <w:szCs w:val="26"/>
                <w:lang w:val="es-MX"/>
              </w:rPr>
              <w:t>0.</w:t>
            </w:r>
            <w:r w:rsidR="00A209C7">
              <w:rPr>
                <w:b/>
                <w:bCs/>
                <w:sz w:val="22"/>
                <w:szCs w:val="26"/>
                <w:lang w:val="es-MX"/>
              </w:rPr>
              <w:t>490</w:t>
            </w:r>
          </w:p>
        </w:tc>
        <w:tc>
          <w:tcPr>
            <w:tcW w:w="4545" w:type="dxa"/>
          </w:tcPr>
          <w:p w:rsidR="00364D4D" w:rsidRPr="00D87441" w:rsidRDefault="00364D4D" w:rsidP="00B17B53">
            <w:pPr>
              <w:pStyle w:val="NormalWeb"/>
              <w:tabs>
                <w:tab w:val="left" w:pos="632"/>
              </w:tabs>
              <w:spacing w:before="0" w:beforeAutospacing="0" w:after="0" w:afterAutospacing="0"/>
              <w:jc w:val="center"/>
              <w:rPr>
                <w:b/>
                <w:bCs/>
                <w:sz w:val="22"/>
                <w:szCs w:val="22"/>
              </w:rPr>
            </w:pPr>
            <w:r w:rsidRPr="00D87441">
              <w:rPr>
                <w:b/>
                <w:bCs/>
                <w:sz w:val="22"/>
                <w:szCs w:val="22"/>
              </w:rPr>
              <w:t>Productos con incidencia negativa</w:t>
            </w:r>
          </w:p>
          <w:p w:rsidR="00364D4D" w:rsidRPr="00533DFF" w:rsidRDefault="00364D4D" w:rsidP="00A209C7">
            <w:pPr>
              <w:pStyle w:val="NormalWeb"/>
              <w:spacing w:before="0" w:beforeAutospacing="0" w:after="0" w:afterAutospacing="0"/>
              <w:jc w:val="center"/>
              <w:rPr>
                <w:sz w:val="22"/>
                <w:szCs w:val="22"/>
                <w:lang w:val="es-MX"/>
              </w:rPr>
            </w:pPr>
            <w:r w:rsidRPr="00D87441">
              <w:rPr>
                <w:b/>
                <w:bCs/>
                <w:sz w:val="22"/>
                <w:szCs w:val="22"/>
                <w:lang w:val="es-MX"/>
              </w:rPr>
              <w:t xml:space="preserve">SUBTOTAL: </w:t>
            </w:r>
            <w:r>
              <w:rPr>
                <w:b/>
                <w:bCs/>
                <w:sz w:val="22"/>
                <w:szCs w:val="22"/>
                <w:lang w:val="es-MX"/>
              </w:rPr>
              <w:t>-0.</w:t>
            </w:r>
            <w:r w:rsidR="00A209C7">
              <w:rPr>
                <w:b/>
                <w:bCs/>
                <w:sz w:val="22"/>
                <w:szCs w:val="22"/>
                <w:lang w:val="es-MX"/>
              </w:rPr>
              <w:t>300</w:t>
            </w:r>
          </w:p>
        </w:tc>
      </w:tr>
      <w:tr w:rsidR="00364D4D" w:rsidTr="00B17B53">
        <w:tc>
          <w:tcPr>
            <w:tcW w:w="4527" w:type="dxa"/>
          </w:tcPr>
          <w:p w:rsidR="00364D4D" w:rsidRPr="00054955" w:rsidRDefault="00364D4D" w:rsidP="00B17B53">
            <w:pPr>
              <w:spacing w:line="360" w:lineRule="auto"/>
              <w:ind w:right="11"/>
              <w:jc w:val="both"/>
              <w:rPr>
                <w:sz w:val="2"/>
                <w:szCs w:val="26"/>
              </w:rPr>
            </w:pPr>
            <w:r w:rsidRPr="00054955">
              <w:rPr>
                <w:noProof/>
                <w:sz w:val="2"/>
                <w:lang w:val="es-MX" w:eastAsia="es-MX"/>
              </w:rPr>
              <w:drawing>
                <wp:anchor distT="0" distB="0" distL="114300" distR="114300" simplePos="0" relativeHeight="251672576" behindDoc="1" locked="0" layoutInCell="1" allowOverlap="1" wp14:anchorId="2BAE2EB8" wp14:editId="544309F5">
                  <wp:simplePos x="0" y="0"/>
                  <wp:positionH relativeFrom="page">
                    <wp:posOffset>52098</wp:posOffset>
                  </wp:positionH>
                  <wp:positionV relativeFrom="paragraph">
                    <wp:posOffset>29845</wp:posOffset>
                  </wp:positionV>
                  <wp:extent cx="2779395" cy="3869690"/>
                  <wp:effectExtent l="0" t="0" r="1905" b="0"/>
                  <wp:wrapTight wrapText="bothSides">
                    <wp:wrapPolygon edited="0">
                      <wp:start x="5922" y="744"/>
                      <wp:lineTo x="0" y="1595"/>
                      <wp:lineTo x="0" y="20522"/>
                      <wp:lineTo x="6366" y="20522"/>
                      <wp:lineTo x="21467" y="20310"/>
                      <wp:lineTo x="21467" y="744"/>
                      <wp:lineTo x="5922" y="744"/>
                    </wp:wrapPolygon>
                  </wp:wrapTight>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tc>
        <w:tc>
          <w:tcPr>
            <w:tcW w:w="4545" w:type="dxa"/>
          </w:tcPr>
          <w:p w:rsidR="00364D4D" w:rsidRPr="00054955" w:rsidRDefault="00364D4D" w:rsidP="00B17B53">
            <w:pPr>
              <w:spacing w:line="360" w:lineRule="auto"/>
              <w:ind w:right="11"/>
              <w:jc w:val="both"/>
              <w:rPr>
                <w:sz w:val="2"/>
                <w:szCs w:val="26"/>
              </w:rPr>
            </w:pPr>
            <w:r w:rsidRPr="00054955">
              <w:rPr>
                <w:noProof/>
                <w:sz w:val="2"/>
                <w:lang w:val="es-MX" w:eastAsia="es-MX"/>
              </w:rPr>
              <w:drawing>
                <wp:anchor distT="0" distB="0" distL="114300" distR="114300" simplePos="0" relativeHeight="251673600" behindDoc="1" locked="0" layoutInCell="1" allowOverlap="1" wp14:anchorId="2AE1CFED" wp14:editId="33F27B5C">
                  <wp:simplePos x="0" y="0"/>
                  <wp:positionH relativeFrom="column">
                    <wp:posOffset>55539</wp:posOffset>
                  </wp:positionH>
                  <wp:positionV relativeFrom="paragraph">
                    <wp:posOffset>33020</wp:posOffset>
                  </wp:positionV>
                  <wp:extent cx="2727960" cy="3869690"/>
                  <wp:effectExtent l="0" t="0" r="0" b="0"/>
                  <wp:wrapTight wrapText="bothSides">
                    <wp:wrapPolygon edited="0">
                      <wp:start x="0" y="1170"/>
                      <wp:lineTo x="0" y="20841"/>
                      <wp:lineTo x="6184" y="20841"/>
                      <wp:lineTo x="21419" y="20629"/>
                      <wp:lineTo x="21419" y="1170"/>
                      <wp:lineTo x="0" y="1170"/>
                    </wp:wrapPolygon>
                  </wp:wrapTight>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tc>
      </w:tr>
      <w:tr w:rsidR="00364D4D" w:rsidTr="00B17B53">
        <w:tc>
          <w:tcPr>
            <w:tcW w:w="9072" w:type="dxa"/>
            <w:gridSpan w:val="2"/>
          </w:tcPr>
          <w:p w:rsidR="00364D4D" w:rsidRPr="00A3087B" w:rsidRDefault="00364D4D" w:rsidP="00B17B53">
            <w:pPr>
              <w:pStyle w:val="NormalWeb"/>
              <w:spacing w:before="240" w:beforeAutospacing="0" w:after="0" w:afterAutospacing="0"/>
              <w:ind w:left="1060" w:right="85" w:hanging="907"/>
              <w:jc w:val="both"/>
              <w:rPr>
                <w:color w:val="000000"/>
                <w:kern w:val="24"/>
                <w:sz w:val="20"/>
                <w:szCs w:val="20"/>
              </w:rPr>
            </w:pPr>
            <w:r w:rsidRPr="006861D0">
              <w:rPr>
                <w:color w:val="000000"/>
                <w:kern w:val="24"/>
                <w:sz w:val="20"/>
                <w:szCs w:val="20"/>
              </w:rPr>
              <w:t>FUENTE: Elaborado por la Comisión Nacional de los Salarios Mínimos con información del</w:t>
            </w:r>
            <w:r>
              <w:rPr>
                <w:color w:val="000000"/>
                <w:kern w:val="24"/>
                <w:sz w:val="20"/>
                <w:szCs w:val="20"/>
              </w:rPr>
              <w:t xml:space="preserve"> </w:t>
            </w:r>
            <w:r w:rsidRPr="006861D0">
              <w:rPr>
                <w:color w:val="000000"/>
                <w:kern w:val="24"/>
                <w:sz w:val="20"/>
                <w:szCs w:val="20"/>
              </w:rPr>
              <w:t>Instituto Nacional</w:t>
            </w:r>
            <w:r>
              <w:rPr>
                <w:sz w:val="20"/>
                <w:szCs w:val="20"/>
              </w:rPr>
              <w:t xml:space="preserve"> </w:t>
            </w:r>
            <w:r w:rsidRPr="006861D0">
              <w:rPr>
                <w:color w:val="000000"/>
                <w:kern w:val="24"/>
                <w:sz w:val="20"/>
                <w:szCs w:val="20"/>
              </w:rPr>
              <w:t>de Estadística y Geografía.</w:t>
            </w:r>
          </w:p>
        </w:tc>
      </w:tr>
    </w:tbl>
    <w:p w:rsidR="00364D4D" w:rsidRDefault="00364D4D" w:rsidP="00364D4D">
      <w:pPr>
        <w:ind w:right="11"/>
        <w:jc w:val="both"/>
        <w:rPr>
          <w:b/>
          <w:sz w:val="26"/>
          <w:szCs w:val="26"/>
          <w:highlight w:val="yellow"/>
        </w:rPr>
      </w:pPr>
      <w:r>
        <w:rPr>
          <w:noProof/>
          <w:sz w:val="26"/>
          <w:szCs w:val="26"/>
          <w:lang w:val="es-MX" w:eastAsia="es-MX"/>
        </w:rPr>
        <mc:AlternateContent>
          <mc:Choice Requires="wps">
            <w:drawing>
              <wp:anchor distT="0" distB="0" distL="114300" distR="114300" simplePos="0" relativeHeight="251660288" behindDoc="0" locked="0" layoutInCell="1" allowOverlap="1" wp14:anchorId="78733E1A" wp14:editId="782268CC">
                <wp:simplePos x="0" y="0"/>
                <wp:positionH relativeFrom="margin">
                  <wp:align>center</wp:align>
                </wp:positionH>
                <wp:positionV relativeFrom="paragraph">
                  <wp:posOffset>5805477</wp:posOffset>
                </wp:positionV>
                <wp:extent cx="5783580" cy="438150"/>
                <wp:effectExtent l="0" t="0" r="0" b="0"/>
                <wp:wrapNone/>
                <wp:docPr id="42" name="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580" cy="438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900BF1" w:rsidRDefault="00A14B35" w:rsidP="00364D4D">
                            <w:pPr>
                              <w:pStyle w:val="NormalWeb"/>
                              <w:tabs>
                                <w:tab w:val="left" w:pos="426"/>
                              </w:tabs>
                              <w:spacing w:before="0" w:beforeAutospacing="0" w:after="0" w:afterAutospacing="0"/>
                              <w:ind w:left="924" w:hanging="924"/>
                              <w:jc w:val="both"/>
                              <w:rPr>
                                <w:color w:val="000000"/>
                                <w:kern w:val="24"/>
                                <w:sz w:val="20"/>
                                <w:szCs w:val="20"/>
                              </w:rPr>
                            </w:pPr>
                            <w:r w:rsidRPr="00637B89">
                              <w:rPr>
                                <w:color w:val="000000"/>
                                <w:kern w:val="24"/>
                                <w:sz w:val="20"/>
                                <w:szCs w:val="20"/>
                              </w:rPr>
                              <w:t>FUENTE: Elaborado por la Comisión Nacional de los Salarios Mínimos con</w:t>
                            </w:r>
                            <w:r>
                              <w:rPr>
                                <w:color w:val="000000"/>
                                <w:kern w:val="24"/>
                                <w:sz w:val="20"/>
                                <w:szCs w:val="20"/>
                              </w:rPr>
                              <w:t xml:space="preserve"> </w:t>
                            </w:r>
                            <w:r w:rsidRPr="00637B89">
                              <w:rPr>
                                <w:color w:val="000000"/>
                                <w:kern w:val="24"/>
                                <w:sz w:val="20"/>
                                <w:szCs w:val="20"/>
                              </w:rPr>
                              <w:t>información del</w:t>
                            </w:r>
                            <w:r>
                              <w:rPr>
                                <w:color w:val="000000"/>
                                <w:kern w:val="24"/>
                                <w:sz w:val="20"/>
                                <w:szCs w:val="20"/>
                              </w:rPr>
                              <w:t xml:space="preserve"> </w:t>
                            </w:r>
                            <w:r w:rsidRPr="00637B89">
                              <w:rPr>
                                <w:color w:val="000000"/>
                                <w:kern w:val="24"/>
                                <w:sz w:val="20"/>
                                <w:szCs w:val="20"/>
                              </w:rPr>
                              <w:t>Instituto Nacional</w:t>
                            </w:r>
                            <w:r>
                              <w:rPr>
                                <w:sz w:val="20"/>
                                <w:szCs w:val="20"/>
                              </w:rPr>
                              <w:t xml:space="preserve"> </w:t>
                            </w:r>
                            <w:r w:rsidRPr="00637B89">
                              <w:rPr>
                                <w:color w:val="000000"/>
                                <w:kern w:val="24"/>
                                <w:sz w:val="20"/>
                                <w:szCs w:val="20"/>
                              </w:rPr>
                              <w:t>de Estadística y Geografía.</w:t>
                            </w:r>
                          </w:p>
                          <w:p w:rsidR="00A14B35" w:rsidRPr="008A1BBA" w:rsidRDefault="00A14B35" w:rsidP="00364D4D">
                            <w:pPr>
                              <w:tabs>
                                <w:tab w:val="left" w:pos="426"/>
                              </w:tabs>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8733E1A" id="_x0000_t202" coordsize="21600,21600" o:spt="202" path="m,l,21600r21600,l21600,xe">
                <v:stroke joinstyle="miter"/>
                <v:path gradientshapeok="t" o:connecttype="rect"/>
              </v:shapetype>
              <v:shape id="6 Cuadro de texto" o:spid="_x0000_s1026" type="#_x0000_t202" style="position:absolute;left:0;text-align:left;margin-left:0;margin-top:457.1pt;width:455.4pt;height:34.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" filled="f" stroked="f" strokeweight=".5pt">
                <v:path arrowok="t"/>
                <v:textbox>
                  <w:txbxContent>
                    <w:p w:rsidR="00A14B35" w:rsidRPr="00900BF1" w:rsidRDefault="00A14B35" w:rsidP="00364D4D">
                      <w:pPr>
                        <w:pStyle w:val="NormalWeb"/>
                        <w:tabs>
                          <w:tab w:val="left" w:pos="426"/>
                        </w:tabs>
                        <w:spacing w:before="0" w:beforeAutospacing="0" w:after="0" w:afterAutospacing="0"/>
                        <w:ind w:left="924" w:hanging="924"/>
                        <w:jc w:val="both"/>
                        <w:rPr>
                          <w:color w:val="000000"/>
                          <w:kern w:val="24"/>
                          <w:sz w:val="20"/>
                          <w:szCs w:val="20"/>
                        </w:rPr>
                      </w:pPr>
                      <w:r w:rsidRPr="00637B89">
                        <w:rPr>
                          <w:color w:val="000000"/>
                          <w:kern w:val="24"/>
                          <w:sz w:val="20"/>
                          <w:szCs w:val="20"/>
                        </w:rPr>
                        <w:t>FUENTE: Elaborado por la Comisión Nacional de los Salarios Mínimos con</w:t>
                      </w:r>
                      <w:r>
                        <w:rPr>
                          <w:color w:val="000000"/>
                          <w:kern w:val="24"/>
                          <w:sz w:val="20"/>
                          <w:szCs w:val="20"/>
                        </w:rPr>
                        <w:t xml:space="preserve"> </w:t>
                      </w:r>
                      <w:r w:rsidRPr="00637B89">
                        <w:rPr>
                          <w:color w:val="000000"/>
                          <w:kern w:val="24"/>
                          <w:sz w:val="20"/>
                          <w:szCs w:val="20"/>
                        </w:rPr>
                        <w:t>información del</w:t>
                      </w:r>
                      <w:r>
                        <w:rPr>
                          <w:color w:val="000000"/>
                          <w:kern w:val="24"/>
                          <w:sz w:val="20"/>
                          <w:szCs w:val="20"/>
                        </w:rPr>
                        <w:t xml:space="preserve"> </w:t>
                      </w:r>
                      <w:r w:rsidRPr="00637B89">
                        <w:rPr>
                          <w:color w:val="000000"/>
                          <w:kern w:val="24"/>
                          <w:sz w:val="20"/>
                          <w:szCs w:val="20"/>
                        </w:rPr>
                        <w:t>Instituto Nacional</w:t>
                      </w:r>
                      <w:r>
                        <w:rPr>
                          <w:sz w:val="20"/>
                          <w:szCs w:val="20"/>
                        </w:rPr>
                        <w:t xml:space="preserve"> </w:t>
                      </w:r>
                      <w:r w:rsidRPr="00637B89">
                        <w:rPr>
                          <w:color w:val="000000"/>
                          <w:kern w:val="24"/>
                          <w:sz w:val="20"/>
                          <w:szCs w:val="20"/>
                        </w:rPr>
                        <w:t>de Estadística y Geografía.</w:t>
                      </w:r>
                    </w:p>
                    <w:p w:rsidR="00A14B35" w:rsidRPr="008A1BBA" w:rsidRDefault="00A14B35" w:rsidP="00364D4D">
                      <w:pPr>
                        <w:tabs>
                          <w:tab w:val="left" w:pos="426"/>
                        </w:tabs>
                        <w:rPr>
                          <w:sz w:val="20"/>
                          <w:szCs w:val="20"/>
                        </w:rPr>
                      </w:pPr>
                    </w:p>
                  </w:txbxContent>
                </v:textbox>
                <w10:wrap anchorx="margin"/>
              </v:shape>
            </w:pict>
          </mc:Fallback>
        </mc:AlternateContent>
      </w:r>
    </w:p>
    <w:p w:rsidR="00364D4D" w:rsidRPr="00E313B7" w:rsidRDefault="00364D4D" w:rsidP="00364D4D">
      <w:pPr>
        <w:ind w:right="11"/>
        <w:jc w:val="both"/>
        <w:rPr>
          <w:b/>
          <w:color w:val="0000FF"/>
          <w:sz w:val="26"/>
          <w:szCs w:val="26"/>
          <w:vertAlign w:val="superscript"/>
        </w:rPr>
      </w:pPr>
      <w:r>
        <w:rPr>
          <w:b/>
          <w:sz w:val="26"/>
          <w:szCs w:val="26"/>
          <w:highlight w:val="yellow"/>
        </w:rPr>
        <w:br w:type="column"/>
      </w:r>
      <w:r w:rsidRPr="00E313B7">
        <w:rPr>
          <w:b/>
          <w:color w:val="0000FF"/>
          <w:sz w:val="26"/>
          <w:szCs w:val="26"/>
        </w:rPr>
        <w:lastRenderedPageBreak/>
        <w:t xml:space="preserve">Evolución mensual del INPC y de los Índices de los Estratos </w:t>
      </w:r>
      <w:r w:rsidRPr="00E313B7">
        <w:rPr>
          <w:rStyle w:val="Refdenotaalpie"/>
          <w:b/>
          <w:color w:val="0000FF"/>
          <w:sz w:val="26"/>
          <w:szCs w:val="26"/>
        </w:rPr>
        <w:footnoteReference w:id="2"/>
      </w:r>
    </w:p>
    <w:p w:rsidR="00364D4D" w:rsidRPr="00D63EDF" w:rsidRDefault="00364D4D" w:rsidP="00364D4D">
      <w:pPr>
        <w:spacing w:line="360" w:lineRule="auto"/>
        <w:ind w:right="20"/>
        <w:jc w:val="both"/>
        <w:rPr>
          <w:sz w:val="26"/>
          <w:szCs w:val="26"/>
        </w:rPr>
      </w:pPr>
    </w:p>
    <w:p w:rsidR="00364D4D" w:rsidRPr="006E49FE" w:rsidRDefault="00364D4D" w:rsidP="00364D4D">
      <w:pPr>
        <w:spacing w:line="360" w:lineRule="auto"/>
        <w:ind w:right="20"/>
        <w:jc w:val="both"/>
        <w:rPr>
          <w:sz w:val="26"/>
          <w:szCs w:val="26"/>
        </w:rPr>
      </w:pPr>
      <w:r w:rsidRPr="006E49FE">
        <w:rPr>
          <w:sz w:val="26"/>
          <w:szCs w:val="26"/>
        </w:rPr>
        <w:t xml:space="preserve">En </w:t>
      </w:r>
      <w:r w:rsidR="001244B5">
        <w:rPr>
          <w:sz w:val="26"/>
          <w:szCs w:val="26"/>
        </w:rPr>
        <w:t>febrero</w:t>
      </w:r>
      <w:r>
        <w:rPr>
          <w:sz w:val="26"/>
          <w:szCs w:val="26"/>
        </w:rPr>
        <w:t xml:space="preserve"> de </w:t>
      </w:r>
      <w:r w:rsidR="00A209C7">
        <w:rPr>
          <w:sz w:val="26"/>
          <w:szCs w:val="26"/>
        </w:rPr>
        <w:t>2015</w:t>
      </w:r>
      <w:r>
        <w:rPr>
          <w:sz w:val="26"/>
          <w:szCs w:val="26"/>
        </w:rPr>
        <w:t xml:space="preserve">, </w:t>
      </w:r>
      <w:r w:rsidR="0043079F">
        <w:rPr>
          <w:sz w:val="26"/>
          <w:szCs w:val="26"/>
        </w:rPr>
        <w:t>los Índices de los</w:t>
      </w:r>
      <w:r w:rsidR="0043079F" w:rsidRPr="006E49FE">
        <w:rPr>
          <w:sz w:val="26"/>
          <w:szCs w:val="26"/>
        </w:rPr>
        <w:t xml:space="preserve"> Estrato</w:t>
      </w:r>
      <w:r w:rsidR="0043079F">
        <w:rPr>
          <w:sz w:val="26"/>
          <w:szCs w:val="26"/>
        </w:rPr>
        <w:t>s</w:t>
      </w:r>
      <w:r w:rsidR="0043079F" w:rsidRPr="006E49FE">
        <w:rPr>
          <w:sz w:val="26"/>
          <w:szCs w:val="26"/>
        </w:rPr>
        <w:t xml:space="preserve"> I</w:t>
      </w:r>
      <w:r w:rsidR="0043079F">
        <w:rPr>
          <w:sz w:val="26"/>
          <w:szCs w:val="26"/>
        </w:rPr>
        <w:t>, II y III se ubicaron</w:t>
      </w:r>
      <w:r w:rsidR="0043079F" w:rsidRPr="006E49FE">
        <w:rPr>
          <w:sz w:val="26"/>
          <w:szCs w:val="26"/>
        </w:rPr>
        <w:t xml:space="preserve"> por </w:t>
      </w:r>
      <w:r w:rsidR="0043079F">
        <w:rPr>
          <w:sz w:val="26"/>
          <w:szCs w:val="26"/>
        </w:rPr>
        <w:t>abajo</w:t>
      </w:r>
      <w:r w:rsidR="0043079F" w:rsidRPr="006E49FE">
        <w:rPr>
          <w:sz w:val="26"/>
          <w:szCs w:val="26"/>
        </w:rPr>
        <w:t xml:space="preserve"> del </w:t>
      </w:r>
      <w:r w:rsidR="00A85345" w:rsidRPr="006E49FE">
        <w:rPr>
          <w:sz w:val="26"/>
          <w:szCs w:val="26"/>
        </w:rPr>
        <w:t xml:space="preserve">Índice General </w:t>
      </w:r>
      <w:r w:rsidR="00A85345">
        <w:rPr>
          <w:sz w:val="26"/>
          <w:szCs w:val="26"/>
        </w:rPr>
        <w:t>(0.19%),</w:t>
      </w:r>
      <w:r w:rsidR="0043079F" w:rsidRPr="006E49FE">
        <w:rPr>
          <w:sz w:val="26"/>
          <w:szCs w:val="26"/>
        </w:rPr>
        <w:t xml:space="preserve"> en </w:t>
      </w:r>
      <w:r w:rsidR="0043079F">
        <w:rPr>
          <w:sz w:val="26"/>
          <w:szCs w:val="26"/>
        </w:rPr>
        <w:t>0.19, 0.20 y 0.09</w:t>
      </w:r>
      <w:r w:rsidR="0043079F" w:rsidRPr="006E49FE">
        <w:rPr>
          <w:sz w:val="26"/>
          <w:szCs w:val="26"/>
        </w:rPr>
        <w:t xml:space="preserve"> puntos porcentuales</w:t>
      </w:r>
      <w:r w:rsidR="0043079F">
        <w:rPr>
          <w:sz w:val="26"/>
          <w:szCs w:val="26"/>
        </w:rPr>
        <w:t>, en ese orden</w:t>
      </w:r>
      <w:r>
        <w:rPr>
          <w:sz w:val="26"/>
          <w:szCs w:val="26"/>
        </w:rPr>
        <w:t xml:space="preserve">, mientras que </w:t>
      </w:r>
      <w:r w:rsidR="0043079F" w:rsidRPr="006E49FE">
        <w:rPr>
          <w:sz w:val="26"/>
          <w:szCs w:val="26"/>
        </w:rPr>
        <w:t xml:space="preserve">el Índice del Estrato IV se ubicó por </w:t>
      </w:r>
      <w:r w:rsidR="0043079F">
        <w:rPr>
          <w:sz w:val="26"/>
          <w:szCs w:val="26"/>
        </w:rPr>
        <w:t>encima</w:t>
      </w:r>
      <w:r w:rsidR="0043079F" w:rsidRPr="006E49FE">
        <w:rPr>
          <w:sz w:val="26"/>
          <w:szCs w:val="26"/>
        </w:rPr>
        <w:t xml:space="preserve"> del </w:t>
      </w:r>
      <w:r w:rsidR="00A85345">
        <w:rPr>
          <w:sz w:val="26"/>
          <w:szCs w:val="26"/>
        </w:rPr>
        <w:t xml:space="preserve">mismo </w:t>
      </w:r>
      <w:r w:rsidR="0043079F" w:rsidRPr="006E49FE">
        <w:rPr>
          <w:sz w:val="26"/>
          <w:szCs w:val="26"/>
        </w:rPr>
        <w:t xml:space="preserve">en </w:t>
      </w:r>
      <w:r w:rsidR="0043079F">
        <w:rPr>
          <w:sz w:val="26"/>
          <w:szCs w:val="26"/>
        </w:rPr>
        <w:t>0.08</w:t>
      </w:r>
      <w:r w:rsidR="0043079F" w:rsidRPr="006E49FE">
        <w:rPr>
          <w:sz w:val="26"/>
          <w:szCs w:val="26"/>
        </w:rPr>
        <w:t xml:space="preserve"> puntos porcentu</w:t>
      </w:r>
      <w:r w:rsidR="0043079F">
        <w:rPr>
          <w:sz w:val="26"/>
          <w:szCs w:val="26"/>
        </w:rPr>
        <w:t>ales.</w:t>
      </w:r>
    </w:p>
    <w:p w:rsidR="00364D4D" w:rsidRPr="00D63EDF" w:rsidRDefault="00364D4D" w:rsidP="00364D4D">
      <w:pPr>
        <w:spacing w:line="360" w:lineRule="auto"/>
        <w:ind w:right="20"/>
        <w:jc w:val="both"/>
        <w:rPr>
          <w:sz w:val="26"/>
          <w:szCs w:val="26"/>
        </w:rPr>
      </w:pPr>
    </w:p>
    <w:tbl>
      <w:tblPr>
        <w:tblStyle w:val="Tablaconcuadrcula"/>
        <w:tblW w:w="89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gridCol w:w="61"/>
      </w:tblGrid>
      <w:tr w:rsidR="00364D4D" w:rsidRPr="00D63EDF" w:rsidTr="00B17B53">
        <w:trPr>
          <w:gridAfter w:val="1"/>
          <w:wAfter w:w="61" w:type="dxa"/>
        </w:trPr>
        <w:tc>
          <w:tcPr>
            <w:tcW w:w="8840" w:type="dxa"/>
          </w:tcPr>
          <w:p w:rsidR="00364D4D" w:rsidRPr="00D63EDF" w:rsidRDefault="00364D4D" w:rsidP="00B17B53">
            <w:pPr>
              <w:pStyle w:val="NormalWeb"/>
              <w:spacing w:before="0" w:beforeAutospacing="0" w:after="0" w:afterAutospacing="0"/>
              <w:jc w:val="center"/>
              <w:rPr>
                <w:sz w:val="22"/>
                <w:szCs w:val="22"/>
                <w:vertAlign w:val="superscript"/>
              </w:rPr>
            </w:pPr>
            <w:r w:rsidRPr="00D63EDF">
              <w:rPr>
                <w:b/>
                <w:bCs/>
                <w:kern w:val="24"/>
                <w:sz w:val="22"/>
                <w:szCs w:val="22"/>
                <w:lang w:val="es-ES_tradnl"/>
              </w:rPr>
              <w:t>ÍNDICE NACIONAL DE PRECIOS AL CONSUMIDOR POR NIVEL DE ESTRATO</w:t>
            </w:r>
            <w:r w:rsidRPr="00D63EDF">
              <w:rPr>
                <w:b/>
                <w:bCs/>
                <w:kern w:val="24"/>
                <w:sz w:val="4"/>
                <w:szCs w:val="22"/>
                <w:lang w:val="es-ES_tradnl"/>
              </w:rPr>
              <w:t xml:space="preserve"> </w:t>
            </w:r>
            <w:r w:rsidRPr="00D63EDF">
              <w:rPr>
                <w:b/>
                <w:bCs/>
                <w:kern w:val="24"/>
                <w:sz w:val="22"/>
                <w:szCs w:val="22"/>
                <w:u w:val="single"/>
                <w:vertAlign w:val="superscript"/>
                <w:lang w:val="es-ES_tradnl"/>
              </w:rPr>
              <w:t>1</w:t>
            </w:r>
            <w:r w:rsidRPr="00D63EDF">
              <w:rPr>
                <w:b/>
                <w:bCs/>
                <w:kern w:val="24"/>
                <w:sz w:val="22"/>
                <w:szCs w:val="22"/>
                <w:vertAlign w:val="superscript"/>
                <w:lang w:val="es-ES_tradnl"/>
              </w:rPr>
              <w:t>/</w:t>
            </w:r>
          </w:p>
          <w:p w:rsidR="00364D4D" w:rsidRPr="00D63EDF" w:rsidRDefault="00364D4D" w:rsidP="00B17B53">
            <w:pPr>
              <w:pStyle w:val="NormalWeb"/>
              <w:spacing w:before="0" w:beforeAutospacing="0" w:after="0" w:afterAutospacing="0"/>
              <w:jc w:val="center"/>
              <w:rPr>
                <w:b/>
                <w:sz w:val="22"/>
                <w:szCs w:val="22"/>
              </w:rPr>
            </w:pPr>
            <w:r>
              <w:rPr>
                <w:b/>
                <w:bCs/>
                <w:kern w:val="24"/>
                <w:sz w:val="22"/>
                <w:szCs w:val="22"/>
                <w:lang w:val="es-ES_tradnl"/>
              </w:rPr>
              <w:t>- Variaciones</w:t>
            </w:r>
            <w:r w:rsidRPr="00D63EDF">
              <w:rPr>
                <w:b/>
                <w:bCs/>
                <w:kern w:val="24"/>
                <w:sz w:val="22"/>
                <w:szCs w:val="22"/>
                <w:lang w:val="es-ES_tradnl"/>
              </w:rPr>
              <w:t xml:space="preserve"> mensual</w:t>
            </w:r>
            <w:r>
              <w:rPr>
                <w:b/>
                <w:bCs/>
                <w:kern w:val="24"/>
                <w:sz w:val="22"/>
                <w:szCs w:val="22"/>
                <w:lang w:val="es-ES_tradnl"/>
              </w:rPr>
              <w:t>es</w:t>
            </w:r>
            <w:r w:rsidRPr="00D63EDF">
              <w:rPr>
                <w:b/>
                <w:bCs/>
                <w:kern w:val="24"/>
                <w:sz w:val="22"/>
                <w:szCs w:val="22"/>
                <w:lang w:val="es-ES_tradnl"/>
              </w:rPr>
              <w:t xml:space="preserve"> </w:t>
            </w:r>
            <w:r w:rsidRPr="00D63EDF">
              <w:rPr>
                <w:b/>
                <w:bCs/>
                <w:kern w:val="24"/>
                <w:sz w:val="22"/>
                <w:szCs w:val="22"/>
                <w:lang w:val="es-MX"/>
              </w:rPr>
              <w:t>-</w:t>
            </w:r>
          </w:p>
          <w:p w:rsidR="00364D4D" w:rsidRDefault="001244B5" w:rsidP="00B17B53">
            <w:pPr>
              <w:pStyle w:val="NormalWeb"/>
              <w:spacing w:before="0" w:beforeAutospacing="0" w:after="0" w:afterAutospacing="0"/>
              <w:jc w:val="center"/>
              <w:rPr>
                <w:b/>
                <w:bCs/>
                <w:kern w:val="24"/>
                <w:sz w:val="22"/>
                <w:szCs w:val="22"/>
                <w:lang w:val="es-MX"/>
              </w:rPr>
            </w:pPr>
            <w:r>
              <w:rPr>
                <w:b/>
                <w:bCs/>
                <w:kern w:val="24"/>
                <w:sz w:val="22"/>
                <w:szCs w:val="22"/>
                <w:lang w:val="es-MX"/>
              </w:rPr>
              <w:t>Febrero</w:t>
            </w:r>
            <w:r w:rsidR="00364D4D" w:rsidRPr="00D63EDF">
              <w:rPr>
                <w:b/>
                <w:bCs/>
                <w:kern w:val="24"/>
                <w:sz w:val="22"/>
                <w:szCs w:val="22"/>
                <w:lang w:val="es-MX"/>
              </w:rPr>
              <w:t xml:space="preserve"> </w:t>
            </w:r>
            <w:r w:rsidR="00A209C7">
              <w:rPr>
                <w:b/>
                <w:bCs/>
                <w:kern w:val="24"/>
                <w:sz w:val="22"/>
                <w:szCs w:val="22"/>
                <w:lang w:val="es-MX"/>
              </w:rPr>
              <w:t>2014</w:t>
            </w:r>
            <w:r w:rsidR="00364D4D" w:rsidRPr="00D63EDF">
              <w:rPr>
                <w:b/>
                <w:bCs/>
                <w:kern w:val="24"/>
                <w:sz w:val="22"/>
                <w:szCs w:val="22"/>
                <w:lang w:val="es-MX"/>
              </w:rPr>
              <w:t xml:space="preserve"> – </w:t>
            </w:r>
            <w:r>
              <w:rPr>
                <w:b/>
                <w:bCs/>
                <w:kern w:val="24"/>
                <w:sz w:val="22"/>
                <w:szCs w:val="22"/>
                <w:lang w:val="es-MX"/>
              </w:rPr>
              <w:t>febrero</w:t>
            </w:r>
            <w:r w:rsidR="00364D4D" w:rsidRPr="00D63EDF">
              <w:rPr>
                <w:b/>
                <w:bCs/>
                <w:kern w:val="24"/>
                <w:sz w:val="22"/>
                <w:szCs w:val="22"/>
                <w:lang w:val="es-MX"/>
              </w:rPr>
              <w:t xml:space="preserve"> </w:t>
            </w:r>
            <w:r w:rsidR="00A209C7">
              <w:rPr>
                <w:b/>
                <w:bCs/>
                <w:kern w:val="24"/>
                <w:sz w:val="22"/>
                <w:szCs w:val="22"/>
                <w:lang w:val="es-MX"/>
              </w:rPr>
              <w:t>2015</w:t>
            </w:r>
          </w:p>
          <w:p w:rsidR="00364D4D" w:rsidRPr="00D63EDF"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RPr="00865687" w:rsidTr="00B17B53">
        <w:tc>
          <w:tcPr>
            <w:tcW w:w="8901" w:type="dxa"/>
            <w:gridSpan w:val="2"/>
          </w:tcPr>
          <w:p w:rsidR="00364D4D" w:rsidRPr="00865687" w:rsidRDefault="0043079F" w:rsidP="00B17B53">
            <w:pPr>
              <w:tabs>
                <w:tab w:val="left" w:pos="5080"/>
              </w:tabs>
              <w:spacing w:line="360" w:lineRule="auto"/>
              <w:ind w:right="20"/>
              <w:jc w:val="both"/>
              <w:rPr>
                <w:sz w:val="26"/>
                <w:szCs w:val="26"/>
                <w:highlight w:val="lightGray"/>
              </w:rPr>
            </w:pPr>
            <w:r>
              <w:rPr>
                <w:noProof/>
                <w:lang w:val="es-MX" w:eastAsia="es-MX"/>
              </w:rPr>
              <mc:AlternateContent>
                <mc:Choice Requires="wpg">
                  <w:drawing>
                    <wp:anchor distT="0" distB="0" distL="114300" distR="114300" simplePos="0" relativeHeight="251661312" behindDoc="0" locked="0" layoutInCell="1" allowOverlap="1" wp14:anchorId="2F1F4029" wp14:editId="5CED3DD5">
                      <wp:simplePos x="0" y="0"/>
                      <wp:positionH relativeFrom="column">
                        <wp:posOffset>1885258</wp:posOffset>
                      </wp:positionH>
                      <wp:positionV relativeFrom="paragraph">
                        <wp:posOffset>104519</wp:posOffset>
                      </wp:positionV>
                      <wp:extent cx="715992" cy="962731"/>
                      <wp:effectExtent l="0" t="0" r="0" b="0"/>
                      <wp:wrapNone/>
                      <wp:docPr id="1" name="1 Grupo"/>
                      <wp:cNvGraphicFramePr/>
                      <a:graphic xmlns:a="http://schemas.openxmlformats.org/drawingml/2006/main">
                        <a:graphicData uri="http://schemas.microsoft.com/office/word/2010/wordprocessingGroup">
                          <wpg:wgp>
                            <wpg:cNvGrpSpPr/>
                            <wpg:grpSpPr>
                              <a:xfrm>
                                <a:off x="0" y="0"/>
                                <a:ext cx="715992" cy="962731"/>
                                <a:chOff x="17829" y="0"/>
                                <a:chExt cx="581470" cy="799284"/>
                              </a:xfrm>
                            </wpg:grpSpPr>
                            <wps:wsp>
                              <wps:cNvPr id="3" name="3 Cuadro de texto"/>
                              <wps:cNvSpPr txBox="1"/>
                              <wps:spPr>
                                <a:xfrm>
                                  <a:off x="29704" y="439387"/>
                                  <a:ext cx="557530"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 name="13 Grupo"/>
                              <wpg:cNvGrpSpPr/>
                              <wpg:grpSpPr>
                                <a:xfrm>
                                  <a:off x="17829" y="0"/>
                                  <a:ext cx="581470" cy="799284"/>
                                  <a:chOff x="17829" y="0"/>
                                  <a:chExt cx="581470" cy="799284"/>
                                </a:xfrm>
                              </wpg:grpSpPr>
                              <wps:wsp>
                                <wps:cNvPr id="14" name="14 Cuadro de texto"/>
                                <wps:cNvSpPr txBox="1"/>
                                <wps:spPr>
                                  <a:xfrm>
                                    <a:off x="23761" y="148442"/>
                                    <a:ext cx="521970"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 name="15 Grupo"/>
                                <wpg:cNvGrpSpPr/>
                                <wpg:grpSpPr>
                                  <a:xfrm>
                                    <a:off x="17829" y="0"/>
                                    <a:ext cx="581470" cy="799284"/>
                                    <a:chOff x="17829" y="0"/>
                                    <a:chExt cx="581470" cy="799284"/>
                                  </a:xfrm>
                                </wpg:grpSpPr>
                                <wps:wsp>
                                  <wps:cNvPr id="19" name="19 Cuadro de texto"/>
                                  <wps:cNvSpPr txBox="1"/>
                                  <wps:spPr>
                                    <a:xfrm>
                                      <a:off x="29704" y="587829"/>
                                      <a:ext cx="569595"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(0.27%)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20 Cuadro de texto"/>
                                  <wps:cNvSpPr txBox="1"/>
                                  <wps:spPr>
                                    <a:xfrm>
                                      <a:off x="23764" y="297035"/>
                                      <a:ext cx="557530" cy="237490"/>
                                    </a:xfrm>
                                    <a:prstGeom prst="rect">
                                      <a:avLst/>
                                    </a:prstGeom>
                                    <a:noFill/>
                                    <a:ln w="6350">
                                      <a:noFill/>
                                    </a:ln>
                                    <a:effectLst/>
                                  </wps:spPr>
                                  <wps:txbx>
                                    <w:txbxContent>
                                      <w:p w:rsidR="00A14B35" w:rsidRPr="00001985" w:rsidRDefault="00A14B35" w:rsidP="00364D4D">
                                        <w:pPr>
                                          <w:rPr>
                                            <w:sz w:val="16"/>
                                            <w:szCs w:val="16"/>
                                            <w:lang w:val="es-MX"/>
                                          </w:rPr>
                                        </w:pPr>
                                        <w:r>
                                          <w:rPr>
                                            <w:sz w:val="16"/>
                                            <w:szCs w:val="16"/>
                                            <w:lang w:val="es-MX"/>
                                          </w:rPr>
                                          <w:t>(-0.01%)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21 Cuadro de texto"/>
                                  <wps:cNvSpPr txBox="1"/>
                                  <wps:spPr>
                                    <a:xfrm>
                                      <a:off x="17829" y="0"/>
                                      <a:ext cx="573405" cy="225425"/>
                                    </a:xfrm>
                                    <a:prstGeom prst="rect">
                                      <a:avLst/>
                                    </a:prstGeom>
                                    <a:noFill/>
                                    <a:ln w="6350">
                                      <a:noFill/>
                                    </a:ln>
                                    <a:effectLst/>
                                  </wps:spPr>
                                  <wps:txbx>
                                    <w:txbxContent>
                                      <w:p w:rsidR="00A14B35" w:rsidRPr="00B968EF" w:rsidRDefault="00A14B35" w:rsidP="00364D4D">
                                        <w:pPr>
                                          <w:rPr>
                                            <w:sz w:val="16"/>
                                            <w:szCs w:val="16"/>
                                            <w:lang w:val="es-MX"/>
                                          </w:rPr>
                                        </w:pPr>
                                        <w:r>
                                          <w:rPr>
                                            <w:sz w:val="16"/>
                                            <w:szCs w:val="16"/>
                                            <w:lang w:val="es-MX"/>
                                          </w:rPr>
                                          <w:t>(0.19%)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2F1F4029" id="1 Grupo" o:spid="_x0000_s1027" style="position:absolute;left:0;text-align:left;margin-left:148.45pt;margin-top:8.25pt;width:56.4pt;height:75.8pt;z-index:251661312;mso-width-relative:margin;mso-height-relative:margin" coordorigin="178" coordsize="5814,7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">
                      <v:shape id="3 Cuadro de texto" o:spid="_x0000_s1028" type="#_x0000_t202" style="position:absolute;left:297;top:4393;width:557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rsidR="00A14B35" w:rsidRPr="00591D35" w:rsidRDefault="00A14B35" w:rsidP="00364D4D">
                              <w:pPr>
                                <w:rPr>
                                  <w:sz w:val="16"/>
                                  <w:szCs w:val="16"/>
                                  <w:lang w:val="es-MX"/>
                                </w:rPr>
                              </w:pPr>
                              <w:r>
                                <w:rPr>
                                  <w:sz w:val="16"/>
                                  <w:szCs w:val="16"/>
                                  <w:lang w:val="es-MX"/>
                                </w:rPr>
                                <w:t>(0.10%)</w:t>
                              </w:r>
                            </w:p>
                          </w:txbxContent>
                        </v:textbox>
                      </v:shape>
                      <v:group id="13 Grupo" o:spid="_x0000_s1029" style="position:absolute;left:178;width:5814;height:7992" coordorigin="178"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14 Cuadro de texto" o:spid="_x0000_s1030" type="#_x0000_t202" style="position:absolute;left:237;top:1484;width:5220;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rsidR="00A14B35" w:rsidRPr="00591D35" w:rsidRDefault="00A14B35" w:rsidP="00364D4D">
                                <w:pPr>
                                  <w:rPr>
                                    <w:sz w:val="16"/>
                                    <w:szCs w:val="16"/>
                                    <w:lang w:val="es-MX"/>
                                  </w:rPr>
                                </w:pPr>
                                <w:r>
                                  <w:rPr>
                                    <w:sz w:val="16"/>
                                    <w:szCs w:val="16"/>
                                    <w:lang w:val="es-MX"/>
                                  </w:rPr>
                                  <w:t>(0.00%)</w:t>
                                </w:r>
                              </w:p>
                            </w:txbxContent>
                          </v:textbox>
                        </v:shape>
                        <v:group id="15 Grupo" o:spid="_x0000_s1031" style="position:absolute;left:178;width:5814;height:7992" coordorigin="178"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19 Cuadro de texto" o:spid="_x0000_s1032" type="#_x0000_t202" style="position:absolute;left:297;top:5878;width:5695;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rsidR="00A14B35" w:rsidRPr="00591D35" w:rsidRDefault="00A14B35" w:rsidP="00364D4D">
                                  <w:pPr>
                                    <w:rPr>
                                      <w:sz w:val="16"/>
                                      <w:szCs w:val="16"/>
                                      <w:lang w:val="es-MX"/>
                                    </w:rPr>
                                  </w:pPr>
                                  <w:r>
                                    <w:rPr>
                                      <w:sz w:val="16"/>
                                      <w:szCs w:val="16"/>
                                      <w:lang w:val="es-MX"/>
                                    </w:rPr>
                                    <w:t>(0.27%)</w:t>
                                  </w:r>
                                </w:p>
                              </w:txbxContent>
                            </v:textbox>
                          </v:shape>
                          <v:shape id="20 Cuadro de texto" o:spid="_x0000_s1033" type="#_x0000_t202" style="position:absolute;left:237;top:2970;width:5575;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rsidR="00A14B35" w:rsidRPr="00001985" w:rsidRDefault="00A14B35" w:rsidP="00364D4D">
                                  <w:pPr>
                                    <w:rPr>
                                      <w:sz w:val="16"/>
                                      <w:szCs w:val="16"/>
                                      <w:lang w:val="es-MX"/>
                                    </w:rPr>
                                  </w:pPr>
                                  <w:r>
                                    <w:rPr>
                                      <w:sz w:val="16"/>
                                      <w:szCs w:val="16"/>
                                      <w:lang w:val="es-MX"/>
                                    </w:rPr>
                                    <w:t>(-0.01%)</w:t>
                                  </w:r>
                                </w:p>
                              </w:txbxContent>
                            </v:textbox>
                          </v:shape>
                          <v:shape id="21 Cuadro de texto" o:spid="_x0000_s1034" type="#_x0000_t202" style="position:absolute;left:178;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rsidR="00A14B35" w:rsidRPr="00B968EF" w:rsidRDefault="00A14B35" w:rsidP="00364D4D">
                                  <w:pPr>
                                    <w:rPr>
                                      <w:sz w:val="16"/>
                                      <w:szCs w:val="16"/>
                                      <w:lang w:val="es-MX"/>
                                    </w:rPr>
                                  </w:pPr>
                                  <w:r>
                                    <w:rPr>
                                      <w:sz w:val="16"/>
                                      <w:szCs w:val="16"/>
                                      <w:lang w:val="es-MX"/>
                                    </w:rPr>
                                    <w:t>(0.19%)</w:t>
                                  </w:r>
                                </w:p>
                              </w:txbxContent>
                            </v:textbox>
                          </v:shape>
                        </v:group>
                      </v:group>
                    </v:group>
                  </w:pict>
                </mc:Fallback>
              </mc:AlternateContent>
            </w:r>
            <w:r w:rsidR="001F129F">
              <w:rPr>
                <w:noProof/>
                <w:lang w:val="es-MX" w:eastAsia="es-MX"/>
              </w:rPr>
              <w:drawing>
                <wp:inline distT="0" distB="0" distL="0" distR="0" wp14:anchorId="1BF1DC84" wp14:editId="28A56B8D">
                  <wp:extent cx="5486400" cy="3200400"/>
                  <wp:effectExtent l="0" t="0" r="0" b="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364D4D" w:rsidRPr="00865687" w:rsidTr="00B17B53">
        <w:trPr>
          <w:gridAfter w:val="1"/>
          <w:wAfter w:w="61" w:type="dxa"/>
        </w:trPr>
        <w:tc>
          <w:tcPr>
            <w:tcW w:w="8840" w:type="dxa"/>
          </w:tcPr>
          <w:p w:rsidR="00364D4D" w:rsidRPr="00BF7A0E" w:rsidRDefault="00364D4D" w:rsidP="00B17B53">
            <w:pPr>
              <w:pStyle w:val="NormalWeb"/>
              <w:tabs>
                <w:tab w:val="left" w:pos="378"/>
              </w:tabs>
              <w:spacing w:before="0" w:beforeAutospacing="0" w:after="0" w:afterAutospacing="0"/>
              <w:ind w:left="1274" w:hanging="154"/>
              <w:jc w:val="both"/>
              <w:rPr>
                <w:color w:val="000000"/>
                <w:kern w:val="24"/>
                <w:sz w:val="20"/>
                <w:szCs w:val="20"/>
              </w:rPr>
            </w:pPr>
            <w:r w:rsidRPr="00BF7A0E">
              <w:rPr>
                <w:color w:val="000000"/>
                <w:kern w:val="24"/>
                <w:position w:val="7"/>
                <w:sz w:val="20"/>
                <w:szCs w:val="20"/>
                <w:u w:val="single"/>
                <w:vertAlign w:val="superscript"/>
              </w:rPr>
              <w:t>1</w:t>
            </w:r>
            <w:r w:rsidRPr="00BF7A0E">
              <w:rPr>
                <w:color w:val="000000"/>
                <w:kern w:val="24"/>
                <w:position w:val="7"/>
                <w:sz w:val="20"/>
                <w:szCs w:val="20"/>
                <w:vertAlign w:val="superscript"/>
              </w:rPr>
              <w:t>/</w:t>
            </w:r>
            <w:r w:rsidRPr="00BF7A0E">
              <w:rPr>
                <w:color w:val="000000"/>
                <w:kern w:val="24"/>
                <w:sz w:val="20"/>
                <w:szCs w:val="20"/>
              </w:rPr>
              <w:t xml:space="preserve"> Estrato I: para familias de ingreso de hasta un salario mínimo; Estrato II: entre 1 y 3 salarios mínimos; Estrato III: entre 3 y 6 salarios mínimos; Estrato IV: superior a 6 salarios mínimos.</w:t>
            </w:r>
          </w:p>
          <w:p w:rsidR="00364D4D" w:rsidRPr="00865687" w:rsidRDefault="00364D4D" w:rsidP="00B17B53">
            <w:pPr>
              <w:pStyle w:val="NormalWeb"/>
              <w:tabs>
                <w:tab w:val="left" w:pos="378"/>
              </w:tabs>
              <w:spacing w:before="0" w:beforeAutospacing="0" w:after="0" w:afterAutospacing="0"/>
              <w:ind w:left="1274" w:right="-17" w:hanging="882"/>
              <w:jc w:val="both"/>
              <w:rPr>
                <w:color w:val="000000"/>
                <w:kern w:val="24"/>
                <w:sz w:val="20"/>
                <w:szCs w:val="20"/>
                <w:highlight w:val="lightGray"/>
              </w:rPr>
            </w:pPr>
            <w:r w:rsidRPr="00BF7A0E">
              <w:rPr>
                <w:color w:val="000000"/>
                <w:kern w:val="24"/>
                <w:sz w:val="20"/>
                <w:szCs w:val="20"/>
              </w:rPr>
              <w:t>FUENTE: Elaborado por la Comisión Nacional de los Salarios Mínimos con información del Instituto Nacional de Estadística y Geografía.</w:t>
            </w:r>
          </w:p>
        </w:tc>
      </w:tr>
    </w:tbl>
    <w:p w:rsidR="00364D4D" w:rsidRPr="00865687" w:rsidRDefault="00364D4D" w:rsidP="00364D4D">
      <w:pPr>
        <w:spacing w:line="360" w:lineRule="auto"/>
        <w:ind w:right="20"/>
        <w:jc w:val="both"/>
        <w:rPr>
          <w:b/>
          <w:color w:val="0000FF"/>
          <w:sz w:val="26"/>
          <w:szCs w:val="26"/>
          <w:highlight w:val="lightGray"/>
        </w:rPr>
      </w:pPr>
    </w:p>
    <w:p w:rsidR="00364D4D" w:rsidRPr="00343C24" w:rsidRDefault="00364D4D" w:rsidP="00364D4D">
      <w:pPr>
        <w:ind w:right="11"/>
        <w:jc w:val="both"/>
        <w:rPr>
          <w:b/>
          <w:color w:val="0000FF"/>
          <w:sz w:val="26"/>
          <w:szCs w:val="26"/>
          <w:vertAlign w:val="superscript"/>
        </w:rPr>
      </w:pPr>
      <w:r w:rsidRPr="00865687">
        <w:rPr>
          <w:b/>
          <w:color w:val="0000FF"/>
          <w:sz w:val="26"/>
          <w:szCs w:val="26"/>
          <w:highlight w:val="lightGray"/>
        </w:rPr>
        <w:br w:type="column"/>
      </w:r>
      <w:r w:rsidRPr="00AF070C">
        <w:rPr>
          <w:b/>
          <w:color w:val="0000FF"/>
          <w:sz w:val="26"/>
          <w:szCs w:val="26"/>
        </w:rPr>
        <w:lastRenderedPageBreak/>
        <w:t xml:space="preserve">Evolución acumulada del INPC y de los Índices de los Estratos </w:t>
      </w:r>
      <w:r w:rsidRPr="00AF070C">
        <w:rPr>
          <w:b/>
          <w:color w:val="0000FF"/>
          <w:sz w:val="26"/>
          <w:szCs w:val="26"/>
          <w:vertAlign w:val="superscript"/>
        </w:rPr>
        <w:footnoteReference w:id="3"/>
      </w:r>
    </w:p>
    <w:p w:rsidR="00364D4D" w:rsidRPr="00343C24" w:rsidRDefault="00364D4D" w:rsidP="00364D4D">
      <w:pPr>
        <w:ind w:right="11"/>
        <w:jc w:val="both"/>
        <w:rPr>
          <w:b/>
          <w:sz w:val="26"/>
          <w:szCs w:val="26"/>
          <w:vertAlign w:val="superscript"/>
        </w:rPr>
      </w:pPr>
    </w:p>
    <w:p w:rsidR="00364D4D" w:rsidRPr="00343C24" w:rsidRDefault="005279C4" w:rsidP="005279C4">
      <w:pPr>
        <w:spacing w:line="360" w:lineRule="auto"/>
        <w:ind w:right="20"/>
        <w:jc w:val="both"/>
        <w:rPr>
          <w:sz w:val="26"/>
          <w:szCs w:val="26"/>
        </w:rPr>
      </w:pPr>
      <w:r>
        <w:rPr>
          <w:sz w:val="26"/>
          <w:szCs w:val="26"/>
        </w:rPr>
        <w:t>En el primer bimestre</w:t>
      </w:r>
      <w:r w:rsidRPr="006E49FE">
        <w:rPr>
          <w:sz w:val="26"/>
          <w:szCs w:val="26"/>
        </w:rPr>
        <w:t xml:space="preserve"> de </w:t>
      </w:r>
      <w:r>
        <w:rPr>
          <w:sz w:val="26"/>
          <w:szCs w:val="26"/>
        </w:rPr>
        <w:t xml:space="preserve">2015, los Estratos I, II y III se ubicaron por debajo de </w:t>
      </w:r>
      <w:r w:rsidRPr="006E49FE">
        <w:rPr>
          <w:sz w:val="26"/>
          <w:szCs w:val="26"/>
        </w:rPr>
        <w:t xml:space="preserve">la inflación general </w:t>
      </w:r>
      <w:r>
        <w:rPr>
          <w:sz w:val="26"/>
          <w:szCs w:val="26"/>
        </w:rPr>
        <w:t>(0.10</w:t>
      </w:r>
      <w:r w:rsidRPr="006E49FE">
        <w:rPr>
          <w:sz w:val="26"/>
          <w:szCs w:val="26"/>
        </w:rPr>
        <w:t>%</w:t>
      </w:r>
      <w:r>
        <w:rPr>
          <w:sz w:val="26"/>
          <w:szCs w:val="26"/>
        </w:rPr>
        <w:t>) en 0.20, 0.22 y 0.09</w:t>
      </w:r>
      <w:r w:rsidRPr="006E49FE">
        <w:rPr>
          <w:sz w:val="26"/>
          <w:szCs w:val="26"/>
        </w:rPr>
        <w:t xml:space="preserve"> </w:t>
      </w:r>
      <w:r>
        <w:rPr>
          <w:sz w:val="26"/>
          <w:szCs w:val="26"/>
        </w:rPr>
        <w:t xml:space="preserve">puntos porcentuales, </w:t>
      </w:r>
      <w:r w:rsidR="001B78FB">
        <w:rPr>
          <w:sz w:val="26"/>
          <w:szCs w:val="26"/>
        </w:rPr>
        <w:t>en ese orden</w:t>
      </w:r>
      <w:r>
        <w:rPr>
          <w:sz w:val="26"/>
          <w:szCs w:val="26"/>
        </w:rPr>
        <w:t xml:space="preserve">. </w:t>
      </w:r>
      <w:r w:rsidR="001B78FB">
        <w:rPr>
          <w:sz w:val="26"/>
          <w:szCs w:val="26"/>
        </w:rPr>
        <w:t>Mientras que</w:t>
      </w:r>
      <w:r w:rsidRPr="006E49FE">
        <w:rPr>
          <w:sz w:val="26"/>
          <w:szCs w:val="26"/>
        </w:rPr>
        <w:t xml:space="preserve"> </w:t>
      </w:r>
      <w:r>
        <w:rPr>
          <w:sz w:val="26"/>
          <w:szCs w:val="26"/>
        </w:rPr>
        <w:t>e</w:t>
      </w:r>
      <w:r w:rsidR="00364D4D">
        <w:rPr>
          <w:sz w:val="26"/>
          <w:szCs w:val="26"/>
        </w:rPr>
        <w:t xml:space="preserve">l Índice del Estrato IV </w:t>
      </w:r>
      <w:r w:rsidR="001B78FB">
        <w:rPr>
          <w:sz w:val="26"/>
          <w:szCs w:val="26"/>
        </w:rPr>
        <w:t>se ubicó por encima en</w:t>
      </w:r>
      <w:r>
        <w:rPr>
          <w:sz w:val="26"/>
          <w:szCs w:val="26"/>
        </w:rPr>
        <w:t xml:space="preserve"> </w:t>
      </w:r>
      <w:r w:rsidR="00364D4D">
        <w:rPr>
          <w:sz w:val="26"/>
          <w:szCs w:val="26"/>
        </w:rPr>
        <w:t>0.0</w:t>
      </w:r>
      <w:r>
        <w:rPr>
          <w:sz w:val="26"/>
          <w:szCs w:val="26"/>
        </w:rPr>
        <w:t>8 puntos porcentuales</w:t>
      </w:r>
      <w:r w:rsidR="001B78FB">
        <w:rPr>
          <w:sz w:val="26"/>
          <w:szCs w:val="26"/>
        </w:rPr>
        <w:t>.</w:t>
      </w:r>
    </w:p>
    <w:p w:rsidR="00364D4D" w:rsidRPr="00343C24" w:rsidRDefault="00364D4D" w:rsidP="00364D4D">
      <w:pPr>
        <w:spacing w:line="360" w:lineRule="auto"/>
        <w:ind w:right="20"/>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364D4D" w:rsidRPr="00343C24" w:rsidTr="00B17B53">
        <w:tc>
          <w:tcPr>
            <w:tcW w:w="8980" w:type="dxa"/>
            <w:gridSpan w:val="2"/>
          </w:tcPr>
          <w:p w:rsidR="00364D4D" w:rsidRPr="00343C24" w:rsidRDefault="00364D4D" w:rsidP="00B17B53">
            <w:pPr>
              <w:pStyle w:val="NormalWeb"/>
              <w:spacing w:before="0" w:beforeAutospacing="0" w:after="0" w:afterAutospacing="0"/>
              <w:jc w:val="center"/>
              <w:rPr>
                <w:sz w:val="22"/>
                <w:szCs w:val="22"/>
              </w:rPr>
            </w:pPr>
            <w:r w:rsidRPr="00343C24">
              <w:rPr>
                <w:b/>
                <w:bCs/>
                <w:color w:val="000000"/>
                <w:kern w:val="24"/>
                <w:sz w:val="22"/>
                <w:szCs w:val="22"/>
                <w:lang w:val="es-ES_tradnl"/>
              </w:rPr>
              <w:t>ÍNDICE NACIONAL DE PRECIOS AL CONSUMIDOR POR NIVEL DE ESTRATO</w:t>
            </w:r>
            <w:r w:rsidRPr="00343C24">
              <w:rPr>
                <w:b/>
                <w:bCs/>
                <w:color w:val="000000"/>
                <w:kern w:val="24"/>
                <w:sz w:val="2"/>
                <w:szCs w:val="22"/>
                <w:lang w:val="es-ES_tradnl"/>
              </w:rPr>
              <w:t xml:space="preserve"> </w:t>
            </w:r>
            <w:r w:rsidRPr="00343C24">
              <w:rPr>
                <w:b/>
                <w:bCs/>
                <w:color w:val="000000"/>
                <w:kern w:val="24"/>
                <w:sz w:val="22"/>
                <w:szCs w:val="22"/>
                <w:u w:val="single"/>
                <w:vertAlign w:val="superscript"/>
                <w:lang w:val="es-ES_tradnl"/>
              </w:rPr>
              <w:t>1</w:t>
            </w:r>
            <w:r w:rsidRPr="00343C24">
              <w:rPr>
                <w:b/>
                <w:bCs/>
                <w:color w:val="000000"/>
                <w:kern w:val="24"/>
                <w:sz w:val="22"/>
                <w:szCs w:val="22"/>
                <w:vertAlign w:val="superscript"/>
                <w:lang w:val="es-ES_tradnl"/>
              </w:rPr>
              <w:t>/</w:t>
            </w:r>
          </w:p>
          <w:p w:rsidR="00364D4D" w:rsidRPr="00343C24" w:rsidRDefault="00364D4D" w:rsidP="00B17B53">
            <w:pPr>
              <w:pStyle w:val="NormalWeb"/>
              <w:spacing w:before="0" w:beforeAutospacing="0" w:after="0" w:afterAutospacing="0"/>
              <w:jc w:val="center"/>
              <w:rPr>
                <w:b/>
                <w:sz w:val="22"/>
                <w:szCs w:val="22"/>
              </w:rPr>
            </w:pPr>
            <w:r w:rsidRPr="00343C24">
              <w:rPr>
                <w:b/>
                <w:bCs/>
                <w:color w:val="000000"/>
                <w:kern w:val="24"/>
                <w:sz w:val="22"/>
                <w:szCs w:val="22"/>
                <w:lang w:val="es-ES_tradnl"/>
              </w:rPr>
              <w:t xml:space="preserve">- Variación acumulada </w:t>
            </w:r>
            <w:r w:rsidRPr="00343C24">
              <w:rPr>
                <w:b/>
                <w:bCs/>
                <w:color w:val="000000"/>
                <w:kern w:val="24"/>
                <w:sz w:val="22"/>
                <w:szCs w:val="22"/>
                <w:lang w:val="es-MX"/>
              </w:rPr>
              <w:t>-</w:t>
            </w:r>
          </w:p>
          <w:p w:rsidR="00364D4D" w:rsidRDefault="001244B5"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Febrero</w:t>
            </w:r>
            <w:r w:rsidR="00364D4D" w:rsidRPr="00343C24">
              <w:rPr>
                <w:b/>
                <w:bCs/>
                <w:color w:val="000000"/>
                <w:kern w:val="24"/>
                <w:sz w:val="22"/>
                <w:szCs w:val="22"/>
                <w:lang w:val="es-MX"/>
              </w:rPr>
              <w:t xml:space="preserve"> </w:t>
            </w:r>
            <w:r w:rsidR="00A209C7">
              <w:rPr>
                <w:b/>
                <w:bCs/>
                <w:color w:val="000000"/>
                <w:kern w:val="24"/>
                <w:sz w:val="22"/>
                <w:szCs w:val="22"/>
                <w:lang w:val="es-MX"/>
              </w:rPr>
              <w:t>2014</w:t>
            </w:r>
            <w:r w:rsidR="00364D4D" w:rsidRPr="00343C24">
              <w:rPr>
                <w:b/>
                <w:bCs/>
                <w:color w:val="000000"/>
                <w:kern w:val="24"/>
                <w:sz w:val="22"/>
                <w:szCs w:val="22"/>
                <w:lang w:val="es-MX"/>
              </w:rPr>
              <w:t xml:space="preserve"> </w:t>
            </w:r>
            <w:r w:rsidR="00364D4D">
              <w:rPr>
                <w:b/>
                <w:bCs/>
                <w:color w:val="000000"/>
                <w:kern w:val="24"/>
                <w:sz w:val="22"/>
                <w:szCs w:val="22"/>
                <w:lang w:val="es-MX"/>
              </w:rPr>
              <w:t>–</w:t>
            </w:r>
            <w:r w:rsidR="00364D4D" w:rsidRPr="00343C24">
              <w:rPr>
                <w:b/>
                <w:bCs/>
                <w:color w:val="000000"/>
                <w:kern w:val="24"/>
                <w:sz w:val="22"/>
                <w:szCs w:val="22"/>
                <w:lang w:val="es-MX"/>
              </w:rPr>
              <w:t xml:space="preserve"> </w:t>
            </w:r>
            <w:r>
              <w:rPr>
                <w:b/>
                <w:bCs/>
                <w:color w:val="000000"/>
                <w:kern w:val="24"/>
                <w:sz w:val="22"/>
                <w:szCs w:val="22"/>
                <w:lang w:val="es-MX"/>
              </w:rPr>
              <w:t>febrero</w:t>
            </w:r>
            <w:r w:rsidR="00364D4D">
              <w:rPr>
                <w:b/>
                <w:bCs/>
                <w:color w:val="000000"/>
                <w:kern w:val="24"/>
                <w:sz w:val="22"/>
                <w:szCs w:val="22"/>
                <w:lang w:val="es-MX"/>
              </w:rPr>
              <w:t xml:space="preserve"> </w:t>
            </w:r>
            <w:r w:rsidR="00A209C7">
              <w:rPr>
                <w:b/>
                <w:bCs/>
                <w:color w:val="000000"/>
                <w:kern w:val="24"/>
                <w:sz w:val="22"/>
                <w:szCs w:val="22"/>
                <w:lang w:val="es-MX"/>
              </w:rPr>
              <w:t>2015</w:t>
            </w:r>
          </w:p>
          <w:p w:rsidR="00364D4D" w:rsidRPr="00343C24"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RPr="00343C24" w:rsidTr="00B17B53">
        <w:tc>
          <w:tcPr>
            <w:tcW w:w="8980" w:type="dxa"/>
            <w:gridSpan w:val="2"/>
          </w:tcPr>
          <w:p w:rsidR="00364D4D" w:rsidRPr="00343C24" w:rsidRDefault="00E2738C" w:rsidP="00B17B53">
            <w:pPr>
              <w:tabs>
                <w:tab w:val="left" w:pos="5080"/>
              </w:tabs>
              <w:spacing w:line="360" w:lineRule="auto"/>
              <w:ind w:right="20"/>
              <w:jc w:val="both"/>
              <w:rPr>
                <w:sz w:val="26"/>
                <w:szCs w:val="26"/>
              </w:rPr>
            </w:pPr>
            <w:r>
              <w:rPr>
                <w:noProof/>
                <w:lang w:val="es-MX" w:eastAsia="es-MX"/>
              </w:rPr>
              <mc:AlternateContent>
                <mc:Choice Requires="wpg">
                  <w:drawing>
                    <wp:anchor distT="0" distB="0" distL="114300" distR="114300" simplePos="0" relativeHeight="251675648" behindDoc="0" locked="0" layoutInCell="1" allowOverlap="1" wp14:anchorId="4CEEE6A8" wp14:editId="04139B78">
                      <wp:simplePos x="0" y="0"/>
                      <wp:positionH relativeFrom="column">
                        <wp:posOffset>1308735</wp:posOffset>
                      </wp:positionH>
                      <wp:positionV relativeFrom="paragraph">
                        <wp:posOffset>86995</wp:posOffset>
                      </wp:positionV>
                      <wp:extent cx="647065" cy="798830"/>
                      <wp:effectExtent l="0" t="0" r="0" b="1270"/>
                      <wp:wrapNone/>
                      <wp:docPr id="24" name="30 Grupo"/>
                      <wp:cNvGraphicFramePr/>
                      <a:graphic xmlns:a="http://schemas.openxmlformats.org/drawingml/2006/main">
                        <a:graphicData uri="http://schemas.microsoft.com/office/word/2010/wordprocessingGroup">
                          <wpg:wgp>
                            <wpg:cNvGrpSpPr/>
                            <wpg:grpSpPr>
                              <a:xfrm>
                                <a:off x="0" y="0"/>
                                <a:ext cx="647065" cy="798830"/>
                                <a:chOff x="0" y="0"/>
                                <a:chExt cx="647699" cy="799284"/>
                              </a:xfrm>
                            </wpg:grpSpPr>
                            <wps:wsp>
                              <wps:cNvPr id="26" name="3137 Cuadro de texto"/>
                              <wps:cNvSpPr txBox="1"/>
                              <wps:spPr>
                                <a:xfrm>
                                  <a:off x="11876" y="439387"/>
                                  <a:ext cx="557530"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(0.01%)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 name="29 Grupo"/>
                              <wpg:cNvGrpSpPr/>
                              <wpg:grpSpPr>
                                <a:xfrm>
                                  <a:off x="0" y="0"/>
                                  <a:ext cx="647699" cy="799284"/>
                                  <a:chOff x="0" y="0"/>
                                  <a:chExt cx="647699" cy="799284"/>
                                </a:xfrm>
                              </wpg:grpSpPr>
                              <wps:wsp>
                                <wps:cNvPr id="28" name="56 Cuadro de texto"/>
                                <wps:cNvSpPr txBox="1"/>
                                <wps:spPr>
                                  <a:xfrm>
                                    <a:off x="11866" y="148358"/>
                                    <a:ext cx="635833" cy="211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591D35" w:rsidRDefault="00A14B35" w:rsidP="00364D4D">
                                      <w:pPr>
                                        <w:rPr>
                                          <w:sz w:val="16"/>
                                          <w:szCs w:val="16"/>
                                          <w:lang w:val="es-MX"/>
                                        </w:rPr>
                                      </w:pPr>
                                      <w:r>
                                        <w:rPr>
                                          <w:sz w:val="16"/>
                                          <w:szCs w:val="16"/>
                                          <w:lang w:val="es-MX"/>
                                        </w:rPr>
                                        <w:t>(-0.10%)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0" name="27 Grupo"/>
                                <wpg:cNvGrpSpPr/>
                                <wpg:grpSpPr>
                                  <a:xfrm>
                                    <a:off x="0" y="0"/>
                                    <a:ext cx="581471" cy="799284"/>
                                    <a:chOff x="0" y="0"/>
                                    <a:chExt cx="581471" cy="799284"/>
                                  </a:xfrm>
                                </wpg:grpSpPr>
                                <wps:wsp>
                                  <wps:cNvPr id="37" name="3139 Cuadro de texto"/>
                                  <wps:cNvSpPr txBox="1"/>
                                  <wps:spPr>
                                    <a:xfrm>
                                      <a:off x="11876" y="587829"/>
                                      <a:ext cx="569595"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2 Cuadro de texto"/>
                                  <wps:cNvSpPr txBox="1"/>
                                  <wps:spPr>
                                    <a:xfrm>
                                      <a:off x="11879" y="297035"/>
                                      <a:ext cx="557530" cy="237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001985" w:rsidRDefault="00A14B35" w:rsidP="00364D4D">
                                        <w:pPr>
                                          <w:rPr>
                                            <w:sz w:val="16"/>
                                            <w:szCs w:val="16"/>
                                            <w:lang w:val="es-MX"/>
                                          </w:rPr>
                                        </w:pPr>
                                        <w:r>
                                          <w:rPr>
                                            <w:sz w:val="16"/>
                                            <w:szCs w:val="16"/>
                                            <w:lang w:val="es-MX"/>
                                          </w:rPr>
                                          <w:t>(-0.12%)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26 Cuadro de texto"/>
                                  <wps:cNvSpPr txBox="1"/>
                                  <wps:spPr>
                                    <a:xfrm>
                                      <a:off x="0" y="0"/>
                                      <a:ext cx="573405" cy="225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B968EF" w:rsidRDefault="00A14B35" w:rsidP="00364D4D">
                                        <w:pPr>
                                          <w:rPr>
                                            <w:sz w:val="16"/>
                                            <w:szCs w:val="16"/>
                                            <w:lang w:val="es-MX"/>
                                          </w:rPr>
                                        </w:pPr>
                                        <w:r>
                                          <w:rPr>
                                            <w:sz w:val="16"/>
                                            <w:szCs w:val="16"/>
                                            <w:lang w:val="es-MX"/>
                                          </w:rPr>
                                          <w:t>(0.10%)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4CEEE6A8" id="30 Grupo" o:spid="_x0000_s1035" style="position:absolute;left:0;text-align:left;margin-left:103.05pt;margin-top:6.85pt;width:50.95pt;height:62.9pt;z-index:251675648;mso-width-relative:margin" coordsize="6476,7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">
                      <v:shape id="3137 Cuadro de texto" o:spid="_x0000_s1036" type="#_x0000_t202" style="position:absolute;left:118;top:4393;width:5576;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A14B35" w:rsidRPr="00591D35" w:rsidRDefault="00A14B35" w:rsidP="00364D4D">
                              <w:pPr>
                                <w:rPr>
                                  <w:sz w:val="16"/>
                                  <w:szCs w:val="16"/>
                                  <w:lang w:val="es-MX"/>
                                </w:rPr>
                              </w:pPr>
                              <w:r>
                                <w:rPr>
                                  <w:sz w:val="16"/>
                                  <w:szCs w:val="16"/>
                                  <w:lang w:val="es-MX"/>
                                </w:rPr>
                                <w:t>(0.01%)</w:t>
                              </w:r>
                            </w:p>
                          </w:txbxContent>
                        </v:textbox>
                      </v:shape>
                      <v:group id="29 Grupo" o:spid="_x0000_s1037" style="position:absolute;width:6476;height:7992" coordsize="6476,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56 Cuadro de texto" o:spid="_x0000_s1038" type="#_x0000_t202" style="position:absolute;left:118;top:1483;width:6358;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A14B35" w:rsidRPr="00591D35" w:rsidRDefault="00A14B35" w:rsidP="00364D4D">
                                <w:pPr>
                                  <w:rPr>
                                    <w:sz w:val="16"/>
                                    <w:szCs w:val="16"/>
                                    <w:lang w:val="es-MX"/>
                                  </w:rPr>
                                </w:pPr>
                                <w:r>
                                  <w:rPr>
                                    <w:sz w:val="16"/>
                                    <w:szCs w:val="16"/>
                                    <w:lang w:val="es-MX"/>
                                  </w:rPr>
                                  <w:t>(-0.10%)</w:t>
                                </w:r>
                              </w:p>
                            </w:txbxContent>
                          </v:textbox>
                        </v:shape>
                        <v:group id="27 Grupo" o:spid="_x0000_s1039" style="position:absolute;width:5814;height:7992"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3139 Cuadro de texto" o:spid="_x0000_s1040" type="#_x0000_t202" style="position:absolute;left:118;top:5878;width:5696;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em8UA&#10;AADbAAAADwAAAGRycy9kb3ducmV2LnhtbESPT4vCMBTE7wt+h/AEb2uqi6tUo0hBVsQ9+Ofi7dk8&#10;22LzUpuo1U+/WRA8DjPzG2Yya0wpblS7wrKCXjcCQZxaXXCmYL9bfI5AOI+ssbRMCh7kYDZtfUww&#10;1vbOG7ptfSYChF2MCnLvq1hKl+Zk0HVtRRy8k60N+iDrTOoa7wFuStmPom9psOCwkGNFSU7peXs1&#10;ClbJ4hc3x74ZPcvkZ32aV5f9YaBUp93MxyA8Nf4dfrWXWsHXEP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96bxQAAANsAAAAPAAAAAAAAAAAAAAAAAJgCAABkcnMv&#10;ZG93bnJldi54bWxQSwUGAAAAAAQABAD1AAAAigMAAAAA&#10;" filled="f" stroked="f" strokeweight=".5pt">
                            <v:textbox>
                              <w:txbxContent>
                                <w:p w:rsidR="00A14B35" w:rsidRPr="00591D35" w:rsidRDefault="00A14B35" w:rsidP="00364D4D">
                                  <w:pPr>
                                    <w:rPr>
                                      <w:sz w:val="16"/>
                                      <w:szCs w:val="16"/>
                                      <w:lang w:val="es-MX"/>
                                    </w:rPr>
                                  </w:pPr>
                                  <w:r>
                                    <w:rPr>
                                      <w:sz w:val="16"/>
                                      <w:szCs w:val="16"/>
                                      <w:lang w:val="es-MX"/>
                                    </w:rPr>
                                    <w:t>(0.18%)</w:t>
                                  </w:r>
                                </w:p>
                              </w:txbxContent>
                            </v:textbox>
                          </v:shape>
                          <v:shape id="2 Cuadro de texto" o:spid="_x0000_s1041" type="#_x0000_t202" style="position:absolute;left:118;top:2970;width:5576;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iQCcUA&#10;AADbAAAADwAAAGRycy9kb3ducmV2LnhtbESPQWvCQBSE74L/YXlCb7qJ1C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AJxQAAANsAAAAPAAAAAAAAAAAAAAAAAJgCAABkcnMv&#10;ZG93bnJldi54bWxQSwUGAAAAAAQABAD1AAAAigMAAAAA&#10;" filled="f" stroked="f" strokeweight=".5pt">
                            <v:textbox>
                              <w:txbxContent>
                                <w:p w:rsidR="00A14B35" w:rsidRPr="00001985" w:rsidRDefault="00A14B35" w:rsidP="00364D4D">
                                  <w:pPr>
                                    <w:rPr>
                                      <w:sz w:val="16"/>
                                      <w:szCs w:val="16"/>
                                      <w:lang w:val="es-MX"/>
                                    </w:rPr>
                                  </w:pPr>
                                  <w:r>
                                    <w:rPr>
                                      <w:sz w:val="16"/>
                                      <w:szCs w:val="16"/>
                                      <w:lang w:val="es-MX"/>
                                    </w:rPr>
                                    <w:t>(-0.12%)</w:t>
                                  </w:r>
                                </w:p>
                              </w:txbxContent>
                            </v:textbox>
                          </v:shape>
                          <v:shape id="26 Cuadro de texto" o:spid="_x0000_s1042" type="#_x0000_t202" style="position:absolute;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w:txbxContent>
                                <w:p w:rsidR="00A14B35" w:rsidRPr="00B968EF" w:rsidRDefault="00A14B35" w:rsidP="00364D4D">
                                  <w:pPr>
                                    <w:rPr>
                                      <w:sz w:val="16"/>
                                      <w:szCs w:val="16"/>
                                      <w:lang w:val="es-MX"/>
                                    </w:rPr>
                                  </w:pPr>
                                  <w:r>
                                    <w:rPr>
                                      <w:sz w:val="16"/>
                                      <w:szCs w:val="16"/>
                                      <w:lang w:val="es-MX"/>
                                    </w:rPr>
                                    <w:t>(0.10%)</w:t>
                                  </w:r>
                                </w:p>
                              </w:txbxContent>
                            </v:textbox>
                          </v:shape>
                        </v:group>
                      </v:group>
                    </v:group>
                  </w:pict>
                </mc:Fallback>
              </mc:AlternateContent>
            </w:r>
            <w:r w:rsidR="001F129F" w:rsidRPr="00343C24">
              <w:rPr>
                <w:noProof/>
                <w:lang w:val="es-MX" w:eastAsia="es-MX"/>
              </w:rPr>
              <w:drawing>
                <wp:inline distT="0" distB="0" distL="0" distR="0" wp14:anchorId="495CD042" wp14:editId="08AE5C6E">
                  <wp:extent cx="5372100" cy="2971800"/>
                  <wp:effectExtent l="0" t="0" r="0" b="0"/>
                  <wp:docPr id="50"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364D4D" w:rsidRPr="00343C24">
              <w:rPr>
                <w:noProof/>
                <w:lang w:val="es-MX" w:eastAsia="es-MX"/>
              </w:rPr>
              <w:t xml:space="preserve"> </w:t>
            </w:r>
          </w:p>
        </w:tc>
      </w:tr>
      <w:tr w:rsidR="00364D4D" w:rsidRPr="00865687" w:rsidTr="00B17B53">
        <w:tc>
          <w:tcPr>
            <w:tcW w:w="1242" w:type="dxa"/>
          </w:tcPr>
          <w:p w:rsidR="00364D4D" w:rsidRPr="00343C24" w:rsidRDefault="00364D4D" w:rsidP="00B17B53">
            <w:pPr>
              <w:tabs>
                <w:tab w:val="left" w:pos="5080"/>
              </w:tabs>
              <w:ind w:right="23"/>
              <w:jc w:val="right"/>
              <w:rPr>
                <w:color w:val="000000"/>
                <w:kern w:val="24"/>
                <w:sz w:val="20"/>
                <w:szCs w:val="20"/>
              </w:rPr>
            </w:pPr>
            <w:r w:rsidRPr="00343C24">
              <w:rPr>
                <w:color w:val="000000"/>
                <w:kern w:val="24"/>
                <w:position w:val="7"/>
                <w:sz w:val="20"/>
                <w:szCs w:val="20"/>
                <w:u w:val="single"/>
                <w:vertAlign w:val="superscript"/>
              </w:rPr>
              <w:t>1</w:t>
            </w:r>
            <w:r w:rsidRPr="00343C24">
              <w:rPr>
                <w:color w:val="000000"/>
                <w:kern w:val="24"/>
                <w:position w:val="7"/>
                <w:sz w:val="20"/>
                <w:szCs w:val="20"/>
                <w:vertAlign w:val="superscript"/>
              </w:rPr>
              <w:t>/</w:t>
            </w:r>
            <w:r w:rsidRPr="00343C24">
              <w:rPr>
                <w:color w:val="000000"/>
                <w:kern w:val="24"/>
                <w:sz w:val="20"/>
                <w:szCs w:val="20"/>
              </w:rPr>
              <w:t xml:space="preserve"> </w:t>
            </w:r>
          </w:p>
          <w:p w:rsidR="00364D4D" w:rsidRPr="00343C24" w:rsidRDefault="00364D4D" w:rsidP="00B17B53">
            <w:pPr>
              <w:tabs>
                <w:tab w:val="left" w:pos="5080"/>
              </w:tabs>
              <w:ind w:right="23"/>
              <w:jc w:val="right"/>
              <w:rPr>
                <w:color w:val="000000"/>
                <w:kern w:val="24"/>
                <w:sz w:val="16"/>
                <w:szCs w:val="20"/>
              </w:rPr>
            </w:pPr>
          </w:p>
          <w:p w:rsidR="00364D4D" w:rsidRPr="00343C24" w:rsidRDefault="00364D4D" w:rsidP="00B17B53">
            <w:pPr>
              <w:tabs>
                <w:tab w:val="left" w:pos="5080"/>
              </w:tabs>
              <w:ind w:right="23"/>
              <w:jc w:val="right"/>
              <w:rPr>
                <w:noProof/>
                <w:lang w:val="es-MX" w:eastAsia="es-MX"/>
              </w:rPr>
            </w:pPr>
            <w:r w:rsidRPr="00343C24">
              <w:rPr>
                <w:color w:val="000000"/>
                <w:kern w:val="24"/>
                <w:sz w:val="20"/>
                <w:szCs w:val="20"/>
              </w:rPr>
              <w:t>FUENTE:</w:t>
            </w:r>
          </w:p>
        </w:tc>
        <w:tc>
          <w:tcPr>
            <w:tcW w:w="7738" w:type="dxa"/>
          </w:tcPr>
          <w:p w:rsidR="00364D4D" w:rsidRPr="00343C24" w:rsidRDefault="00364D4D" w:rsidP="00B17B53">
            <w:pPr>
              <w:pStyle w:val="NormalWeb"/>
              <w:tabs>
                <w:tab w:val="left" w:pos="378"/>
              </w:tabs>
              <w:spacing w:before="0" w:beforeAutospacing="0" w:after="0" w:afterAutospacing="0"/>
              <w:ind w:left="-108" w:right="-69"/>
              <w:jc w:val="both"/>
              <w:rPr>
                <w:color w:val="000000"/>
                <w:kern w:val="24"/>
                <w:sz w:val="20"/>
                <w:szCs w:val="20"/>
              </w:rPr>
            </w:pPr>
            <w:r w:rsidRPr="00343C24">
              <w:rPr>
                <w:color w:val="000000"/>
                <w:kern w:val="24"/>
                <w:sz w:val="20"/>
                <w:szCs w:val="20"/>
              </w:rPr>
              <w:t>Estrato I: para familias de ingreso de hasta un salario mínimo; Estrato II: entre 1 y 3 salarios mínimos; Estrato III: entre 3 y 6 salarios mínimos; Estrato IV: superior a 6 salarios mínimos.</w:t>
            </w:r>
          </w:p>
          <w:p w:rsidR="00364D4D" w:rsidRPr="00343C24" w:rsidRDefault="00364D4D" w:rsidP="00B17B53">
            <w:pPr>
              <w:tabs>
                <w:tab w:val="left" w:pos="5080"/>
              </w:tabs>
              <w:ind w:left="-108" w:right="-69"/>
              <w:jc w:val="both"/>
              <w:rPr>
                <w:noProof/>
                <w:lang w:val="es-MX" w:eastAsia="es-MX"/>
              </w:rPr>
            </w:pPr>
            <w:r w:rsidRPr="00343C24">
              <w:rPr>
                <w:color w:val="000000"/>
                <w:kern w:val="24"/>
                <w:sz w:val="20"/>
                <w:szCs w:val="20"/>
              </w:rPr>
              <w:t>Elaborado por la Comisión Nacional de los Salarios Mínimos con información del Instituto Nacional de Estadística y Geografía.</w:t>
            </w:r>
          </w:p>
        </w:tc>
      </w:tr>
    </w:tbl>
    <w:p w:rsidR="00364D4D" w:rsidRPr="00865687" w:rsidRDefault="00364D4D" w:rsidP="00364D4D">
      <w:pPr>
        <w:spacing w:line="360" w:lineRule="auto"/>
        <w:ind w:right="20"/>
        <w:jc w:val="both"/>
        <w:rPr>
          <w:b/>
          <w:color w:val="0000FF"/>
          <w:sz w:val="26"/>
          <w:szCs w:val="26"/>
          <w:highlight w:val="lightGray"/>
        </w:rPr>
      </w:pPr>
    </w:p>
    <w:p w:rsidR="00364D4D" w:rsidRPr="00715175" w:rsidRDefault="00364D4D" w:rsidP="00364D4D">
      <w:pPr>
        <w:ind w:right="11"/>
        <w:jc w:val="both"/>
        <w:rPr>
          <w:b/>
          <w:color w:val="0000FF"/>
          <w:sz w:val="26"/>
          <w:szCs w:val="26"/>
          <w:vertAlign w:val="superscript"/>
        </w:rPr>
      </w:pPr>
      <w:r w:rsidRPr="00865687">
        <w:rPr>
          <w:color w:val="0000FF"/>
          <w:highlight w:val="lightGray"/>
        </w:rPr>
        <w:br w:type="column"/>
      </w:r>
      <w:r w:rsidRPr="00801533">
        <w:rPr>
          <w:b/>
          <w:color w:val="0000FF"/>
          <w:sz w:val="26"/>
          <w:szCs w:val="26"/>
        </w:rPr>
        <w:lastRenderedPageBreak/>
        <w:t>Evolución interanual del INPC y de los Índices de los Estratos</w:t>
      </w:r>
      <w:r w:rsidRPr="00414AD5">
        <w:rPr>
          <w:b/>
          <w:color w:val="0000FF"/>
          <w:sz w:val="26"/>
          <w:szCs w:val="26"/>
        </w:rPr>
        <w:t xml:space="preserve"> </w:t>
      </w:r>
      <w:r w:rsidRPr="00414AD5">
        <w:rPr>
          <w:b/>
          <w:color w:val="0000FF"/>
          <w:sz w:val="26"/>
          <w:szCs w:val="26"/>
          <w:vertAlign w:val="superscript"/>
        </w:rPr>
        <w:footnoteReference w:id="4"/>
      </w:r>
    </w:p>
    <w:p w:rsidR="00364D4D" w:rsidRPr="00715175" w:rsidRDefault="00364D4D" w:rsidP="00364D4D">
      <w:pPr>
        <w:ind w:right="11"/>
        <w:jc w:val="both"/>
        <w:rPr>
          <w:b/>
          <w:sz w:val="26"/>
          <w:szCs w:val="26"/>
          <w:vertAlign w:val="superscript"/>
        </w:rPr>
      </w:pPr>
    </w:p>
    <w:p w:rsidR="00364D4D" w:rsidRPr="006E49FE" w:rsidRDefault="00364D4D" w:rsidP="00364D4D">
      <w:pPr>
        <w:spacing w:line="360" w:lineRule="auto"/>
        <w:ind w:right="20"/>
        <w:jc w:val="both"/>
        <w:rPr>
          <w:sz w:val="26"/>
          <w:szCs w:val="26"/>
        </w:rPr>
      </w:pPr>
      <w:r>
        <w:rPr>
          <w:sz w:val="26"/>
          <w:szCs w:val="26"/>
        </w:rPr>
        <w:t>Por su parte, e</w:t>
      </w:r>
      <w:r w:rsidRPr="006E49FE">
        <w:rPr>
          <w:sz w:val="26"/>
          <w:szCs w:val="26"/>
        </w:rPr>
        <w:t xml:space="preserve">n </w:t>
      </w:r>
      <w:r w:rsidR="001244B5">
        <w:rPr>
          <w:sz w:val="26"/>
          <w:szCs w:val="26"/>
        </w:rPr>
        <w:t>febrero</w:t>
      </w:r>
      <w:r w:rsidRPr="006E49FE">
        <w:rPr>
          <w:sz w:val="26"/>
          <w:szCs w:val="26"/>
        </w:rPr>
        <w:t xml:space="preserve"> de </w:t>
      </w:r>
      <w:r w:rsidR="00A209C7">
        <w:rPr>
          <w:sz w:val="26"/>
          <w:szCs w:val="26"/>
        </w:rPr>
        <w:t>2015</w:t>
      </w:r>
      <w:r w:rsidRPr="006E49FE">
        <w:rPr>
          <w:sz w:val="26"/>
          <w:szCs w:val="26"/>
        </w:rPr>
        <w:t>, la variación inte</w:t>
      </w:r>
      <w:r>
        <w:rPr>
          <w:sz w:val="26"/>
          <w:szCs w:val="26"/>
        </w:rPr>
        <w:t>ranual del Índice del Estrato IV</w:t>
      </w:r>
      <w:r w:rsidRPr="006E49FE">
        <w:rPr>
          <w:sz w:val="26"/>
          <w:szCs w:val="26"/>
        </w:rPr>
        <w:t xml:space="preserve"> se ubicó en </w:t>
      </w:r>
      <w:r w:rsidR="005312C8">
        <w:rPr>
          <w:sz w:val="26"/>
          <w:szCs w:val="26"/>
        </w:rPr>
        <w:t>2.97%, cantidad inferior</w:t>
      </w:r>
      <w:r w:rsidRPr="006E49FE">
        <w:rPr>
          <w:sz w:val="26"/>
          <w:szCs w:val="26"/>
        </w:rPr>
        <w:t xml:space="preserve"> a la inflación general de </w:t>
      </w:r>
      <w:r>
        <w:rPr>
          <w:sz w:val="26"/>
          <w:szCs w:val="26"/>
        </w:rPr>
        <w:t>3.</w:t>
      </w:r>
      <w:r w:rsidR="005312C8">
        <w:rPr>
          <w:sz w:val="26"/>
          <w:szCs w:val="26"/>
        </w:rPr>
        <w:t>0</w:t>
      </w:r>
      <w:r w:rsidRPr="006E49FE">
        <w:rPr>
          <w:sz w:val="26"/>
          <w:szCs w:val="26"/>
        </w:rPr>
        <w:t>%</w:t>
      </w:r>
      <w:r w:rsidR="002C1FB6">
        <w:rPr>
          <w:sz w:val="26"/>
          <w:szCs w:val="26"/>
        </w:rPr>
        <w:t>;</w:t>
      </w:r>
      <w:r w:rsidRPr="006E49FE">
        <w:rPr>
          <w:sz w:val="26"/>
          <w:szCs w:val="26"/>
        </w:rPr>
        <w:t xml:space="preserve"> </w:t>
      </w:r>
      <w:r w:rsidR="005312C8">
        <w:rPr>
          <w:sz w:val="26"/>
          <w:szCs w:val="26"/>
        </w:rPr>
        <w:t>por su parte</w:t>
      </w:r>
      <w:r w:rsidR="002C1FB6">
        <w:rPr>
          <w:sz w:val="26"/>
          <w:szCs w:val="26"/>
        </w:rPr>
        <w:t>,</w:t>
      </w:r>
      <w:r w:rsidR="005312C8">
        <w:rPr>
          <w:sz w:val="26"/>
          <w:szCs w:val="26"/>
        </w:rPr>
        <w:t xml:space="preserve"> los</w:t>
      </w:r>
      <w:r>
        <w:rPr>
          <w:sz w:val="26"/>
          <w:szCs w:val="26"/>
        </w:rPr>
        <w:t xml:space="preserve"> </w:t>
      </w:r>
      <w:r w:rsidRPr="006E49FE">
        <w:rPr>
          <w:sz w:val="26"/>
          <w:szCs w:val="26"/>
        </w:rPr>
        <w:t>Estrato</w:t>
      </w:r>
      <w:r>
        <w:rPr>
          <w:sz w:val="26"/>
          <w:szCs w:val="26"/>
        </w:rPr>
        <w:t>s</w:t>
      </w:r>
      <w:r w:rsidRPr="006E49FE">
        <w:rPr>
          <w:sz w:val="26"/>
          <w:szCs w:val="26"/>
        </w:rPr>
        <w:t xml:space="preserve"> I</w:t>
      </w:r>
      <w:r w:rsidR="005312C8">
        <w:rPr>
          <w:sz w:val="26"/>
          <w:szCs w:val="26"/>
        </w:rPr>
        <w:t xml:space="preserve">, </w:t>
      </w:r>
      <w:r>
        <w:rPr>
          <w:sz w:val="26"/>
          <w:szCs w:val="26"/>
        </w:rPr>
        <w:t>II</w:t>
      </w:r>
      <w:r w:rsidR="005312C8">
        <w:rPr>
          <w:sz w:val="26"/>
          <w:szCs w:val="26"/>
        </w:rPr>
        <w:t xml:space="preserve"> y III</w:t>
      </w:r>
      <w:r w:rsidRPr="006E49FE">
        <w:rPr>
          <w:sz w:val="26"/>
          <w:szCs w:val="26"/>
        </w:rPr>
        <w:t xml:space="preserve"> </w:t>
      </w:r>
      <w:r w:rsidR="005312C8">
        <w:rPr>
          <w:sz w:val="26"/>
          <w:szCs w:val="26"/>
        </w:rPr>
        <w:t>se situaron por encima</w:t>
      </w:r>
      <w:r w:rsidRPr="006E49FE">
        <w:rPr>
          <w:sz w:val="26"/>
          <w:szCs w:val="26"/>
        </w:rPr>
        <w:t xml:space="preserve"> de</w:t>
      </w:r>
      <w:r w:rsidR="005312C8">
        <w:rPr>
          <w:sz w:val="26"/>
          <w:szCs w:val="26"/>
        </w:rPr>
        <w:t>l</w:t>
      </w:r>
      <w:r w:rsidRPr="006E49FE">
        <w:rPr>
          <w:sz w:val="26"/>
          <w:szCs w:val="26"/>
        </w:rPr>
        <w:t xml:space="preserve"> </w:t>
      </w:r>
      <w:r w:rsidR="005312C8">
        <w:rPr>
          <w:sz w:val="26"/>
          <w:szCs w:val="26"/>
        </w:rPr>
        <w:t>nivel</w:t>
      </w:r>
      <w:r w:rsidRPr="006E49FE">
        <w:rPr>
          <w:sz w:val="26"/>
          <w:szCs w:val="26"/>
        </w:rPr>
        <w:t xml:space="preserve"> registrado</w:t>
      </w:r>
      <w:r w:rsidR="005312C8">
        <w:rPr>
          <w:sz w:val="26"/>
          <w:szCs w:val="26"/>
        </w:rPr>
        <w:t xml:space="preserve"> por el INPC.</w:t>
      </w:r>
    </w:p>
    <w:p w:rsidR="00364D4D" w:rsidRPr="00715175" w:rsidRDefault="00364D4D" w:rsidP="00364D4D">
      <w:pPr>
        <w:ind w:right="11"/>
        <w:jc w:val="both"/>
        <w:rPr>
          <w:sz w:val="26"/>
          <w:szCs w:val="26"/>
        </w:rPr>
      </w:pPr>
    </w:p>
    <w:p w:rsidR="00364D4D" w:rsidRPr="00715175" w:rsidRDefault="00364D4D" w:rsidP="00364D4D">
      <w:pPr>
        <w:spacing w:line="360" w:lineRule="auto"/>
        <w:ind w:right="20"/>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364D4D" w:rsidRPr="00715175" w:rsidTr="00B17B53">
        <w:tc>
          <w:tcPr>
            <w:tcW w:w="8980" w:type="dxa"/>
            <w:gridSpan w:val="2"/>
          </w:tcPr>
          <w:p w:rsidR="00364D4D" w:rsidRPr="00715175" w:rsidRDefault="00364D4D" w:rsidP="00B17B53">
            <w:pPr>
              <w:pStyle w:val="NormalWeb"/>
              <w:spacing w:before="0" w:beforeAutospacing="0" w:after="0" w:afterAutospacing="0"/>
              <w:jc w:val="center"/>
              <w:rPr>
                <w:sz w:val="22"/>
                <w:szCs w:val="22"/>
              </w:rPr>
            </w:pPr>
            <w:r w:rsidRPr="00715175">
              <w:rPr>
                <w:b/>
                <w:bCs/>
                <w:color w:val="000000"/>
                <w:kern w:val="24"/>
                <w:sz w:val="22"/>
                <w:szCs w:val="22"/>
                <w:lang w:val="es-ES_tradnl"/>
              </w:rPr>
              <w:t>ÍNDICE NACIONAL DE PRECIOS AL CONSUMIDOR POR NIVEL DE ESTRATO</w:t>
            </w:r>
            <w:r w:rsidRPr="00715175">
              <w:rPr>
                <w:b/>
                <w:bCs/>
                <w:color w:val="000000"/>
                <w:kern w:val="24"/>
                <w:sz w:val="2"/>
                <w:szCs w:val="22"/>
                <w:lang w:val="es-ES_tradnl"/>
              </w:rPr>
              <w:t xml:space="preserve"> </w:t>
            </w:r>
            <w:r w:rsidRPr="00715175">
              <w:rPr>
                <w:b/>
                <w:bCs/>
                <w:color w:val="000000"/>
                <w:kern w:val="24"/>
                <w:sz w:val="22"/>
                <w:szCs w:val="22"/>
                <w:u w:val="single"/>
                <w:vertAlign w:val="superscript"/>
                <w:lang w:val="es-ES_tradnl"/>
              </w:rPr>
              <w:t>1</w:t>
            </w:r>
            <w:r w:rsidRPr="00715175">
              <w:rPr>
                <w:b/>
                <w:bCs/>
                <w:color w:val="000000"/>
                <w:kern w:val="24"/>
                <w:sz w:val="22"/>
                <w:szCs w:val="22"/>
                <w:vertAlign w:val="superscript"/>
                <w:lang w:val="es-ES_tradnl"/>
              </w:rPr>
              <w:t>/</w:t>
            </w:r>
          </w:p>
          <w:p w:rsidR="00364D4D" w:rsidRPr="0082315E" w:rsidRDefault="00364D4D" w:rsidP="00B17B53">
            <w:pPr>
              <w:pStyle w:val="NormalWeb"/>
              <w:spacing w:before="0" w:beforeAutospacing="0" w:after="0" w:afterAutospacing="0"/>
              <w:jc w:val="center"/>
              <w:rPr>
                <w:b/>
                <w:bCs/>
                <w:color w:val="000000"/>
                <w:kern w:val="24"/>
                <w:sz w:val="22"/>
                <w:szCs w:val="22"/>
              </w:rPr>
            </w:pPr>
            <w:r w:rsidRPr="0082315E">
              <w:rPr>
                <w:b/>
                <w:bCs/>
                <w:color w:val="000000"/>
                <w:kern w:val="24"/>
                <w:sz w:val="22"/>
                <w:szCs w:val="22"/>
              </w:rPr>
              <w:t>- Variaciones con respecto al mismo mes del año anterior -</w:t>
            </w:r>
          </w:p>
          <w:p w:rsidR="00364D4D" w:rsidRDefault="001244B5"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Febrero</w:t>
            </w:r>
            <w:r w:rsidR="00364D4D" w:rsidRPr="00715175">
              <w:rPr>
                <w:b/>
                <w:bCs/>
                <w:color w:val="000000"/>
                <w:kern w:val="24"/>
                <w:sz w:val="22"/>
                <w:szCs w:val="22"/>
                <w:lang w:val="es-MX"/>
              </w:rPr>
              <w:t xml:space="preserve"> </w:t>
            </w:r>
            <w:r w:rsidR="00A209C7">
              <w:rPr>
                <w:b/>
                <w:bCs/>
                <w:color w:val="000000"/>
                <w:kern w:val="24"/>
                <w:sz w:val="22"/>
                <w:szCs w:val="22"/>
                <w:lang w:val="es-MX"/>
              </w:rPr>
              <w:t>2014</w:t>
            </w:r>
            <w:r w:rsidR="00364D4D" w:rsidRPr="00715175">
              <w:rPr>
                <w:b/>
                <w:bCs/>
                <w:color w:val="000000"/>
                <w:kern w:val="24"/>
                <w:sz w:val="22"/>
                <w:szCs w:val="22"/>
                <w:lang w:val="es-MX"/>
              </w:rPr>
              <w:t xml:space="preserve"> - </w:t>
            </w:r>
            <w:r>
              <w:rPr>
                <w:b/>
                <w:bCs/>
                <w:color w:val="000000"/>
                <w:kern w:val="24"/>
                <w:sz w:val="22"/>
                <w:szCs w:val="22"/>
                <w:lang w:val="es-MX"/>
              </w:rPr>
              <w:t>febrero</w:t>
            </w:r>
            <w:r w:rsidR="00364D4D" w:rsidRPr="00715175">
              <w:rPr>
                <w:b/>
                <w:bCs/>
                <w:color w:val="000000"/>
                <w:kern w:val="24"/>
                <w:sz w:val="22"/>
                <w:szCs w:val="22"/>
                <w:lang w:val="es-MX"/>
              </w:rPr>
              <w:t xml:space="preserve"> </w:t>
            </w:r>
            <w:r w:rsidR="00A209C7">
              <w:rPr>
                <w:b/>
                <w:bCs/>
                <w:color w:val="000000"/>
                <w:kern w:val="24"/>
                <w:sz w:val="22"/>
                <w:szCs w:val="22"/>
                <w:lang w:val="es-MX"/>
              </w:rPr>
              <w:t>2015</w:t>
            </w:r>
          </w:p>
          <w:p w:rsidR="00364D4D" w:rsidRPr="00715175"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RPr="00715175" w:rsidTr="00B17B53">
        <w:tc>
          <w:tcPr>
            <w:tcW w:w="8980" w:type="dxa"/>
            <w:gridSpan w:val="2"/>
          </w:tcPr>
          <w:p w:rsidR="00364D4D" w:rsidRPr="00715175" w:rsidRDefault="00364D4D" w:rsidP="00B17B53">
            <w:pPr>
              <w:tabs>
                <w:tab w:val="left" w:pos="5080"/>
              </w:tabs>
              <w:spacing w:line="360" w:lineRule="auto"/>
              <w:ind w:right="20"/>
              <w:jc w:val="both"/>
              <w:rPr>
                <w:sz w:val="26"/>
                <w:szCs w:val="26"/>
              </w:rPr>
            </w:pPr>
            <w:r>
              <w:rPr>
                <w:noProof/>
                <w:lang w:val="es-MX" w:eastAsia="es-MX"/>
              </w:rPr>
              <mc:AlternateContent>
                <mc:Choice Requires="wpg">
                  <w:drawing>
                    <wp:anchor distT="0" distB="0" distL="114300" distR="114300" simplePos="0" relativeHeight="251662336" behindDoc="0" locked="0" layoutInCell="1" allowOverlap="1" wp14:anchorId="188C1747" wp14:editId="5165D02A">
                      <wp:simplePos x="0" y="0"/>
                      <wp:positionH relativeFrom="column">
                        <wp:posOffset>1400307</wp:posOffset>
                      </wp:positionH>
                      <wp:positionV relativeFrom="paragraph">
                        <wp:posOffset>238971</wp:posOffset>
                      </wp:positionV>
                      <wp:extent cx="574227" cy="805628"/>
                      <wp:effectExtent l="0" t="0" r="0" b="0"/>
                      <wp:wrapNone/>
                      <wp:docPr id="31" name="31 Grupo"/>
                      <wp:cNvGraphicFramePr/>
                      <a:graphic xmlns:a="http://schemas.openxmlformats.org/drawingml/2006/main">
                        <a:graphicData uri="http://schemas.microsoft.com/office/word/2010/wordprocessingGroup">
                          <wpg:wgp>
                            <wpg:cNvGrpSpPr/>
                            <wpg:grpSpPr>
                              <a:xfrm>
                                <a:off x="0" y="0"/>
                                <a:ext cx="574227" cy="805628"/>
                                <a:chOff x="17829" y="-6802"/>
                                <a:chExt cx="574667" cy="806086"/>
                              </a:xfrm>
                            </wpg:grpSpPr>
                            <wps:wsp>
                              <wps:cNvPr id="32" name="32 Cuadro de texto"/>
                              <wps:cNvSpPr txBox="1"/>
                              <wps:spPr>
                                <a:xfrm>
                                  <a:off x="22901" y="439387"/>
                                  <a:ext cx="557530"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(3.02%)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 name="33 Grupo"/>
                              <wpg:cNvGrpSpPr/>
                              <wpg:grpSpPr>
                                <a:xfrm>
                                  <a:off x="17829" y="-6802"/>
                                  <a:ext cx="574667" cy="806086"/>
                                  <a:chOff x="17829" y="-6802"/>
                                  <a:chExt cx="574667" cy="806086"/>
                                </a:xfrm>
                              </wpg:grpSpPr>
                              <wps:wsp>
                                <wps:cNvPr id="36" name="36 Cuadro de texto"/>
                                <wps:cNvSpPr txBox="1"/>
                                <wps:spPr>
                                  <a:xfrm>
                                    <a:off x="23761" y="141773"/>
                                    <a:ext cx="521970" cy="2114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591D35" w:rsidRDefault="00A14B35" w:rsidP="00364D4D">
                                      <w:pPr>
                                        <w:rPr>
                                          <w:sz w:val="16"/>
                                          <w:szCs w:val="16"/>
                                          <w:lang w:val="es-MX"/>
                                        </w:rPr>
                                      </w:pPr>
                                      <w:r>
                                        <w:rPr>
                                          <w:sz w:val="16"/>
                                          <w:szCs w:val="16"/>
                                          <w:lang w:val="es-MX"/>
                                        </w:rPr>
                                        <w:t>(3.07%)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8" name="38 Grupo"/>
                                <wpg:cNvGrpSpPr/>
                                <wpg:grpSpPr>
                                  <a:xfrm>
                                    <a:off x="17829" y="-6802"/>
                                    <a:ext cx="574667" cy="806086"/>
                                    <a:chOff x="17829" y="-6802"/>
                                    <a:chExt cx="574667" cy="806086"/>
                                  </a:xfrm>
                                </wpg:grpSpPr>
                                <wps:wsp>
                                  <wps:cNvPr id="39" name="39 Cuadro de texto"/>
                                  <wps:cNvSpPr txBox="1"/>
                                  <wps:spPr>
                                    <a:xfrm>
                                      <a:off x="22901" y="587829"/>
                                      <a:ext cx="569595" cy="211455"/>
                                    </a:xfrm>
                                    <a:prstGeom prst="rect">
                                      <a:avLst/>
                                    </a:prstGeom>
                                    <a:noFill/>
                                    <a:ln w="6350">
                                      <a:noFill/>
                                    </a:ln>
                                    <a:effectLst/>
                                  </wps:spPr>
                                  <wps:txbx>
                                    <w:txbxContent>
                                      <w:p w:rsidR="00A14B35" w:rsidRPr="00591D35" w:rsidRDefault="00A14B35" w:rsidP="00364D4D">
                                        <w:pPr>
                                          <w:rPr>
                                            <w:sz w:val="16"/>
                                            <w:szCs w:val="16"/>
                                            <w:lang w:val="es-MX"/>
                                          </w:rPr>
                                        </w:pPr>
                                        <w:r>
                                          <w:rPr>
                                            <w:sz w:val="16"/>
                                            <w:szCs w:val="16"/>
                                            <w:lang w:val="es-MX"/>
                                          </w:rPr>
                                          <w:t>(2.97%)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40 Cuadro de texto"/>
                                  <wps:cNvSpPr txBox="1"/>
                                  <wps:spPr>
                                    <a:xfrm>
                                      <a:off x="23764" y="286832"/>
                                      <a:ext cx="557530" cy="2374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001985" w:rsidRDefault="00A14B35" w:rsidP="00364D4D">
                                        <w:pPr>
                                          <w:rPr>
                                            <w:sz w:val="16"/>
                                            <w:szCs w:val="16"/>
                                            <w:lang w:val="es-MX"/>
                                          </w:rPr>
                                        </w:pPr>
                                        <w:r>
                                          <w:rPr>
                                            <w:sz w:val="16"/>
                                            <w:szCs w:val="16"/>
                                            <w:lang w:val="es-MX"/>
                                          </w:rPr>
                                          <w:t>(3.10%)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 name="43 Cuadro de texto"/>
                                  <wps:cNvSpPr txBox="1"/>
                                  <wps:spPr>
                                    <a:xfrm>
                                      <a:off x="17829" y="-6802"/>
                                      <a:ext cx="573405" cy="225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B968EF" w:rsidRDefault="00A14B35" w:rsidP="00364D4D">
                                        <w:pPr>
                                          <w:rPr>
                                            <w:sz w:val="16"/>
                                            <w:szCs w:val="16"/>
                                            <w:lang w:val="es-MX"/>
                                          </w:rPr>
                                        </w:pPr>
                                        <w:r>
                                          <w:rPr>
                                            <w:sz w:val="16"/>
                                            <w:szCs w:val="16"/>
                                            <w:lang w:val="es-MX"/>
                                          </w:rPr>
                                          <w:t>(3.00%)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anchor>
                  </w:drawing>
                </mc:Choice>
                <mc:Fallback>
                  <w:pict>
                    <v:group w14:anchorId="188C1747" id="31 Grupo" o:spid="_x0000_s1043" style="position:absolute;left:0;text-align:left;margin-left:110.25pt;margin-top:18.8pt;width:45.2pt;height:63.45pt;z-index:251662336;mso-width-relative:margin" coordorigin="178,-68" coordsize="5746,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">
                      <v:shape id="32 Cuadro de texto" o:spid="_x0000_s1044" type="#_x0000_t202" style="position:absolute;left:229;top:4393;width:557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rsidR="00A14B35" w:rsidRPr="00591D35" w:rsidRDefault="00A14B35" w:rsidP="00364D4D">
                              <w:pPr>
                                <w:rPr>
                                  <w:sz w:val="16"/>
                                  <w:szCs w:val="16"/>
                                  <w:lang w:val="es-MX"/>
                                </w:rPr>
                              </w:pPr>
                              <w:r>
                                <w:rPr>
                                  <w:sz w:val="16"/>
                                  <w:szCs w:val="16"/>
                                  <w:lang w:val="es-MX"/>
                                </w:rPr>
                                <w:t>(3.02%)</w:t>
                              </w:r>
                            </w:p>
                          </w:txbxContent>
                        </v:textbox>
                      </v:shape>
                      <v:group id="33 Grupo" o:spid="_x0000_s1045" style="position:absolute;left:178;top:-68;width:5746;height:8060" coordorigin="178,-68" coordsize="5746,8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36 Cuadro de texto" o:spid="_x0000_s1046" type="#_x0000_t202" style="position:absolute;left:237;top:1417;width:5220;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7AMUA&#10;AADbAAAADwAAAGRycy9kb3ducmV2LnhtbESPQWvCQBSE7wX/w/IEb3VjR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sAxQAAANsAAAAPAAAAAAAAAAAAAAAAAJgCAABkcnMv&#10;ZG93bnJldi54bWxQSwUGAAAAAAQABAD1AAAAigMAAAAA&#10;" filled="f" stroked="f" strokeweight=".5pt">
                          <v:textbox>
                            <w:txbxContent>
                              <w:p w:rsidR="00A14B35" w:rsidRPr="00591D35" w:rsidRDefault="00A14B35" w:rsidP="00364D4D">
                                <w:pPr>
                                  <w:rPr>
                                    <w:sz w:val="16"/>
                                    <w:szCs w:val="16"/>
                                    <w:lang w:val="es-MX"/>
                                  </w:rPr>
                                </w:pPr>
                                <w:r>
                                  <w:rPr>
                                    <w:sz w:val="16"/>
                                    <w:szCs w:val="16"/>
                                    <w:lang w:val="es-MX"/>
                                  </w:rPr>
                                  <w:t>(3.07%)</w:t>
                                </w:r>
                              </w:p>
                            </w:txbxContent>
                          </v:textbox>
                        </v:shape>
                        <v:group id="38 Grupo" o:spid="_x0000_s1047" style="position:absolute;left:178;top:-68;width:5746;height:8060" coordorigin="178,-68" coordsize="5746,8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39 Cuadro de texto" o:spid="_x0000_s1048" type="#_x0000_t202" style="position:absolute;left:229;top:5878;width:5695;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vcsYA&#10;AADbAAAADwAAAGRycy9kb3ducmV2LnhtbESPQWvCQBSE74L/YXmF3nTTSMWmriKBYCl6SOqlt9fs&#10;MwnNvo3Zrab+elco9DjMzDfMcj2YVpypd41lBU/TCARxaXXDlYLDRzZZgHAeWWNrmRT8koP1ajxa&#10;YqLthXM6F74SAcIuQQW1910ipStrMuimtiMO3tH2Bn2QfSV1j5cAN62Mo2guDTYcFmrsKK2p/C5+&#10;jIL3NNtj/hWbxbVNt7vjpjsdPp+VenwYNq8gPA3+P/zXftMKZ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jvcsYAAADbAAAADwAAAAAAAAAAAAAAAACYAgAAZHJz&#10;L2Rvd25yZXYueG1sUEsFBgAAAAAEAAQA9QAAAIsDAAAAAA==&#10;" filled="f" stroked="f" strokeweight=".5pt">
                            <v:textbox>
                              <w:txbxContent>
                                <w:p w:rsidR="00A14B35" w:rsidRPr="00591D35" w:rsidRDefault="00A14B35" w:rsidP="00364D4D">
                                  <w:pPr>
                                    <w:rPr>
                                      <w:sz w:val="16"/>
                                      <w:szCs w:val="16"/>
                                      <w:lang w:val="es-MX"/>
                                    </w:rPr>
                                  </w:pPr>
                                  <w:r>
                                    <w:rPr>
                                      <w:sz w:val="16"/>
                                      <w:szCs w:val="16"/>
                                      <w:lang w:val="es-MX"/>
                                    </w:rPr>
                                    <w:t>(2.97%)</w:t>
                                  </w:r>
                                </w:p>
                              </w:txbxContent>
                            </v:textbox>
                          </v:shape>
                          <v:shape id="40 Cuadro de texto" o:spid="_x0000_s1049" type="#_x0000_t202" style="position:absolute;left:237;top:2868;width:5575;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Q1ksMA&#10;AADbAAAADwAAAGRycy9kb3ducmV2LnhtbERPy2rCQBTdF/yH4Ra6q5NKFY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Q1ksMAAADbAAAADwAAAAAAAAAAAAAAAACYAgAAZHJzL2Rv&#10;d25yZXYueG1sUEsFBgAAAAAEAAQA9QAAAIgDAAAAAA==&#10;" filled="f" stroked="f" strokeweight=".5pt">
                            <v:textbox>
                              <w:txbxContent>
                                <w:p w:rsidR="00A14B35" w:rsidRPr="00001985" w:rsidRDefault="00A14B35" w:rsidP="00364D4D">
                                  <w:pPr>
                                    <w:rPr>
                                      <w:sz w:val="16"/>
                                      <w:szCs w:val="16"/>
                                      <w:lang w:val="es-MX"/>
                                    </w:rPr>
                                  </w:pPr>
                                  <w:r>
                                    <w:rPr>
                                      <w:sz w:val="16"/>
                                      <w:szCs w:val="16"/>
                                      <w:lang w:val="es-MX"/>
                                    </w:rPr>
                                    <w:t>(3.10%)</w:t>
                                  </w:r>
                                </w:p>
                              </w:txbxContent>
                            </v:textbox>
                          </v:shape>
                          <v:shape id="43 Cuadro de texto" o:spid="_x0000_s1050" type="#_x0000_t202" style="position:absolute;left:178;top:-68;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ar5cUA&#10;AADbAAAADwAAAGRycy9kb3ducmV2LnhtbESPT4vCMBTE7wt+h/AEb2uq64pUo0hBVsQ9+Ofi7dk8&#10;22LzUpuo1U+/WRA8DjPzG2Yya0wpblS7wrKCXjcCQZxaXXCmYL9bfI5AOI+ssbRMCh7kYDZtfUww&#10;1vbOG7ptfSYChF2MCnLvq1hKl+Zk0HVtRRy8k60N+iDrTOoa7wFuStmPoqE0WHBYyLGiJKf0vL0a&#10;Batk8YubY9+MnmXysz7Nq8v+8K1Up93MxyA8Nf4dfrWXWsHg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qvlxQAAANsAAAAPAAAAAAAAAAAAAAAAAJgCAABkcnMv&#10;ZG93bnJldi54bWxQSwUGAAAAAAQABAD1AAAAigMAAAAA&#10;" filled="f" stroked="f" strokeweight=".5pt">
                            <v:textbox>
                              <w:txbxContent>
                                <w:p w:rsidR="00A14B35" w:rsidRPr="00B968EF" w:rsidRDefault="00A14B35" w:rsidP="00364D4D">
                                  <w:pPr>
                                    <w:rPr>
                                      <w:sz w:val="16"/>
                                      <w:szCs w:val="16"/>
                                      <w:lang w:val="es-MX"/>
                                    </w:rPr>
                                  </w:pPr>
                                  <w:r>
                                    <w:rPr>
                                      <w:sz w:val="16"/>
                                      <w:szCs w:val="16"/>
                                      <w:lang w:val="es-MX"/>
                                    </w:rPr>
                                    <w:t>(3.00%)</w:t>
                                  </w:r>
                                </w:p>
                              </w:txbxContent>
                            </v:textbox>
                          </v:shape>
                        </v:group>
                      </v:group>
                    </v:group>
                  </w:pict>
                </mc:Fallback>
              </mc:AlternateContent>
            </w:r>
            <w:r w:rsidR="001F129F" w:rsidRPr="00715175">
              <w:rPr>
                <w:noProof/>
                <w:lang w:val="es-MX" w:eastAsia="es-MX"/>
              </w:rPr>
              <w:drawing>
                <wp:inline distT="0" distB="0" distL="0" distR="0" wp14:anchorId="3A324101" wp14:editId="34F49663">
                  <wp:extent cx="5372100" cy="2971800"/>
                  <wp:effectExtent l="0" t="0" r="0" b="0"/>
                  <wp:docPr id="46"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715175">
              <w:rPr>
                <w:noProof/>
                <w:lang w:val="es-MX" w:eastAsia="es-MX"/>
              </w:rPr>
              <w:t xml:space="preserve"> </w:t>
            </w:r>
          </w:p>
        </w:tc>
      </w:tr>
      <w:tr w:rsidR="00364D4D" w:rsidTr="00B17B53">
        <w:tc>
          <w:tcPr>
            <w:tcW w:w="1242" w:type="dxa"/>
          </w:tcPr>
          <w:p w:rsidR="00364D4D" w:rsidRPr="00715175" w:rsidRDefault="00364D4D" w:rsidP="00B17B53">
            <w:pPr>
              <w:tabs>
                <w:tab w:val="left" w:pos="5080"/>
              </w:tabs>
              <w:ind w:right="23"/>
              <w:jc w:val="right"/>
              <w:rPr>
                <w:color w:val="000000"/>
                <w:kern w:val="24"/>
                <w:sz w:val="20"/>
                <w:szCs w:val="20"/>
              </w:rPr>
            </w:pPr>
            <w:r w:rsidRPr="00715175">
              <w:rPr>
                <w:color w:val="000000"/>
                <w:kern w:val="24"/>
                <w:position w:val="7"/>
                <w:sz w:val="20"/>
                <w:szCs w:val="20"/>
                <w:u w:val="single"/>
                <w:vertAlign w:val="superscript"/>
              </w:rPr>
              <w:t>1</w:t>
            </w:r>
            <w:r w:rsidRPr="00715175">
              <w:rPr>
                <w:color w:val="000000"/>
                <w:kern w:val="24"/>
                <w:position w:val="7"/>
                <w:sz w:val="20"/>
                <w:szCs w:val="20"/>
                <w:vertAlign w:val="superscript"/>
              </w:rPr>
              <w:t>/</w:t>
            </w:r>
            <w:r w:rsidRPr="00715175">
              <w:rPr>
                <w:color w:val="000000"/>
                <w:kern w:val="24"/>
                <w:sz w:val="20"/>
                <w:szCs w:val="20"/>
              </w:rPr>
              <w:t xml:space="preserve"> </w:t>
            </w:r>
          </w:p>
          <w:p w:rsidR="00364D4D" w:rsidRPr="00715175" w:rsidRDefault="00364D4D" w:rsidP="00B17B53">
            <w:pPr>
              <w:tabs>
                <w:tab w:val="left" w:pos="5080"/>
              </w:tabs>
              <w:ind w:right="23"/>
              <w:jc w:val="right"/>
              <w:rPr>
                <w:color w:val="000000"/>
                <w:kern w:val="24"/>
                <w:sz w:val="16"/>
                <w:szCs w:val="20"/>
              </w:rPr>
            </w:pPr>
          </w:p>
          <w:p w:rsidR="00364D4D" w:rsidRPr="00715175" w:rsidRDefault="00364D4D" w:rsidP="00B17B53">
            <w:pPr>
              <w:tabs>
                <w:tab w:val="left" w:pos="5080"/>
              </w:tabs>
              <w:ind w:right="23"/>
              <w:jc w:val="right"/>
              <w:rPr>
                <w:noProof/>
                <w:lang w:val="es-MX" w:eastAsia="es-MX"/>
              </w:rPr>
            </w:pPr>
            <w:r w:rsidRPr="00715175">
              <w:rPr>
                <w:color w:val="000000"/>
                <w:kern w:val="24"/>
                <w:sz w:val="20"/>
                <w:szCs w:val="20"/>
              </w:rPr>
              <w:t>FUENTE:</w:t>
            </w:r>
          </w:p>
        </w:tc>
        <w:tc>
          <w:tcPr>
            <w:tcW w:w="7738" w:type="dxa"/>
          </w:tcPr>
          <w:p w:rsidR="00364D4D" w:rsidRPr="00715175" w:rsidRDefault="00364D4D" w:rsidP="00B17B53">
            <w:pPr>
              <w:pStyle w:val="NormalWeb"/>
              <w:tabs>
                <w:tab w:val="left" w:pos="378"/>
              </w:tabs>
              <w:spacing w:before="0" w:beforeAutospacing="0" w:after="0" w:afterAutospacing="0"/>
              <w:ind w:left="-108" w:right="-69"/>
              <w:jc w:val="both"/>
              <w:rPr>
                <w:color w:val="000000"/>
                <w:kern w:val="24"/>
                <w:sz w:val="20"/>
                <w:szCs w:val="20"/>
              </w:rPr>
            </w:pPr>
            <w:r w:rsidRPr="00715175">
              <w:rPr>
                <w:color w:val="000000"/>
                <w:kern w:val="24"/>
                <w:sz w:val="20"/>
                <w:szCs w:val="20"/>
              </w:rPr>
              <w:t>Estrato I: para familias de ingreso de hasta un salario mínimo; Estrato II: entre 1 y 3 salarios mínimos; Estrato III: entre 3 y 6 salarios mínimos; Estrato IV: superior a 6 salarios mínimos.</w:t>
            </w:r>
          </w:p>
          <w:p w:rsidR="00364D4D" w:rsidRDefault="00364D4D" w:rsidP="00B17B53">
            <w:pPr>
              <w:tabs>
                <w:tab w:val="left" w:pos="5080"/>
              </w:tabs>
              <w:ind w:left="-108" w:right="-69"/>
              <w:jc w:val="both"/>
              <w:rPr>
                <w:noProof/>
                <w:lang w:val="es-MX" w:eastAsia="es-MX"/>
              </w:rPr>
            </w:pPr>
            <w:r w:rsidRPr="00715175">
              <w:rPr>
                <w:color w:val="000000"/>
                <w:kern w:val="24"/>
                <w:sz w:val="20"/>
                <w:szCs w:val="20"/>
              </w:rPr>
              <w:t>Elaborado por la Comisión Nacional de los Salarios Mínimos con información del Instituto Nacional de Estadística y Geografía.</w:t>
            </w:r>
          </w:p>
        </w:tc>
      </w:tr>
    </w:tbl>
    <w:p w:rsidR="00364D4D" w:rsidRDefault="00364D4D" w:rsidP="00364D4D">
      <w:pPr>
        <w:spacing w:line="360" w:lineRule="auto"/>
        <w:ind w:right="20"/>
        <w:jc w:val="both"/>
        <w:rPr>
          <w:b/>
          <w:color w:val="0000FF"/>
          <w:sz w:val="26"/>
          <w:szCs w:val="26"/>
          <w:highlight w:val="yellow"/>
        </w:rPr>
      </w:pPr>
    </w:p>
    <w:p w:rsidR="00364D4D" w:rsidRPr="00E313B7" w:rsidRDefault="00364D4D" w:rsidP="00364D4D">
      <w:pPr>
        <w:pStyle w:val="Ttulo1"/>
        <w:jc w:val="left"/>
        <w:rPr>
          <w:color w:val="0000FF"/>
          <w:sz w:val="26"/>
          <w:szCs w:val="26"/>
          <w:vertAlign w:val="superscript"/>
        </w:rPr>
      </w:pPr>
      <w:r>
        <w:br w:type="column"/>
      </w:r>
      <w:r w:rsidRPr="00E313B7">
        <w:rPr>
          <w:color w:val="0000FF"/>
          <w:sz w:val="26"/>
          <w:szCs w:val="26"/>
        </w:rPr>
        <w:lastRenderedPageBreak/>
        <w:t>Evolución del INPC, del Índice de Precios de la Canasta Básica y del INPC Estrato 1</w:t>
      </w:r>
      <w:r w:rsidRPr="00E313B7">
        <w:rPr>
          <w:rStyle w:val="Refdenotaalpie"/>
          <w:b w:val="0"/>
          <w:color w:val="0000FF"/>
          <w:sz w:val="26"/>
          <w:szCs w:val="26"/>
        </w:rPr>
        <w:footnoteReference w:id="5"/>
      </w:r>
    </w:p>
    <w:p w:rsidR="00364D4D" w:rsidRDefault="00364D4D" w:rsidP="00364D4D">
      <w:pPr>
        <w:spacing w:line="360" w:lineRule="auto"/>
        <w:ind w:right="20"/>
        <w:jc w:val="both"/>
        <w:rPr>
          <w:b/>
          <w:sz w:val="26"/>
          <w:szCs w:val="26"/>
          <w:vertAlign w:val="superscript"/>
        </w:rPr>
      </w:pPr>
    </w:p>
    <w:p w:rsidR="00364D4D" w:rsidRDefault="00364D4D" w:rsidP="00364D4D">
      <w:pPr>
        <w:spacing w:line="360" w:lineRule="auto"/>
        <w:ind w:right="20"/>
        <w:jc w:val="both"/>
        <w:rPr>
          <w:sz w:val="26"/>
          <w:szCs w:val="26"/>
        </w:rPr>
      </w:pPr>
      <w:r w:rsidRPr="002312A7">
        <w:rPr>
          <w:sz w:val="26"/>
          <w:szCs w:val="26"/>
        </w:rPr>
        <w:t xml:space="preserve">Durante </w:t>
      </w:r>
      <w:r>
        <w:rPr>
          <w:sz w:val="26"/>
          <w:szCs w:val="26"/>
        </w:rPr>
        <w:t xml:space="preserve">los primeros </w:t>
      </w:r>
      <w:r w:rsidR="000073FE">
        <w:rPr>
          <w:sz w:val="26"/>
          <w:szCs w:val="26"/>
        </w:rPr>
        <w:t>dos</w:t>
      </w:r>
      <w:r>
        <w:rPr>
          <w:sz w:val="26"/>
          <w:szCs w:val="26"/>
        </w:rPr>
        <w:t xml:space="preserve"> meses de </w:t>
      </w:r>
      <w:r w:rsidR="00A209C7">
        <w:rPr>
          <w:sz w:val="26"/>
          <w:szCs w:val="26"/>
        </w:rPr>
        <w:t>2015</w:t>
      </w:r>
      <w:r w:rsidRPr="002312A7">
        <w:rPr>
          <w:sz w:val="26"/>
          <w:szCs w:val="26"/>
        </w:rPr>
        <w:t xml:space="preserve">, </w:t>
      </w:r>
      <w:r>
        <w:rPr>
          <w:sz w:val="26"/>
          <w:szCs w:val="26"/>
        </w:rPr>
        <w:t>el</w:t>
      </w:r>
      <w:r w:rsidRPr="002312A7">
        <w:rPr>
          <w:sz w:val="26"/>
          <w:szCs w:val="26"/>
        </w:rPr>
        <w:t xml:space="preserve"> índice de</w:t>
      </w:r>
      <w:r>
        <w:rPr>
          <w:sz w:val="26"/>
          <w:szCs w:val="26"/>
        </w:rPr>
        <w:t xml:space="preserve"> precios del Estrato </w:t>
      </w:r>
      <w:r w:rsidR="000073FE">
        <w:rPr>
          <w:sz w:val="26"/>
          <w:szCs w:val="26"/>
        </w:rPr>
        <w:t>I</w:t>
      </w:r>
      <w:r>
        <w:rPr>
          <w:sz w:val="26"/>
          <w:szCs w:val="26"/>
        </w:rPr>
        <w:t xml:space="preserve"> del INPC</w:t>
      </w:r>
      <w:r w:rsidRPr="002312A7">
        <w:rPr>
          <w:sz w:val="26"/>
          <w:szCs w:val="26"/>
        </w:rPr>
        <w:t xml:space="preserve"> </w:t>
      </w:r>
      <w:r>
        <w:rPr>
          <w:sz w:val="26"/>
          <w:szCs w:val="26"/>
        </w:rPr>
        <w:t>registró</w:t>
      </w:r>
      <w:r w:rsidRPr="002312A7">
        <w:rPr>
          <w:sz w:val="26"/>
          <w:szCs w:val="26"/>
        </w:rPr>
        <w:t xml:space="preserve"> una variación de </w:t>
      </w:r>
      <w:r w:rsidR="000073FE">
        <w:rPr>
          <w:sz w:val="26"/>
          <w:szCs w:val="26"/>
        </w:rPr>
        <w:t>-0.10</w:t>
      </w:r>
      <w:r w:rsidRPr="002312A7">
        <w:rPr>
          <w:sz w:val="26"/>
          <w:szCs w:val="26"/>
        </w:rPr>
        <w:t xml:space="preserve">%, </w:t>
      </w:r>
      <w:r>
        <w:rPr>
          <w:sz w:val="26"/>
          <w:szCs w:val="26"/>
        </w:rPr>
        <w:t>cantidad</w:t>
      </w:r>
      <w:r w:rsidRPr="002312A7">
        <w:rPr>
          <w:sz w:val="26"/>
          <w:szCs w:val="26"/>
        </w:rPr>
        <w:t xml:space="preserve"> </w:t>
      </w:r>
      <w:r>
        <w:rPr>
          <w:sz w:val="26"/>
          <w:szCs w:val="26"/>
        </w:rPr>
        <w:t>inferior</w:t>
      </w:r>
      <w:r w:rsidRPr="002312A7">
        <w:rPr>
          <w:sz w:val="26"/>
          <w:szCs w:val="26"/>
        </w:rPr>
        <w:t xml:space="preserve"> en </w:t>
      </w:r>
      <w:r w:rsidR="000073FE">
        <w:rPr>
          <w:sz w:val="26"/>
          <w:szCs w:val="26"/>
        </w:rPr>
        <w:t>0.20</w:t>
      </w:r>
      <w:r w:rsidRPr="002312A7">
        <w:rPr>
          <w:sz w:val="26"/>
          <w:szCs w:val="26"/>
        </w:rPr>
        <w:t xml:space="preserve"> puntos porcentuales a la del Índice General (</w:t>
      </w:r>
      <w:r w:rsidR="000073FE">
        <w:rPr>
          <w:sz w:val="26"/>
          <w:szCs w:val="26"/>
        </w:rPr>
        <w:t>0.10</w:t>
      </w:r>
      <w:r>
        <w:rPr>
          <w:sz w:val="26"/>
          <w:szCs w:val="26"/>
        </w:rPr>
        <w:t>%)</w:t>
      </w:r>
      <w:r w:rsidRPr="002312A7">
        <w:rPr>
          <w:sz w:val="26"/>
          <w:szCs w:val="26"/>
        </w:rPr>
        <w:t xml:space="preserve"> y </w:t>
      </w:r>
      <w:r>
        <w:rPr>
          <w:sz w:val="26"/>
          <w:szCs w:val="26"/>
        </w:rPr>
        <w:t>menor</w:t>
      </w:r>
      <w:r w:rsidRPr="002312A7">
        <w:rPr>
          <w:sz w:val="26"/>
          <w:szCs w:val="26"/>
        </w:rPr>
        <w:t xml:space="preserve"> en </w:t>
      </w:r>
      <w:r w:rsidR="000073FE">
        <w:rPr>
          <w:sz w:val="26"/>
          <w:szCs w:val="26"/>
        </w:rPr>
        <w:t>0.47</w:t>
      </w:r>
      <w:r w:rsidRPr="002312A7">
        <w:rPr>
          <w:sz w:val="26"/>
          <w:szCs w:val="26"/>
        </w:rPr>
        <w:t xml:space="preserve"> puntos porcentuales a</w:t>
      </w:r>
      <w:r>
        <w:rPr>
          <w:sz w:val="26"/>
          <w:szCs w:val="26"/>
        </w:rPr>
        <w:t xml:space="preserve"> </w:t>
      </w:r>
      <w:r w:rsidRPr="002312A7">
        <w:rPr>
          <w:sz w:val="26"/>
          <w:szCs w:val="26"/>
        </w:rPr>
        <w:t>l</w:t>
      </w:r>
      <w:r>
        <w:rPr>
          <w:sz w:val="26"/>
          <w:szCs w:val="26"/>
        </w:rPr>
        <w:t>a</w:t>
      </w:r>
      <w:r w:rsidRPr="002312A7">
        <w:rPr>
          <w:sz w:val="26"/>
          <w:szCs w:val="26"/>
        </w:rPr>
        <w:t xml:space="preserve"> </w:t>
      </w:r>
      <w:r>
        <w:rPr>
          <w:sz w:val="26"/>
          <w:szCs w:val="26"/>
        </w:rPr>
        <w:t>variación</w:t>
      </w:r>
      <w:r w:rsidRPr="002312A7">
        <w:rPr>
          <w:sz w:val="26"/>
          <w:szCs w:val="26"/>
        </w:rPr>
        <w:t xml:space="preserve"> del Índice de la Canasta Básica (</w:t>
      </w:r>
      <w:r w:rsidR="000073FE">
        <w:rPr>
          <w:sz w:val="26"/>
          <w:szCs w:val="26"/>
        </w:rPr>
        <w:t>0.37</w:t>
      </w:r>
      <w:r w:rsidRPr="002312A7">
        <w:rPr>
          <w:sz w:val="26"/>
          <w:szCs w:val="26"/>
        </w:rPr>
        <w:t xml:space="preserve">%) en </w:t>
      </w:r>
      <w:r>
        <w:rPr>
          <w:sz w:val="26"/>
          <w:szCs w:val="26"/>
        </w:rPr>
        <w:t>igual</w:t>
      </w:r>
      <w:r w:rsidRPr="002312A7">
        <w:rPr>
          <w:sz w:val="26"/>
          <w:szCs w:val="26"/>
        </w:rPr>
        <w:t xml:space="preserve"> </w:t>
      </w:r>
      <w:r>
        <w:rPr>
          <w:sz w:val="26"/>
          <w:szCs w:val="26"/>
        </w:rPr>
        <w:t>período</w:t>
      </w:r>
      <w:r w:rsidRPr="002312A7">
        <w:rPr>
          <w:sz w:val="26"/>
          <w:szCs w:val="26"/>
        </w:rPr>
        <w:t>.</w:t>
      </w:r>
    </w:p>
    <w:p w:rsidR="00364D4D" w:rsidRDefault="00364D4D" w:rsidP="00364D4D">
      <w:pPr>
        <w:spacing w:line="360" w:lineRule="auto"/>
        <w:ind w:right="20"/>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lang w:val="es-ES_tradnl"/>
              </w:rPr>
              <w:t>ÍNDICE NACIONAL DE PRECIOS AL CONSUMIDOR</w:t>
            </w:r>
          </w:p>
          <w:p w:rsidR="00364D4D" w:rsidRPr="00E10A28" w:rsidRDefault="00364D4D" w:rsidP="00B17B53">
            <w:pPr>
              <w:pStyle w:val="NormalWeb"/>
              <w:spacing w:before="0" w:beforeAutospacing="0" w:after="0" w:afterAutospacing="0"/>
              <w:jc w:val="center"/>
              <w:rPr>
                <w:b/>
                <w:sz w:val="22"/>
                <w:szCs w:val="22"/>
              </w:rPr>
            </w:pPr>
            <w:r>
              <w:rPr>
                <w:b/>
                <w:bCs/>
                <w:color w:val="000000"/>
                <w:kern w:val="24"/>
                <w:sz w:val="22"/>
                <w:szCs w:val="22"/>
                <w:lang w:val="es-ES_tradnl"/>
              </w:rPr>
              <w:t xml:space="preserve">- </w:t>
            </w:r>
            <w:r w:rsidRPr="000C6820">
              <w:rPr>
                <w:b/>
                <w:bCs/>
                <w:color w:val="000000"/>
                <w:kern w:val="24"/>
                <w:sz w:val="22"/>
                <w:szCs w:val="22"/>
                <w:lang w:val="es-ES_tradnl"/>
              </w:rPr>
              <w:t xml:space="preserve">Variaciones </w:t>
            </w:r>
            <w:r>
              <w:rPr>
                <w:b/>
                <w:bCs/>
                <w:color w:val="000000"/>
                <w:kern w:val="24"/>
                <w:sz w:val="22"/>
                <w:szCs w:val="22"/>
                <w:lang w:val="es-ES_tradnl"/>
              </w:rPr>
              <w:t>acumuladas</w:t>
            </w:r>
            <w:r w:rsidRPr="00E10A28">
              <w:rPr>
                <w:b/>
                <w:bCs/>
                <w:color w:val="000000"/>
                <w:kern w:val="24"/>
                <w:sz w:val="22"/>
                <w:szCs w:val="22"/>
                <w:lang w:val="es-ES_tradnl"/>
              </w:rPr>
              <w:t xml:space="preserve"> </w:t>
            </w:r>
            <w:r w:rsidRPr="005D6990">
              <w:rPr>
                <w:b/>
                <w:bCs/>
                <w:color w:val="000000"/>
                <w:kern w:val="24"/>
                <w:sz w:val="22"/>
                <w:szCs w:val="22"/>
                <w:lang w:val="es-MX"/>
              </w:rPr>
              <w:t>-</w:t>
            </w:r>
          </w:p>
          <w:p w:rsidR="00364D4D" w:rsidRPr="00E10A28" w:rsidRDefault="00364D4D" w:rsidP="00B17B53">
            <w:pPr>
              <w:pStyle w:val="NormalWeb"/>
              <w:spacing w:before="0" w:beforeAutospacing="0" w:after="0" w:afterAutospacing="0"/>
              <w:jc w:val="center"/>
              <w:rPr>
                <w:b/>
                <w:sz w:val="22"/>
                <w:szCs w:val="22"/>
              </w:rPr>
            </w:pPr>
            <w:r>
              <w:rPr>
                <w:b/>
                <w:bCs/>
                <w:color w:val="000000"/>
                <w:kern w:val="24"/>
                <w:sz w:val="22"/>
                <w:szCs w:val="22"/>
                <w:lang w:val="es-MX"/>
              </w:rPr>
              <w:t xml:space="preserve">Enero - </w:t>
            </w:r>
            <w:r w:rsidR="001244B5">
              <w:rPr>
                <w:b/>
                <w:bCs/>
                <w:color w:val="000000"/>
                <w:kern w:val="24"/>
                <w:sz w:val="22"/>
                <w:szCs w:val="22"/>
                <w:lang w:val="es-MX"/>
              </w:rPr>
              <w:t>febrero</w:t>
            </w:r>
          </w:p>
          <w:p w:rsidR="00364D4D" w:rsidRDefault="00A209C7"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2014</w:t>
            </w:r>
            <w:r w:rsidR="00364D4D" w:rsidRPr="005D6990">
              <w:rPr>
                <w:b/>
                <w:bCs/>
                <w:color w:val="000000"/>
                <w:kern w:val="24"/>
                <w:sz w:val="22"/>
                <w:szCs w:val="22"/>
                <w:lang w:val="es-MX"/>
              </w:rPr>
              <w:t xml:space="preserve"> </w:t>
            </w:r>
            <w:r w:rsidR="00364D4D">
              <w:rPr>
                <w:b/>
                <w:bCs/>
                <w:color w:val="000000"/>
                <w:kern w:val="24"/>
                <w:sz w:val="22"/>
                <w:szCs w:val="22"/>
                <w:lang w:val="es-MX"/>
              </w:rPr>
              <w:t>–</w:t>
            </w:r>
            <w:r w:rsidR="00364D4D" w:rsidRPr="005D6990">
              <w:rPr>
                <w:b/>
                <w:bCs/>
                <w:color w:val="000000"/>
                <w:kern w:val="24"/>
                <w:sz w:val="22"/>
                <w:szCs w:val="22"/>
                <w:lang w:val="es-MX"/>
              </w:rPr>
              <w:t xml:space="preserve"> </w:t>
            </w:r>
            <w:r>
              <w:rPr>
                <w:b/>
                <w:bCs/>
                <w:color w:val="000000"/>
                <w:kern w:val="24"/>
                <w:sz w:val="22"/>
                <w:szCs w:val="22"/>
                <w:lang w:val="es-MX"/>
              </w:rPr>
              <w:t>2015</w:t>
            </w:r>
          </w:p>
          <w:p w:rsidR="00364D4D" w:rsidRPr="005C3829"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364D4D" w:rsidP="00B17B53">
            <w:pPr>
              <w:spacing w:line="360" w:lineRule="auto"/>
              <w:ind w:right="20"/>
              <w:jc w:val="both"/>
              <w:rPr>
                <w:sz w:val="26"/>
                <w:szCs w:val="26"/>
              </w:rPr>
            </w:pPr>
            <w:r>
              <w:rPr>
                <w:noProof/>
                <w:sz w:val="26"/>
                <w:szCs w:val="26"/>
                <w:lang w:val="es-MX" w:eastAsia="es-MX"/>
              </w:rPr>
              <mc:AlternateContent>
                <mc:Choice Requires="wps">
                  <w:drawing>
                    <wp:anchor distT="0" distB="0" distL="114300" distR="114300" simplePos="0" relativeHeight="251659264" behindDoc="0" locked="0" layoutInCell="1" allowOverlap="1" wp14:anchorId="2F3F9FDA" wp14:editId="36E44843">
                      <wp:simplePos x="0" y="0"/>
                      <wp:positionH relativeFrom="column">
                        <wp:posOffset>3914609</wp:posOffset>
                      </wp:positionH>
                      <wp:positionV relativeFrom="paragraph">
                        <wp:posOffset>36692</wp:posOffset>
                      </wp:positionV>
                      <wp:extent cx="310515" cy="238125"/>
                      <wp:effectExtent l="0" t="0" r="0" b="9525"/>
                      <wp:wrapNone/>
                      <wp:docPr id="118" name="Text Box 2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 cy="2381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14B35" w:rsidRPr="009C44FB" w:rsidRDefault="00A14B35" w:rsidP="00364D4D">
                                  <w:pPr>
                                    <w:rPr>
                                      <w:sz w:val="18"/>
                                      <w:szCs w:val="20"/>
                                      <w:vertAlign w:val="superscript"/>
                                      <w:lang w:val="es-MX"/>
                                    </w:rPr>
                                  </w:pPr>
                                  <w:r w:rsidRPr="009C44FB">
                                    <w:rPr>
                                      <w:sz w:val="18"/>
                                      <w:szCs w:val="20"/>
                                      <w:u w:val="single"/>
                                      <w:vertAlign w:val="superscript"/>
                                      <w:lang w:val="es-MX"/>
                                    </w:rPr>
                                    <w:t>1</w:t>
                                  </w:r>
                                  <w:r w:rsidRPr="009C44FB">
                                    <w:rPr>
                                      <w:sz w:val="18"/>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3F9FDA" id="Text Box 2935" o:spid="_x0000_s1051" type="#_x0000_t202" style="position:absolute;left:0;text-align:left;margin-left:308.25pt;margin-top:2.9pt;width:24.4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" filled="f" stroked="f">
                      <v:textbox>
                        <w:txbxContent>
                          <w:p w:rsidR="00A14B35" w:rsidRPr="009C44FB" w:rsidRDefault="00A14B35" w:rsidP="00364D4D">
                            <w:pPr>
                              <w:rPr>
                                <w:sz w:val="18"/>
                                <w:szCs w:val="20"/>
                                <w:vertAlign w:val="superscript"/>
                                <w:lang w:val="es-MX"/>
                              </w:rPr>
                            </w:pPr>
                            <w:r w:rsidRPr="009C44FB">
                              <w:rPr>
                                <w:sz w:val="18"/>
                                <w:szCs w:val="20"/>
                                <w:u w:val="single"/>
                                <w:vertAlign w:val="superscript"/>
                                <w:lang w:val="es-MX"/>
                              </w:rPr>
                              <w:t>1</w:t>
                            </w:r>
                            <w:r w:rsidRPr="009C44FB">
                              <w:rPr>
                                <w:sz w:val="18"/>
                                <w:szCs w:val="20"/>
                                <w:vertAlign w:val="superscript"/>
                                <w:lang w:val="es-MX"/>
                              </w:rPr>
                              <w:t>/</w:t>
                            </w:r>
                          </w:p>
                        </w:txbxContent>
                      </v:textbox>
                    </v:shape>
                  </w:pict>
                </mc:Fallback>
              </mc:AlternateContent>
            </w:r>
            <w:r>
              <w:rPr>
                <w:noProof/>
                <w:lang w:val="es-MX" w:eastAsia="es-MX"/>
              </w:rPr>
              <w:drawing>
                <wp:inline distT="0" distB="0" distL="0" distR="0" wp14:anchorId="6EB4F28D" wp14:editId="2EC9FE9D">
                  <wp:extent cx="5611090" cy="2974769"/>
                  <wp:effectExtent l="0" t="0" r="8890" b="16510"/>
                  <wp:docPr id="63"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364D4D" w:rsidTr="00B17B53">
        <w:tc>
          <w:tcPr>
            <w:tcW w:w="8980" w:type="dxa"/>
          </w:tcPr>
          <w:p w:rsidR="00364D4D" w:rsidRDefault="00364D4D" w:rsidP="00B17B53">
            <w:pPr>
              <w:pStyle w:val="NormalWeb"/>
              <w:tabs>
                <w:tab w:val="left" w:pos="378"/>
              </w:tabs>
              <w:spacing w:before="0" w:beforeAutospacing="0" w:after="0" w:afterAutospacing="0"/>
              <w:ind w:left="1372" w:hanging="91"/>
              <w:jc w:val="both"/>
              <w:rPr>
                <w:color w:val="000000"/>
                <w:kern w:val="24"/>
                <w:sz w:val="20"/>
                <w:szCs w:val="20"/>
              </w:rPr>
            </w:pPr>
            <w:r w:rsidRPr="00CC7A1F">
              <w:rPr>
                <w:color w:val="000000"/>
                <w:kern w:val="24"/>
                <w:position w:val="7"/>
                <w:sz w:val="20"/>
                <w:szCs w:val="20"/>
                <w:u w:val="single"/>
                <w:vertAlign w:val="superscript"/>
              </w:rPr>
              <w:t>1</w:t>
            </w:r>
            <w:r w:rsidRPr="00CC7A1F">
              <w:rPr>
                <w:color w:val="000000"/>
                <w:kern w:val="24"/>
                <w:position w:val="7"/>
                <w:sz w:val="20"/>
                <w:szCs w:val="20"/>
                <w:vertAlign w:val="superscript"/>
              </w:rPr>
              <w:t>/</w:t>
            </w:r>
            <w:r>
              <w:rPr>
                <w:color w:val="000000"/>
                <w:kern w:val="24"/>
                <w:sz w:val="20"/>
                <w:szCs w:val="20"/>
              </w:rPr>
              <w:t xml:space="preserve"> </w:t>
            </w:r>
            <w:r w:rsidRPr="00CC7A1F">
              <w:rPr>
                <w:color w:val="000000"/>
                <w:kern w:val="24"/>
                <w:sz w:val="20"/>
                <w:szCs w:val="20"/>
              </w:rPr>
              <w:t>Para familias de ingreso de hasta un salario mínimo.</w:t>
            </w:r>
            <w:r>
              <w:rPr>
                <w:color w:val="000000"/>
                <w:kern w:val="24"/>
                <w:sz w:val="20"/>
                <w:szCs w:val="20"/>
              </w:rPr>
              <w:t xml:space="preserve"> </w:t>
            </w:r>
          </w:p>
          <w:p w:rsidR="00364D4D" w:rsidRPr="005C3829" w:rsidRDefault="00364D4D" w:rsidP="00B17B53">
            <w:pPr>
              <w:pStyle w:val="NormalWeb"/>
              <w:tabs>
                <w:tab w:val="left" w:pos="378"/>
              </w:tabs>
              <w:spacing w:before="0" w:beforeAutospacing="0" w:after="0" w:afterAutospacing="0"/>
              <w:ind w:left="1418" w:right="684" w:hanging="882"/>
              <w:jc w:val="both"/>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364D4D" w:rsidRPr="00800DD7" w:rsidRDefault="00364D4D" w:rsidP="00364D4D">
      <w:pPr>
        <w:spacing w:line="360" w:lineRule="auto"/>
        <w:ind w:right="20"/>
        <w:jc w:val="both"/>
        <w:rPr>
          <w:sz w:val="26"/>
          <w:szCs w:val="26"/>
        </w:rPr>
      </w:pPr>
    </w:p>
    <w:p w:rsidR="00364D4D" w:rsidRPr="009879CB" w:rsidRDefault="00364D4D" w:rsidP="00364D4D">
      <w:pPr>
        <w:pStyle w:val="Ttulo1"/>
        <w:jc w:val="left"/>
        <w:rPr>
          <w:sz w:val="26"/>
          <w:szCs w:val="26"/>
        </w:rPr>
      </w:pPr>
      <w:r>
        <w:br w:type="page"/>
      </w:r>
    </w:p>
    <w:p w:rsidR="00364D4D" w:rsidRPr="00E313B7" w:rsidRDefault="00364D4D" w:rsidP="00364D4D">
      <w:pPr>
        <w:pStyle w:val="Puesto"/>
        <w:jc w:val="left"/>
        <w:rPr>
          <w:rFonts w:ascii="Times New Roman" w:hAnsi="Times New Roman" w:cs="Times New Roman"/>
          <w:color w:val="0000FF"/>
          <w:sz w:val="26"/>
          <w:szCs w:val="26"/>
        </w:rPr>
      </w:pPr>
      <w:r w:rsidRPr="00E313B7">
        <w:rPr>
          <w:rFonts w:ascii="Times New Roman" w:hAnsi="Times New Roman" w:cs="Times New Roman"/>
          <w:color w:val="0000FF"/>
          <w:sz w:val="26"/>
          <w:szCs w:val="26"/>
        </w:rPr>
        <w:lastRenderedPageBreak/>
        <w:t>Comportamiento interanual del INPC, del Índice de Precios de la Canasta Básica y del INPC Estrato 1</w:t>
      </w:r>
      <w:r w:rsidRPr="00E313B7">
        <w:rPr>
          <w:rFonts w:ascii="Times New Roman" w:hAnsi="Times New Roman" w:cs="Times New Roman"/>
          <w:color w:val="0000FF"/>
          <w:sz w:val="26"/>
          <w:szCs w:val="26"/>
          <w:u w:val="single"/>
          <w:vertAlign w:val="superscript"/>
        </w:rPr>
        <w:t>1</w:t>
      </w:r>
      <w:r w:rsidRPr="00E313B7">
        <w:rPr>
          <w:rFonts w:ascii="Times New Roman" w:hAnsi="Times New Roman" w:cs="Times New Roman"/>
          <w:color w:val="0000FF"/>
          <w:sz w:val="26"/>
          <w:szCs w:val="26"/>
          <w:vertAlign w:val="superscript"/>
        </w:rPr>
        <w:t>/</w:t>
      </w:r>
    </w:p>
    <w:p w:rsidR="00364D4D" w:rsidRDefault="00364D4D" w:rsidP="00364D4D">
      <w:pPr>
        <w:tabs>
          <w:tab w:val="left" w:pos="7170"/>
        </w:tabs>
        <w:spacing w:line="360" w:lineRule="auto"/>
        <w:ind w:right="23"/>
        <w:jc w:val="both"/>
        <w:rPr>
          <w:b/>
          <w:sz w:val="26"/>
          <w:szCs w:val="26"/>
        </w:rPr>
      </w:pPr>
    </w:p>
    <w:p w:rsidR="00364D4D" w:rsidRPr="00BC10BE" w:rsidRDefault="00364D4D" w:rsidP="00364D4D">
      <w:pPr>
        <w:tabs>
          <w:tab w:val="left" w:pos="7170"/>
        </w:tabs>
        <w:spacing w:line="360" w:lineRule="auto"/>
        <w:ind w:right="23"/>
        <w:jc w:val="both"/>
        <w:rPr>
          <w:b/>
          <w:sz w:val="26"/>
          <w:szCs w:val="26"/>
          <w:vertAlign w:val="superscript"/>
        </w:rPr>
      </w:pPr>
      <w:r>
        <w:rPr>
          <w:sz w:val="26"/>
          <w:szCs w:val="26"/>
        </w:rPr>
        <w:t xml:space="preserve">El Estrato I del INPC registró </w:t>
      </w:r>
      <w:r w:rsidRPr="003F05AF">
        <w:rPr>
          <w:sz w:val="26"/>
          <w:szCs w:val="26"/>
        </w:rPr>
        <w:t xml:space="preserve">una variación de </w:t>
      </w:r>
      <w:r w:rsidR="00B62C65">
        <w:rPr>
          <w:sz w:val="26"/>
          <w:szCs w:val="26"/>
        </w:rPr>
        <w:t>3.07</w:t>
      </w:r>
      <w:r w:rsidRPr="003F05AF">
        <w:rPr>
          <w:sz w:val="26"/>
          <w:szCs w:val="26"/>
        </w:rPr>
        <w:t>%</w:t>
      </w:r>
      <w:r>
        <w:rPr>
          <w:sz w:val="26"/>
          <w:szCs w:val="26"/>
        </w:rPr>
        <w:t>, de</w:t>
      </w:r>
      <w:r w:rsidRPr="008036CD">
        <w:rPr>
          <w:sz w:val="26"/>
          <w:szCs w:val="26"/>
        </w:rPr>
        <w:t xml:space="preserve"> </w:t>
      </w:r>
      <w:r w:rsidR="001244B5">
        <w:rPr>
          <w:sz w:val="26"/>
          <w:szCs w:val="26"/>
        </w:rPr>
        <w:t>febrero</w:t>
      </w:r>
      <w:r w:rsidRPr="008036CD">
        <w:rPr>
          <w:sz w:val="26"/>
          <w:szCs w:val="26"/>
        </w:rPr>
        <w:t xml:space="preserve"> </w:t>
      </w:r>
      <w:r w:rsidR="00A209C7">
        <w:rPr>
          <w:sz w:val="26"/>
          <w:szCs w:val="26"/>
        </w:rPr>
        <w:t>2014</w:t>
      </w:r>
      <w:r w:rsidRPr="008036CD">
        <w:rPr>
          <w:sz w:val="26"/>
          <w:szCs w:val="26"/>
        </w:rPr>
        <w:t xml:space="preserve"> a </w:t>
      </w:r>
      <w:r w:rsidR="001244B5">
        <w:rPr>
          <w:sz w:val="26"/>
          <w:szCs w:val="26"/>
        </w:rPr>
        <w:t>febrero</w:t>
      </w:r>
      <w:r w:rsidRPr="008036CD">
        <w:rPr>
          <w:sz w:val="26"/>
          <w:szCs w:val="26"/>
        </w:rPr>
        <w:t xml:space="preserve"> </w:t>
      </w:r>
      <w:r w:rsidR="00A209C7">
        <w:rPr>
          <w:sz w:val="26"/>
          <w:szCs w:val="26"/>
        </w:rPr>
        <w:t>2015</w:t>
      </w:r>
      <w:r w:rsidRPr="008036CD">
        <w:rPr>
          <w:sz w:val="26"/>
          <w:szCs w:val="26"/>
        </w:rPr>
        <w:t>,</w:t>
      </w:r>
      <w:r w:rsidRPr="003F05AF">
        <w:rPr>
          <w:sz w:val="26"/>
          <w:szCs w:val="26"/>
        </w:rPr>
        <w:t xml:space="preserve"> </w:t>
      </w:r>
      <w:r>
        <w:rPr>
          <w:sz w:val="26"/>
          <w:szCs w:val="26"/>
        </w:rPr>
        <w:t xml:space="preserve">nivel </w:t>
      </w:r>
      <w:r w:rsidR="00B62C65">
        <w:rPr>
          <w:sz w:val="26"/>
          <w:szCs w:val="26"/>
        </w:rPr>
        <w:t>superior</w:t>
      </w:r>
      <w:r w:rsidRPr="003F05AF">
        <w:rPr>
          <w:sz w:val="26"/>
          <w:szCs w:val="26"/>
        </w:rPr>
        <w:t xml:space="preserve"> en </w:t>
      </w:r>
      <w:r w:rsidR="00B62C65">
        <w:rPr>
          <w:sz w:val="26"/>
          <w:szCs w:val="26"/>
        </w:rPr>
        <w:t>0.07</w:t>
      </w:r>
      <w:r w:rsidRPr="003F05AF">
        <w:rPr>
          <w:sz w:val="26"/>
          <w:szCs w:val="26"/>
        </w:rPr>
        <w:t xml:space="preserve"> puntos porcentuales </w:t>
      </w:r>
      <w:r>
        <w:rPr>
          <w:sz w:val="26"/>
          <w:szCs w:val="26"/>
        </w:rPr>
        <w:t xml:space="preserve">en contraste con </w:t>
      </w:r>
      <w:r w:rsidRPr="003F05AF">
        <w:rPr>
          <w:sz w:val="26"/>
          <w:szCs w:val="26"/>
        </w:rPr>
        <w:t>la del Índice General (</w:t>
      </w:r>
      <w:r w:rsidR="00B62C65">
        <w:rPr>
          <w:sz w:val="26"/>
          <w:szCs w:val="26"/>
        </w:rPr>
        <w:t>3.00</w:t>
      </w:r>
      <w:r w:rsidRPr="003F05AF">
        <w:rPr>
          <w:sz w:val="26"/>
          <w:szCs w:val="26"/>
        </w:rPr>
        <w:t>%)</w:t>
      </w:r>
      <w:r>
        <w:rPr>
          <w:sz w:val="26"/>
          <w:szCs w:val="26"/>
        </w:rPr>
        <w:t>,</w:t>
      </w:r>
      <w:r w:rsidRPr="003F05AF">
        <w:rPr>
          <w:sz w:val="26"/>
          <w:szCs w:val="26"/>
        </w:rPr>
        <w:t xml:space="preserve"> </w:t>
      </w:r>
      <w:r w:rsidR="00B62C65">
        <w:rPr>
          <w:sz w:val="26"/>
          <w:szCs w:val="26"/>
        </w:rPr>
        <w:t>y mayor</w:t>
      </w:r>
      <w:r w:rsidRPr="003F05AF">
        <w:rPr>
          <w:sz w:val="26"/>
          <w:szCs w:val="26"/>
        </w:rPr>
        <w:t xml:space="preserve"> en </w:t>
      </w:r>
      <w:r w:rsidR="00B62C65">
        <w:rPr>
          <w:sz w:val="26"/>
          <w:szCs w:val="26"/>
        </w:rPr>
        <w:t>0.10</w:t>
      </w:r>
      <w:r w:rsidRPr="003F05AF">
        <w:rPr>
          <w:sz w:val="26"/>
          <w:szCs w:val="26"/>
        </w:rPr>
        <w:t xml:space="preserve"> puntos porcentuales a la del Índice de la Canasta Básica (</w:t>
      </w:r>
      <w:r w:rsidR="00B62C65">
        <w:rPr>
          <w:sz w:val="26"/>
          <w:szCs w:val="26"/>
        </w:rPr>
        <w:t>2.97</w:t>
      </w:r>
      <w:r w:rsidRPr="003F05AF">
        <w:rPr>
          <w:sz w:val="26"/>
          <w:szCs w:val="26"/>
        </w:rPr>
        <w:t xml:space="preserve">%) </w:t>
      </w:r>
      <w:r>
        <w:rPr>
          <w:sz w:val="26"/>
          <w:szCs w:val="26"/>
        </w:rPr>
        <w:t>durante el mismo lapso</w:t>
      </w:r>
      <w:r w:rsidRPr="003F05AF">
        <w:rPr>
          <w:sz w:val="26"/>
          <w:szCs w:val="26"/>
        </w:rPr>
        <w:t>.</w:t>
      </w:r>
    </w:p>
    <w:p w:rsidR="00364D4D" w:rsidRDefault="00364D4D" w:rsidP="00364D4D">
      <w:pPr>
        <w:spacing w:line="360" w:lineRule="auto"/>
        <w:ind w:right="23"/>
        <w:jc w:val="both"/>
        <w:rPr>
          <w:b/>
          <w:sz w:val="26"/>
          <w:szCs w:val="26"/>
        </w:rPr>
      </w:pPr>
    </w:p>
    <w:tbl>
      <w:tblPr>
        <w:tblStyle w:val="Tablaconcuadrcula"/>
        <w:tblW w:w="0" w:type="auto"/>
        <w:tblInd w:w="-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0"/>
      </w:tblGrid>
      <w:tr w:rsidR="00364D4D" w:rsidTr="00B17B53">
        <w:tc>
          <w:tcPr>
            <w:tcW w:w="8980" w:type="dxa"/>
          </w:tcPr>
          <w:p w:rsidR="00364D4D" w:rsidRPr="008C1B66" w:rsidRDefault="00364D4D" w:rsidP="00B17B53">
            <w:pPr>
              <w:pStyle w:val="NormalWeb"/>
              <w:spacing w:before="0" w:beforeAutospacing="0" w:after="0" w:afterAutospacing="0"/>
              <w:jc w:val="center"/>
              <w:rPr>
                <w:sz w:val="22"/>
                <w:szCs w:val="22"/>
              </w:rPr>
            </w:pPr>
            <w:r w:rsidRPr="008C1B66">
              <w:rPr>
                <w:b/>
                <w:bCs/>
                <w:color w:val="000000"/>
                <w:kern w:val="24"/>
                <w:sz w:val="22"/>
                <w:szCs w:val="22"/>
                <w:lang w:val="es-ES_tradnl"/>
              </w:rPr>
              <w:t>ÍNDICE NACIONAL DE PRECIOS AL CONSUMIDOR</w:t>
            </w:r>
          </w:p>
          <w:p w:rsidR="00364D4D" w:rsidRPr="000256F8" w:rsidRDefault="00364D4D" w:rsidP="00B17B53">
            <w:pPr>
              <w:pStyle w:val="NormalWeb"/>
              <w:spacing w:before="0" w:beforeAutospacing="0" w:after="0" w:afterAutospacing="0"/>
              <w:jc w:val="center"/>
              <w:rPr>
                <w:b/>
                <w:bCs/>
                <w:color w:val="000000"/>
                <w:kern w:val="24"/>
                <w:sz w:val="22"/>
                <w:szCs w:val="22"/>
                <w:lang w:val="es-ES_tradnl"/>
              </w:rPr>
            </w:pPr>
            <w:r w:rsidRPr="000256F8">
              <w:rPr>
                <w:b/>
                <w:bCs/>
                <w:color w:val="000000"/>
                <w:kern w:val="24"/>
                <w:sz w:val="22"/>
                <w:szCs w:val="22"/>
                <w:lang w:val="es-ES_tradnl"/>
              </w:rPr>
              <w:t>- Variaciones con respecto al mismo mes del año anterior -</w:t>
            </w:r>
          </w:p>
          <w:p w:rsidR="00364D4D" w:rsidRDefault="001244B5" w:rsidP="00B17B53">
            <w:pPr>
              <w:pStyle w:val="NormalWeb"/>
              <w:spacing w:before="0" w:beforeAutospacing="0" w:after="0" w:afterAutospacing="0"/>
              <w:jc w:val="center"/>
              <w:rPr>
                <w:b/>
                <w:bCs/>
                <w:color w:val="000000"/>
                <w:kern w:val="24"/>
                <w:sz w:val="22"/>
                <w:szCs w:val="22"/>
                <w:lang w:val="en-US"/>
              </w:rPr>
            </w:pPr>
            <w:r>
              <w:rPr>
                <w:b/>
                <w:bCs/>
                <w:color w:val="000000"/>
                <w:kern w:val="24"/>
                <w:sz w:val="22"/>
                <w:szCs w:val="22"/>
                <w:lang w:val="es-MX"/>
              </w:rPr>
              <w:t>Febrero</w:t>
            </w:r>
            <w:r w:rsidR="00364D4D">
              <w:rPr>
                <w:b/>
                <w:bCs/>
                <w:color w:val="000000"/>
                <w:kern w:val="24"/>
                <w:sz w:val="22"/>
                <w:szCs w:val="22"/>
                <w:lang w:val="en-US"/>
              </w:rPr>
              <w:t xml:space="preserve"> </w:t>
            </w:r>
            <w:r w:rsidR="00A209C7">
              <w:rPr>
                <w:b/>
                <w:bCs/>
                <w:color w:val="000000"/>
                <w:kern w:val="24"/>
                <w:sz w:val="22"/>
                <w:szCs w:val="22"/>
                <w:lang w:val="en-US"/>
              </w:rPr>
              <w:t>2014</w:t>
            </w:r>
            <w:r w:rsidR="00364D4D" w:rsidRPr="00E10A28">
              <w:rPr>
                <w:b/>
                <w:bCs/>
                <w:color w:val="000000"/>
                <w:kern w:val="24"/>
                <w:sz w:val="22"/>
                <w:szCs w:val="22"/>
                <w:lang w:val="en-US"/>
              </w:rPr>
              <w:t xml:space="preserve"> </w:t>
            </w:r>
            <w:r w:rsidR="00364D4D">
              <w:rPr>
                <w:b/>
                <w:bCs/>
                <w:color w:val="000000"/>
                <w:kern w:val="24"/>
                <w:sz w:val="22"/>
                <w:szCs w:val="22"/>
                <w:lang w:val="en-US"/>
              </w:rPr>
              <w:t>–</w:t>
            </w:r>
            <w:r w:rsidR="00364D4D" w:rsidRPr="00E10A28">
              <w:rPr>
                <w:b/>
                <w:bCs/>
                <w:color w:val="000000"/>
                <w:kern w:val="24"/>
                <w:sz w:val="22"/>
                <w:szCs w:val="22"/>
                <w:lang w:val="en-US"/>
              </w:rPr>
              <w:t xml:space="preserve"> </w:t>
            </w:r>
            <w:r>
              <w:rPr>
                <w:b/>
                <w:bCs/>
                <w:color w:val="000000"/>
                <w:kern w:val="24"/>
                <w:sz w:val="22"/>
                <w:szCs w:val="22"/>
                <w:lang w:val="es-ES_tradnl"/>
              </w:rPr>
              <w:t>febrero</w:t>
            </w:r>
            <w:r w:rsidR="00364D4D">
              <w:rPr>
                <w:b/>
                <w:bCs/>
                <w:color w:val="000000"/>
                <w:kern w:val="24"/>
                <w:sz w:val="22"/>
                <w:szCs w:val="22"/>
                <w:lang w:val="es-ES_tradnl"/>
              </w:rPr>
              <w:t xml:space="preserve"> </w:t>
            </w:r>
            <w:r w:rsidR="00A209C7">
              <w:rPr>
                <w:b/>
                <w:bCs/>
                <w:color w:val="000000"/>
                <w:kern w:val="24"/>
                <w:sz w:val="22"/>
                <w:szCs w:val="22"/>
                <w:lang w:val="en-US"/>
              </w:rPr>
              <w:t>2015</w:t>
            </w:r>
          </w:p>
          <w:p w:rsidR="00364D4D" w:rsidRPr="002E4B3A"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364D4D" w:rsidP="00B17B53">
            <w:pPr>
              <w:tabs>
                <w:tab w:val="left" w:pos="7170"/>
              </w:tabs>
              <w:spacing w:line="360" w:lineRule="auto"/>
              <w:ind w:right="23"/>
              <w:jc w:val="center"/>
              <w:rPr>
                <w:b/>
                <w:sz w:val="20"/>
                <w:szCs w:val="20"/>
                <w:vertAlign w:val="superscript"/>
              </w:rPr>
            </w:pPr>
            <w:r>
              <w:rPr>
                <w:noProof/>
                <w:sz w:val="26"/>
                <w:szCs w:val="26"/>
                <w:lang w:val="es-MX" w:eastAsia="es-MX"/>
              </w:rPr>
              <mc:AlternateContent>
                <mc:Choice Requires="wps">
                  <w:drawing>
                    <wp:anchor distT="0" distB="0" distL="114300" distR="114300" simplePos="0" relativeHeight="251663360" behindDoc="0" locked="0" layoutInCell="1" allowOverlap="1" wp14:anchorId="16399C63" wp14:editId="3B314327">
                      <wp:simplePos x="0" y="0"/>
                      <wp:positionH relativeFrom="column">
                        <wp:posOffset>2991181</wp:posOffset>
                      </wp:positionH>
                      <wp:positionV relativeFrom="paragraph">
                        <wp:posOffset>91440</wp:posOffset>
                      </wp:positionV>
                      <wp:extent cx="342900" cy="243205"/>
                      <wp:effectExtent l="0" t="0" r="0" b="4445"/>
                      <wp:wrapNone/>
                      <wp:docPr id="115" name="Text Box 3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32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14B35" w:rsidRPr="005336A9" w:rsidRDefault="00A14B35" w:rsidP="00364D4D">
                                  <w:pPr>
                                    <w:jc w:val="center"/>
                                    <w:rPr>
                                      <w:sz w:val="20"/>
                                      <w:szCs w:val="20"/>
                                      <w:vertAlign w:val="superscript"/>
                                      <w:lang w:val="es-MX"/>
                                    </w:rPr>
                                  </w:pPr>
                                  <w:r w:rsidRPr="00DE23FA">
                                    <w:rPr>
                                      <w:sz w:val="20"/>
                                      <w:szCs w:val="20"/>
                                      <w:u w:val="single"/>
                                      <w:vertAlign w:val="superscript"/>
                                      <w:lang w:val="es-MX"/>
                                    </w:rPr>
                                    <w:t>1</w:t>
                                  </w:r>
                                  <w:r w:rsidRPr="005336A9">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399C63" id="Text Box 3163" o:spid="_x0000_s1052" type="#_x0000_t202" style="position:absolute;left:0;text-align:left;margin-left:235.55pt;margin-top:7.2pt;width:27pt;height:19.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" filled="f" stroked="f">
                      <v:textbox>
                        <w:txbxContent>
                          <w:p w:rsidR="00A14B35" w:rsidRPr="005336A9" w:rsidRDefault="00A14B35" w:rsidP="00364D4D">
                            <w:pPr>
                              <w:jc w:val="center"/>
                              <w:rPr>
                                <w:sz w:val="20"/>
                                <w:szCs w:val="20"/>
                                <w:vertAlign w:val="superscript"/>
                                <w:lang w:val="es-MX"/>
                              </w:rPr>
                            </w:pPr>
                            <w:r w:rsidRPr="00DE23FA">
                              <w:rPr>
                                <w:sz w:val="20"/>
                                <w:szCs w:val="20"/>
                                <w:u w:val="single"/>
                                <w:vertAlign w:val="superscript"/>
                                <w:lang w:val="es-MX"/>
                              </w:rPr>
                              <w:t>1</w:t>
                            </w:r>
                            <w:r w:rsidRPr="005336A9">
                              <w:rPr>
                                <w:sz w:val="20"/>
                                <w:szCs w:val="20"/>
                                <w:vertAlign w:val="superscript"/>
                                <w:lang w:val="es-MX"/>
                              </w:rPr>
                              <w:t>/</w:t>
                            </w:r>
                          </w:p>
                        </w:txbxContent>
                      </v:textbox>
                    </v:shape>
                  </w:pict>
                </mc:Fallback>
              </mc:AlternateContent>
            </w:r>
            <w:r w:rsidR="000073FE">
              <w:rPr>
                <w:noProof/>
                <w:sz w:val="26"/>
                <w:szCs w:val="26"/>
                <w:lang w:val="es-MX" w:eastAsia="es-MX"/>
              </w:rPr>
              <w:drawing>
                <wp:inline distT="0" distB="0" distL="0" distR="0" wp14:anchorId="1B6386DB" wp14:editId="54393E33">
                  <wp:extent cx="5400675" cy="3899140"/>
                  <wp:effectExtent l="0" t="0" r="9525" b="6350"/>
                  <wp:docPr id="25" name="Objeto 31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364D4D" w:rsidTr="00B17B53">
        <w:tc>
          <w:tcPr>
            <w:tcW w:w="8980" w:type="dxa"/>
          </w:tcPr>
          <w:p w:rsidR="00364D4D" w:rsidRPr="00BF5B81" w:rsidRDefault="00364D4D" w:rsidP="00B17B53">
            <w:pPr>
              <w:pStyle w:val="NormalWeb"/>
              <w:tabs>
                <w:tab w:val="left" w:pos="0"/>
              </w:tabs>
              <w:spacing w:before="0" w:beforeAutospacing="0" w:after="0" w:afterAutospacing="0"/>
              <w:ind w:left="336" w:hanging="374"/>
              <w:jc w:val="both"/>
              <w:rPr>
                <w:color w:val="000000"/>
                <w:kern w:val="24"/>
                <w:sz w:val="20"/>
                <w:szCs w:val="20"/>
              </w:rPr>
            </w:pPr>
            <w:r>
              <w:rPr>
                <w:color w:val="000000"/>
                <w:kern w:val="24"/>
                <w:sz w:val="20"/>
                <w:szCs w:val="20"/>
              </w:rPr>
              <w:t xml:space="preserve">             </w:t>
            </w:r>
            <w:r w:rsidRPr="005D4930">
              <w:rPr>
                <w:color w:val="000000"/>
                <w:kern w:val="24"/>
                <w:sz w:val="14"/>
                <w:szCs w:val="20"/>
              </w:rPr>
              <w:t xml:space="preserve"> </w:t>
            </w:r>
            <w:r w:rsidRPr="005D4930">
              <w:rPr>
                <w:color w:val="000000"/>
                <w:kern w:val="24"/>
                <w:sz w:val="7"/>
                <w:szCs w:val="7"/>
              </w:rPr>
              <w:t xml:space="preserve">  </w:t>
            </w:r>
            <w:r w:rsidRPr="005D4930">
              <w:rPr>
                <w:color w:val="000000"/>
                <w:kern w:val="24"/>
                <w:sz w:val="14"/>
                <w:szCs w:val="20"/>
              </w:rPr>
              <w:t xml:space="preserve"> </w:t>
            </w:r>
            <w:r w:rsidRPr="00CC7A1F">
              <w:rPr>
                <w:color w:val="000000"/>
                <w:kern w:val="24"/>
                <w:sz w:val="20"/>
                <w:szCs w:val="20"/>
              </w:rPr>
              <w:t xml:space="preserve"> </w:t>
            </w:r>
            <w:r w:rsidRPr="00CC7A1F">
              <w:rPr>
                <w:color w:val="000000"/>
                <w:kern w:val="24"/>
                <w:position w:val="7"/>
                <w:sz w:val="20"/>
                <w:szCs w:val="20"/>
                <w:u w:val="single"/>
                <w:vertAlign w:val="superscript"/>
              </w:rPr>
              <w:t>1</w:t>
            </w:r>
            <w:r w:rsidRPr="00CC7A1F">
              <w:rPr>
                <w:color w:val="000000"/>
                <w:kern w:val="24"/>
                <w:position w:val="7"/>
                <w:sz w:val="20"/>
                <w:szCs w:val="20"/>
                <w:vertAlign w:val="superscript"/>
              </w:rPr>
              <w:t xml:space="preserve">/ </w:t>
            </w:r>
            <w:r w:rsidRPr="00CC7A1F">
              <w:rPr>
                <w:color w:val="000000"/>
                <w:kern w:val="24"/>
                <w:sz w:val="20"/>
                <w:szCs w:val="20"/>
              </w:rPr>
              <w:t xml:space="preserve">  Para familias de ingreso de hasta un salario mínimo.</w:t>
            </w:r>
            <w:r>
              <w:rPr>
                <w:color w:val="000000"/>
                <w:kern w:val="24"/>
                <w:sz w:val="20"/>
                <w:szCs w:val="20"/>
              </w:rPr>
              <w:t xml:space="preserve"> </w:t>
            </w:r>
          </w:p>
          <w:p w:rsidR="00364D4D" w:rsidRPr="002E4B3A" w:rsidRDefault="00364D4D" w:rsidP="00B17B53">
            <w:pPr>
              <w:pStyle w:val="NormalWeb"/>
              <w:tabs>
                <w:tab w:val="left" w:pos="0"/>
              </w:tabs>
              <w:spacing w:before="0" w:beforeAutospacing="0" w:after="0" w:afterAutospacing="0"/>
              <w:ind w:left="1008" w:right="400" w:hanging="876"/>
              <w:jc w:val="both"/>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364D4D" w:rsidRDefault="00364D4D" w:rsidP="00364D4D">
      <w:pPr>
        <w:ind w:right="29"/>
        <w:jc w:val="both"/>
        <w:rPr>
          <w:b/>
          <w:sz w:val="26"/>
          <w:szCs w:val="26"/>
        </w:rPr>
      </w:pPr>
    </w:p>
    <w:p w:rsidR="00364D4D" w:rsidRPr="00E313B7" w:rsidRDefault="00364D4D" w:rsidP="00364D4D">
      <w:pPr>
        <w:pStyle w:val="Ttulo1"/>
        <w:jc w:val="left"/>
        <w:rPr>
          <w:color w:val="0000FF"/>
          <w:sz w:val="26"/>
          <w:szCs w:val="26"/>
        </w:rPr>
      </w:pPr>
      <w:r>
        <w:br w:type="page"/>
      </w:r>
      <w:r w:rsidRPr="00E313B7">
        <w:rPr>
          <w:color w:val="0000FF"/>
          <w:sz w:val="26"/>
          <w:szCs w:val="26"/>
        </w:rPr>
        <w:lastRenderedPageBreak/>
        <w:t>Evolución de los precios por ciudad</w:t>
      </w:r>
    </w:p>
    <w:p w:rsidR="00364D4D" w:rsidRDefault="00364D4D" w:rsidP="00364D4D">
      <w:pPr>
        <w:spacing w:line="360" w:lineRule="auto"/>
        <w:ind w:right="28"/>
        <w:jc w:val="both"/>
        <w:rPr>
          <w:sz w:val="26"/>
          <w:szCs w:val="26"/>
        </w:rPr>
      </w:pPr>
    </w:p>
    <w:p w:rsidR="00364D4D" w:rsidRDefault="00364D4D" w:rsidP="00364D4D">
      <w:pPr>
        <w:spacing w:line="360" w:lineRule="auto"/>
        <w:ind w:right="28"/>
        <w:jc w:val="both"/>
        <w:rPr>
          <w:sz w:val="26"/>
          <w:szCs w:val="26"/>
        </w:rPr>
      </w:pPr>
      <w:r>
        <w:rPr>
          <w:sz w:val="26"/>
          <w:szCs w:val="26"/>
        </w:rPr>
        <w:t xml:space="preserve">En el primer </w:t>
      </w:r>
      <w:r w:rsidR="007B77AE">
        <w:rPr>
          <w:sz w:val="26"/>
          <w:szCs w:val="26"/>
        </w:rPr>
        <w:t>bimestre</w:t>
      </w:r>
      <w:r>
        <w:rPr>
          <w:sz w:val="26"/>
          <w:szCs w:val="26"/>
        </w:rPr>
        <w:t xml:space="preserve"> de </w:t>
      </w:r>
      <w:r w:rsidR="00A209C7">
        <w:rPr>
          <w:sz w:val="26"/>
          <w:szCs w:val="26"/>
        </w:rPr>
        <w:t>2015</w:t>
      </w:r>
      <w:r w:rsidRPr="006300CB">
        <w:rPr>
          <w:sz w:val="26"/>
          <w:szCs w:val="26"/>
        </w:rPr>
        <w:t xml:space="preserve">, </w:t>
      </w:r>
      <w:r w:rsidR="007B77AE">
        <w:rPr>
          <w:sz w:val="26"/>
          <w:szCs w:val="26"/>
        </w:rPr>
        <w:t>44</w:t>
      </w:r>
      <w:r w:rsidRPr="006300CB">
        <w:rPr>
          <w:sz w:val="26"/>
          <w:szCs w:val="26"/>
        </w:rPr>
        <w:t xml:space="preserve"> de las 46 ciudades que </w:t>
      </w:r>
      <w:r>
        <w:rPr>
          <w:sz w:val="26"/>
          <w:szCs w:val="26"/>
        </w:rPr>
        <w:t>integran</w:t>
      </w:r>
      <w:r w:rsidRPr="006300CB">
        <w:rPr>
          <w:sz w:val="26"/>
          <w:szCs w:val="26"/>
        </w:rPr>
        <w:t xml:space="preserve"> el INPC </w:t>
      </w:r>
      <w:r>
        <w:rPr>
          <w:sz w:val="26"/>
          <w:szCs w:val="26"/>
        </w:rPr>
        <w:t>observaron</w:t>
      </w:r>
      <w:r w:rsidRPr="006300CB">
        <w:rPr>
          <w:sz w:val="26"/>
          <w:szCs w:val="26"/>
        </w:rPr>
        <w:t xml:space="preserve"> variaciones</w:t>
      </w:r>
      <w:r>
        <w:rPr>
          <w:sz w:val="26"/>
          <w:szCs w:val="26"/>
        </w:rPr>
        <w:t xml:space="preserve"> acumuladas</w:t>
      </w:r>
      <w:r w:rsidRPr="006300CB">
        <w:rPr>
          <w:sz w:val="26"/>
          <w:szCs w:val="26"/>
        </w:rPr>
        <w:t xml:space="preserve"> de precios </w:t>
      </w:r>
      <w:r>
        <w:rPr>
          <w:sz w:val="26"/>
          <w:szCs w:val="26"/>
        </w:rPr>
        <w:t>inferiores a</w:t>
      </w:r>
      <w:r w:rsidRPr="006300CB">
        <w:rPr>
          <w:sz w:val="26"/>
          <w:szCs w:val="26"/>
        </w:rPr>
        <w:t xml:space="preserve"> las </w:t>
      </w:r>
      <w:r>
        <w:rPr>
          <w:sz w:val="26"/>
          <w:szCs w:val="26"/>
        </w:rPr>
        <w:t>registradas un año antes;</w:t>
      </w:r>
      <w:r w:rsidRPr="006300CB">
        <w:rPr>
          <w:sz w:val="26"/>
          <w:szCs w:val="26"/>
        </w:rPr>
        <w:t xml:space="preserve"> </w:t>
      </w:r>
      <w:r>
        <w:rPr>
          <w:sz w:val="26"/>
          <w:szCs w:val="26"/>
        </w:rPr>
        <w:t>se distinguieron</w:t>
      </w:r>
      <w:r w:rsidRPr="006300CB">
        <w:rPr>
          <w:sz w:val="26"/>
          <w:szCs w:val="26"/>
        </w:rPr>
        <w:t xml:space="preserve"> </w:t>
      </w:r>
      <w:r w:rsidR="007B77AE" w:rsidRPr="007B77AE">
        <w:rPr>
          <w:sz w:val="26"/>
          <w:szCs w:val="26"/>
        </w:rPr>
        <w:t xml:space="preserve">Cd. Acuña, </w:t>
      </w:r>
      <w:proofErr w:type="spellStart"/>
      <w:r w:rsidR="007B77AE" w:rsidRPr="007B77AE">
        <w:rPr>
          <w:sz w:val="26"/>
          <w:szCs w:val="26"/>
        </w:rPr>
        <w:t>Coah</w:t>
      </w:r>
      <w:proofErr w:type="spellEnd"/>
      <w:r w:rsidR="007B77AE" w:rsidRPr="007B77AE">
        <w:rPr>
          <w:sz w:val="26"/>
          <w:szCs w:val="26"/>
        </w:rPr>
        <w:t xml:space="preserve">. </w:t>
      </w:r>
      <w:proofErr w:type="gramStart"/>
      <w:r w:rsidR="007B77AE" w:rsidRPr="007B77AE">
        <w:rPr>
          <w:sz w:val="26"/>
          <w:szCs w:val="26"/>
        </w:rPr>
        <w:t>de</w:t>
      </w:r>
      <w:proofErr w:type="gramEnd"/>
      <w:r w:rsidR="007B77AE" w:rsidRPr="007B77AE">
        <w:rPr>
          <w:sz w:val="26"/>
          <w:szCs w:val="26"/>
        </w:rPr>
        <w:t xml:space="preserve"> Zaragoza</w:t>
      </w:r>
      <w:r w:rsidR="007B77AE">
        <w:rPr>
          <w:sz w:val="26"/>
          <w:szCs w:val="26"/>
        </w:rPr>
        <w:t xml:space="preserve">; </w:t>
      </w:r>
      <w:r w:rsidR="007B77AE" w:rsidRPr="007B77AE">
        <w:rPr>
          <w:sz w:val="26"/>
          <w:szCs w:val="26"/>
        </w:rPr>
        <w:t xml:space="preserve">Mexicali, B.C. </w:t>
      </w:r>
      <w:r w:rsidR="007B77AE">
        <w:rPr>
          <w:sz w:val="26"/>
          <w:szCs w:val="26"/>
        </w:rPr>
        <w:t xml:space="preserve">y </w:t>
      </w:r>
      <w:r w:rsidR="007B77AE" w:rsidRPr="007B77AE">
        <w:rPr>
          <w:sz w:val="26"/>
          <w:szCs w:val="26"/>
        </w:rPr>
        <w:t xml:space="preserve">Cd. Juárez, </w:t>
      </w:r>
      <w:proofErr w:type="spellStart"/>
      <w:r w:rsidR="007B77AE" w:rsidRPr="007B77AE">
        <w:rPr>
          <w:sz w:val="26"/>
          <w:szCs w:val="26"/>
        </w:rPr>
        <w:t>Chih</w:t>
      </w:r>
      <w:proofErr w:type="spellEnd"/>
      <w:r w:rsidR="007B77AE" w:rsidRPr="007B77AE">
        <w:rPr>
          <w:sz w:val="26"/>
          <w:szCs w:val="26"/>
        </w:rPr>
        <w:t xml:space="preserve">.  </w:t>
      </w:r>
      <w:proofErr w:type="gramStart"/>
      <w:r w:rsidRPr="006300CB">
        <w:rPr>
          <w:sz w:val="26"/>
          <w:szCs w:val="26"/>
        </w:rPr>
        <w:t>por</w:t>
      </w:r>
      <w:proofErr w:type="gramEnd"/>
      <w:r w:rsidRPr="006300CB">
        <w:rPr>
          <w:sz w:val="26"/>
          <w:szCs w:val="26"/>
        </w:rPr>
        <w:t xml:space="preserve"> haber alcanzado </w:t>
      </w:r>
      <w:r>
        <w:rPr>
          <w:sz w:val="26"/>
          <w:szCs w:val="26"/>
        </w:rPr>
        <w:t>los</w:t>
      </w:r>
      <w:r w:rsidRPr="006300CB">
        <w:rPr>
          <w:sz w:val="26"/>
          <w:szCs w:val="26"/>
        </w:rPr>
        <w:t xml:space="preserve"> </w:t>
      </w:r>
      <w:r>
        <w:rPr>
          <w:sz w:val="26"/>
          <w:szCs w:val="26"/>
        </w:rPr>
        <w:t>decrementos</w:t>
      </w:r>
      <w:r w:rsidRPr="002F5BA0">
        <w:rPr>
          <w:sz w:val="26"/>
          <w:szCs w:val="26"/>
        </w:rPr>
        <w:t xml:space="preserve"> más notables</w:t>
      </w:r>
      <w:r>
        <w:rPr>
          <w:sz w:val="26"/>
          <w:szCs w:val="26"/>
        </w:rPr>
        <w:t xml:space="preserve"> </w:t>
      </w:r>
      <w:r w:rsidRPr="006300CB">
        <w:rPr>
          <w:sz w:val="26"/>
          <w:szCs w:val="26"/>
        </w:rPr>
        <w:t xml:space="preserve">en </w:t>
      </w:r>
      <w:r>
        <w:rPr>
          <w:sz w:val="26"/>
          <w:szCs w:val="26"/>
        </w:rPr>
        <w:t>términos de puntos porcentuales, como se aprecia en el siguiente cuadro.</w:t>
      </w:r>
    </w:p>
    <w:p w:rsidR="00364D4D" w:rsidRDefault="00364D4D" w:rsidP="00364D4D">
      <w:pPr>
        <w:spacing w:line="360" w:lineRule="auto"/>
        <w:ind w:right="28"/>
        <w:jc w:val="both"/>
        <w:rPr>
          <w:sz w:val="26"/>
          <w:szCs w:val="26"/>
        </w:rPr>
      </w:pPr>
    </w:p>
    <w:p w:rsidR="00364D4D" w:rsidRDefault="00364D4D" w:rsidP="00364D4D">
      <w:pPr>
        <w:spacing w:line="360" w:lineRule="auto"/>
        <w:ind w:right="28"/>
        <w:jc w:val="both"/>
        <w:rPr>
          <w:sz w:val="26"/>
          <w:szCs w:val="26"/>
        </w:rPr>
      </w:pPr>
      <w:r w:rsidRPr="002F5BA0">
        <w:rPr>
          <w:sz w:val="26"/>
          <w:szCs w:val="26"/>
        </w:rPr>
        <w:t>En sentido inverso,</w:t>
      </w:r>
      <w:r>
        <w:rPr>
          <w:sz w:val="26"/>
          <w:szCs w:val="26"/>
        </w:rPr>
        <w:t xml:space="preserve"> las ciudades de</w:t>
      </w:r>
      <w:r w:rsidR="007B77AE">
        <w:rPr>
          <w:sz w:val="26"/>
          <w:szCs w:val="26"/>
        </w:rPr>
        <w:t xml:space="preserve"> </w:t>
      </w:r>
      <w:r w:rsidR="007B77AE" w:rsidRPr="007B77AE">
        <w:rPr>
          <w:sz w:val="26"/>
          <w:szCs w:val="26"/>
        </w:rPr>
        <w:t xml:space="preserve">Iguala, Gro. </w:t>
      </w:r>
      <w:proofErr w:type="gramStart"/>
      <w:r w:rsidR="007B77AE">
        <w:rPr>
          <w:sz w:val="26"/>
          <w:szCs w:val="26"/>
        </w:rPr>
        <w:t>y</w:t>
      </w:r>
      <w:proofErr w:type="gramEnd"/>
      <w:r w:rsidR="007B77AE">
        <w:rPr>
          <w:sz w:val="26"/>
          <w:szCs w:val="26"/>
        </w:rPr>
        <w:t xml:space="preserve"> </w:t>
      </w:r>
      <w:r w:rsidR="007B77AE" w:rsidRPr="007B77AE">
        <w:rPr>
          <w:sz w:val="26"/>
          <w:szCs w:val="26"/>
        </w:rPr>
        <w:t xml:space="preserve">Tehuantepec, </w:t>
      </w:r>
      <w:proofErr w:type="spellStart"/>
      <w:r w:rsidR="007B77AE" w:rsidRPr="007B77AE">
        <w:rPr>
          <w:sz w:val="26"/>
          <w:szCs w:val="26"/>
        </w:rPr>
        <w:t>Oax</w:t>
      </w:r>
      <w:proofErr w:type="spellEnd"/>
      <w:r w:rsidR="007B77AE" w:rsidRPr="007B77AE">
        <w:rPr>
          <w:sz w:val="26"/>
          <w:szCs w:val="26"/>
        </w:rPr>
        <w:t xml:space="preserve">. </w:t>
      </w:r>
      <w:proofErr w:type="gramStart"/>
      <w:r>
        <w:rPr>
          <w:sz w:val="26"/>
          <w:szCs w:val="26"/>
        </w:rPr>
        <w:t>fueron</w:t>
      </w:r>
      <w:proofErr w:type="gramEnd"/>
      <w:r>
        <w:rPr>
          <w:sz w:val="26"/>
          <w:szCs w:val="26"/>
        </w:rPr>
        <w:t xml:space="preserve"> las ciudades con alzas</w:t>
      </w:r>
      <w:r w:rsidRPr="002F5BA0">
        <w:rPr>
          <w:sz w:val="26"/>
          <w:szCs w:val="26"/>
        </w:rPr>
        <w:t xml:space="preserve"> </w:t>
      </w:r>
      <w:r>
        <w:rPr>
          <w:sz w:val="26"/>
          <w:szCs w:val="26"/>
        </w:rPr>
        <w:t>en el crecimiento acumulado de sus precios.</w:t>
      </w:r>
    </w:p>
    <w:p w:rsidR="00364D4D" w:rsidRDefault="00364D4D" w:rsidP="00364D4D">
      <w:pPr>
        <w:spacing w:line="360" w:lineRule="auto"/>
        <w:ind w:right="28"/>
        <w:jc w:val="both"/>
        <w:rPr>
          <w:sz w:val="26"/>
          <w:szCs w:val="26"/>
        </w:rPr>
      </w:pPr>
    </w:p>
    <w:p w:rsidR="00364D4D" w:rsidRPr="00EF66FE" w:rsidRDefault="00364D4D" w:rsidP="00364D4D">
      <w:pPr>
        <w:spacing w:line="360" w:lineRule="auto"/>
        <w:ind w:right="28"/>
        <w:jc w:val="both"/>
        <w:rPr>
          <w:sz w:val="2"/>
          <w:szCs w:val="2"/>
        </w:rPr>
      </w:pPr>
      <w:r>
        <w:rPr>
          <w:sz w:val="26"/>
          <w:szCs w:val="26"/>
        </w:rPr>
        <w:br w:type="column"/>
      </w:r>
    </w:p>
    <w:tbl>
      <w:tblPr>
        <w:tblW w:w="0" w:type="auto"/>
        <w:jc w:val="center"/>
        <w:tblBorders>
          <w:left w:val="single" w:sz="4" w:space="0" w:color="auto"/>
          <w:right w:val="single" w:sz="4" w:space="0" w:color="auto"/>
        </w:tblBorders>
        <w:tblLook w:val="01E0" w:firstRow="1" w:lastRow="1" w:firstColumn="1" w:lastColumn="1" w:noHBand="0" w:noVBand="0"/>
      </w:tblPr>
      <w:tblGrid>
        <w:gridCol w:w="3866"/>
        <w:gridCol w:w="1083"/>
        <w:gridCol w:w="1083"/>
        <w:gridCol w:w="1701"/>
      </w:tblGrid>
      <w:tr w:rsidR="00364D4D" w:rsidRPr="00BA7A08" w:rsidTr="00B17B53">
        <w:trPr>
          <w:jc w:val="center"/>
        </w:trPr>
        <w:tc>
          <w:tcPr>
            <w:tcW w:w="7733" w:type="dxa"/>
            <w:gridSpan w:val="4"/>
            <w:tcBorders>
              <w:top w:val="nil"/>
              <w:left w:val="nil"/>
              <w:bottom w:val="single" w:sz="4" w:space="0" w:color="FFFFFF" w:themeColor="background1"/>
              <w:right w:val="nil"/>
            </w:tcBorders>
            <w:shd w:val="clear" w:color="auto" w:fill="auto"/>
            <w:vAlign w:val="center"/>
          </w:tcPr>
          <w:p w:rsidR="00364D4D" w:rsidRPr="00E95348" w:rsidRDefault="00364D4D" w:rsidP="00B17B53">
            <w:pPr>
              <w:spacing w:before="40"/>
              <w:ind w:right="23"/>
              <w:jc w:val="center"/>
              <w:rPr>
                <w:b/>
                <w:sz w:val="22"/>
                <w:szCs w:val="22"/>
              </w:rPr>
            </w:pPr>
            <w:r w:rsidRPr="006F7A08">
              <w:rPr>
                <w:b/>
                <w:sz w:val="22"/>
                <w:szCs w:val="22"/>
              </w:rPr>
              <w:t>ÍNDICE NACIONAL DE PRECIOS AL CONSUMIDOR</w:t>
            </w:r>
          </w:p>
          <w:p w:rsidR="00364D4D" w:rsidRPr="00E95348" w:rsidRDefault="00364D4D" w:rsidP="00B17B53">
            <w:pPr>
              <w:ind w:right="20"/>
              <w:jc w:val="center"/>
              <w:rPr>
                <w:b/>
                <w:sz w:val="22"/>
                <w:szCs w:val="22"/>
              </w:rPr>
            </w:pPr>
            <w:r>
              <w:rPr>
                <w:b/>
                <w:sz w:val="22"/>
                <w:szCs w:val="22"/>
              </w:rPr>
              <w:t>- Variaciones</w:t>
            </w:r>
            <w:r w:rsidRPr="00E95348">
              <w:rPr>
                <w:b/>
                <w:sz w:val="22"/>
                <w:szCs w:val="22"/>
              </w:rPr>
              <w:t xml:space="preserve"> </w:t>
            </w:r>
            <w:r>
              <w:rPr>
                <w:b/>
                <w:sz w:val="22"/>
                <w:szCs w:val="22"/>
              </w:rPr>
              <w:t>acumuladas</w:t>
            </w:r>
            <w:r w:rsidRPr="00E95348">
              <w:rPr>
                <w:b/>
                <w:sz w:val="22"/>
                <w:szCs w:val="22"/>
              </w:rPr>
              <w:t xml:space="preserve"> -</w:t>
            </w:r>
          </w:p>
          <w:p w:rsidR="00364D4D" w:rsidRPr="006F7A08" w:rsidRDefault="00364D4D" w:rsidP="00B17B53">
            <w:pPr>
              <w:jc w:val="center"/>
              <w:rPr>
                <w:b/>
                <w:sz w:val="22"/>
                <w:szCs w:val="22"/>
              </w:rPr>
            </w:pPr>
            <w:r>
              <w:rPr>
                <w:b/>
                <w:sz w:val="22"/>
                <w:szCs w:val="22"/>
              </w:rPr>
              <w:t xml:space="preserve">Enero - </w:t>
            </w:r>
            <w:r w:rsidR="001244B5">
              <w:rPr>
                <w:b/>
                <w:sz w:val="22"/>
                <w:szCs w:val="22"/>
              </w:rPr>
              <w:t>febrero</w:t>
            </w:r>
          </w:p>
        </w:tc>
      </w:tr>
      <w:tr w:rsidR="00364D4D" w:rsidRPr="00BA7A08" w:rsidTr="00AF4B8D">
        <w:trPr>
          <w:trHeight w:val="461"/>
          <w:jc w:val="center"/>
        </w:trPr>
        <w:tc>
          <w:tcPr>
            <w:tcW w:w="386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364D4D" w:rsidP="00B17B53">
            <w:pPr>
              <w:spacing w:before="120" w:after="60"/>
              <w:ind w:right="20"/>
              <w:jc w:val="center"/>
              <w:rPr>
                <w:b/>
                <w:color w:val="FFFFFF" w:themeColor="background1"/>
                <w:sz w:val="18"/>
                <w:szCs w:val="18"/>
              </w:rPr>
            </w:pPr>
            <w:r w:rsidRPr="00E95348">
              <w:rPr>
                <w:b/>
                <w:color w:val="FFFFFF" w:themeColor="background1"/>
                <w:sz w:val="18"/>
                <w:szCs w:val="18"/>
              </w:rPr>
              <w:t>CIUDAD</w:t>
            </w:r>
          </w:p>
        </w:tc>
        <w:tc>
          <w:tcPr>
            <w:tcW w:w="108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A209C7" w:rsidP="00B17B53">
            <w:pPr>
              <w:jc w:val="center"/>
              <w:rPr>
                <w:b/>
                <w:color w:val="FFFFFF" w:themeColor="background1"/>
                <w:sz w:val="18"/>
                <w:szCs w:val="18"/>
              </w:rPr>
            </w:pPr>
            <w:r>
              <w:rPr>
                <w:b/>
                <w:color w:val="FFFFFF" w:themeColor="background1"/>
                <w:sz w:val="18"/>
                <w:szCs w:val="18"/>
              </w:rPr>
              <w:t>2014</w:t>
            </w:r>
          </w:p>
        </w:tc>
        <w:tc>
          <w:tcPr>
            <w:tcW w:w="108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A209C7" w:rsidP="00B17B53">
            <w:pPr>
              <w:jc w:val="center"/>
              <w:rPr>
                <w:b/>
                <w:color w:val="FFFFFF" w:themeColor="background1"/>
                <w:sz w:val="18"/>
                <w:szCs w:val="18"/>
              </w:rPr>
            </w:pPr>
            <w:r>
              <w:rPr>
                <w:b/>
                <w:color w:val="FFFFFF" w:themeColor="background1"/>
                <w:sz w:val="18"/>
                <w:szCs w:val="18"/>
              </w:rPr>
              <w:t>2015</w:t>
            </w:r>
          </w:p>
        </w:tc>
        <w:tc>
          <w:tcPr>
            <w:tcW w:w="1701"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E95348" w:rsidRDefault="00364D4D" w:rsidP="00B17B53">
            <w:pPr>
              <w:spacing w:before="20" w:after="20"/>
              <w:jc w:val="center"/>
              <w:rPr>
                <w:b/>
                <w:color w:val="FFFFFF" w:themeColor="background1"/>
                <w:sz w:val="18"/>
                <w:szCs w:val="18"/>
              </w:rPr>
            </w:pPr>
            <w:r w:rsidRPr="00E95348">
              <w:rPr>
                <w:b/>
                <w:color w:val="FFFFFF" w:themeColor="background1"/>
                <w:sz w:val="18"/>
                <w:szCs w:val="18"/>
              </w:rPr>
              <w:t>DIFERENCIA EN PUNTOS PORCENTUALES</w:t>
            </w:r>
          </w:p>
        </w:tc>
      </w:tr>
      <w:tr w:rsidR="00D777AB" w:rsidRPr="00F82EF6" w:rsidTr="00AF4B8D">
        <w:trPr>
          <w:trHeight w:val="89"/>
          <w:jc w:val="center"/>
        </w:trPr>
        <w:tc>
          <w:tcPr>
            <w:tcW w:w="3866" w:type="dxa"/>
            <w:tcBorders>
              <w:top w:val="single" w:sz="4" w:space="0" w:color="auto"/>
              <w:bottom w:val="nil"/>
              <w:right w:val="single" w:sz="4" w:space="0" w:color="auto"/>
            </w:tcBorders>
            <w:vAlign w:val="center"/>
          </w:tcPr>
          <w:p w:rsidR="00D777AB" w:rsidRPr="00F82EF6" w:rsidRDefault="00D777AB" w:rsidP="00D777AB">
            <w:pPr>
              <w:spacing w:before="60" w:after="60"/>
              <w:rPr>
                <w:b/>
                <w:bCs/>
                <w:sz w:val="18"/>
                <w:szCs w:val="18"/>
              </w:rPr>
            </w:pPr>
            <w:r w:rsidRPr="00F82EF6">
              <w:rPr>
                <w:b/>
                <w:bCs/>
                <w:sz w:val="18"/>
                <w:szCs w:val="18"/>
              </w:rPr>
              <w:t xml:space="preserve">PROMEDIO NACIONAL                            </w:t>
            </w:r>
          </w:p>
        </w:tc>
        <w:tc>
          <w:tcPr>
            <w:tcW w:w="1083" w:type="dxa"/>
            <w:tcBorders>
              <w:top w:val="nil"/>
              <w:left w:val="nil"/>
              <w:bottom w:val="nil"/>
              <w:right w:val="single" w:sz="4" w:space="0" w:color="auto"/>
            </w:tcBorders>
            <w:shd w:val="clear" w:color="auto" w:fill="auto"/>
            <w:vAlign w:val="center"/>
          </w:tcPr>
          <w:p w:rsidR="00D777AB" w:rsidRPr="00D777AB" w:rsidRDefault="00D777AB" w:rsidP="00D777AB">
            <w:pPr>
              <w:ind w:left="-1564" w:right="291"/>
              <w:jc w:val="right"/>
              <w:rPr>
                <w:b/>
                <w:bCs/>
                <w:sz w:val="18"/>
                <w:szCs w:val="18"/>
                <w:lang w:val="es-MX" w:eastAsia="es-MX"/>
              </w:rPr>
            </w:pPr>
            <w:r w:rsidRPr="00D777AB">
              <w:rPr>
                <w:b/>
                <w:bCs/>
                <w:sz w:val="18"/>
                <w:szCs w:val="18"/>
              </w:rPr>
              <w:t>1.15</w:t>
            </w:r>
          </w:p>
        </w:tc>
        <w:tc>
          <w:tcPr>
            <w:tcW w:w="1083" w:type="dxa"/>
            <w:tcBorders>
              <w:top w:val="single" w:sz="4" w:space="0" w:color="auto"/>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
                <w:bCs/>
                <w:sz w:val="18"/>
                <w:szCs w:val="18"/>
              </w:rPr>
            </w:pPr>
            <w:r w:rsidRPr="00D777AB">
              <w:rPr>
                <w:b/>
                <w:bCs/>
                <w:sz w:val="18"/>
                <w:szCs w:val="18"/>
              </w:rPr>
              <w:t>0.10</w:t>
            </w:r>
          </w:p>
        </w:tc>
        <w:tc>
          <w:tcPr>
            <w:tcW w:w="1701" w:type="dxa"/>
            <w:tcBorders>
              <w:top w:val="single" w:sz="4" w:space="0" w:color="auto"/>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
                <w:bCs/>
                <w:sz w:val="18"/>
                <w:szCs w:val="18"/>
              </w:rPr>
            </w:pPr>
            <w:r w:rsidRPr="00D777AB">
              <w:rPr>
                <w:b/>
                <w:bCs/>
                <w:sz w:val="18"/>
                <w:szCs w:val="18"/>
              </w:rPr>
              <w:t>-1.05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lang w:val="es-MX" w:eastAsia="es-MX"/>
              </w:rPr>
            </w:pPr>
            <w:r>
              <w:rPr>
                <w:sz w:val="20"/>
                <w:szCs w:val="20"/>
              </w:rPr>
              <w:t xml:space="preserve">Cd. Acuña, </w:t>
            </w:r>
            <w:proofErr w:type="spellStart"/>
            <w:r w:rsidRPr="00943EFA">
              <w:rPr>
                <w:sz w:val="20"/>
                <w:szCs w:val="20"/>
              </w:rPr>
              <w:t>Coah</w:t>
            </w:r>
            <w:proofErr w:type="spellEnd"/>
            <w:r w:rsidRPr="00943EFA">
              <w:rPr>
                <w:sz w:val="20"/>
                <w:szCs w:val="20"/>
              </w:rPr>
              <w:t>.</w:t>
            </w:r>
            <w:r w:rsidR="00943EFA" w:rsidRPr="00943EFA">
              <w:rPr>
                <w:sz w:val="20"/>
                <w:szCs w:val="20"/>
              </w:rPr>
              <w:t xml:space="preserve"> de Zaragoza</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2.57</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-1.14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-3.71</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Mexicali, B.C.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2.09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-1.14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-3.23</w:t>
            </w:r>
          </w:p>
        </w:tc>
      </w:tr>
      <w:tr w:rsidR="00D777AB" w:rsidRPr="00C26EA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Cd. Juárez, </w:t>
            </w:r>
            <w:proofErr w:type="spellStart"/>
            <w:r>
              <w:rPr>
                <w:sz w:val="20"/>
                <w:szCs w:val="20"/>
              </w:rPr>
              <w:t>Chih</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2.02</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-0.80</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-2.82</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Matamoros, </w:t>
            </w:r>
            <w:proofErr w:type="spellStart"/>
            <w:r>
              <w:rPr>
                <w:sz w:val="20"/>
                <w:szCs w:val="20"/>
              </w:rPr>
              <w:t>Tamps</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1.34</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-1.22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-2.56</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Tijuana, B.C.</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2.10</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0.10</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-2.00</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Chetumal, Q.R.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2.12</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0.27</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-1.85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Tapachula, Chis.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1.12</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-0.66</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-1.78</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Fresnillo, </w:t>
            </w:r>
            <w:proofErr w:type="spellStart"/>
            <w:r>
              <w:rPr>
                <w:sz w:val="20"/>
                <w:szCs w:val="20"/>
              </w:rPr>
              <w:t>Zac</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1.40</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-0.35</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-1.75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La Paz, B.C.S.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1.43</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-0.30</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-1.73</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Campeche, Camp.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1.91</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0.27</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-1.64</w:t>
            </w:r>
          </w:p>
        </w:tc>
      </w:tr>
      <w:tr w:rsidR="00D777AB" w:rsidRPr="00BA7A08" w:rsidTr="00AF4B8D">
        <w:trPr>
          <w:trHeight w:val="60"/>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León, </w:t>
            </w:r>
            <w:proofErr w:type="spellStart"/>
            <w:r>
              <w:rPr>
                <w:sz w:val="20"/>
                <w:szCs w:val="20"/>
              </w:rPr>
              <w:t>Gto</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1.96</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0.44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-1.52</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Villahermosa, </w:t>
            </w:r>
            <w:proofErr w:type="spellStart"/>
            <w:r>
              <w:rPr>
                <w:sz w:val="20"/>
                <w:szCs w:val="20"/>
              </w:rPr>
              <w:t>Tab</w:t>
            </w:r>
            <w:proofErr w:type="spellEnd"/>
            <w:r>
              <w:rPr>
                <w:sz w:val="20"/>
                <w:szCs w:val="20"/>
              </w:rPr>
              <w:t>.</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1.81</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0.37</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-1.44</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Tepatitlán, Jal.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1.68</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0.26</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-1.42</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Tlaxcala, </w:t>
            </w:r>
            <w:proofErr w:type="spellStart"/>
            <w:r>
              <w:rPr>
                <w:sz w:val="20"/>
                <w:szCs w:val="20"/>
              </w:rPr>
              <w:t>Tlax</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1.06</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-1.40</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proofErr w:type="spellStart"/>
            <w:r>
              <w:rPr>
                <w:sz w:val="20"/>
                <w:szCs w:val="20"/>
              </w:rPr>
              <w:t>Jacona</w:t>
            </w:r>
            <w:proofErr w:type="spellEnd"/>
            <w:r>
              <w:rPr>
                <w:sz w:val="20"/>
                <w:szCs w:val="20"/>
              </w:rPr>
              <w:t xml:space="preserve">, </w:t>
            </w:r>
            <w:proofErr w:type="spellStart"/>
            <w:r w:rsidRPr="00943EFA">
              <w:rPr>
                <w:sz w:val="20"/>
                <w:szCs w:val="20"/>
              </w:rPr>
              <w:t>Mich</w:t>
            </w:r>
            <w:proofErr w:type="spellEnd"/>
            <w:r w:rsidRPr="00943EFA">
              <w:rPr>
                <w:sz w:val="20"/>
                <w:szCs w:val="20"/>
              </w:rPr>
              <w:t xml:space="preserve">. </w:t>
            </w:r>
            <w:r w:rsidR="00943EFA" w:rsidRPr="00943EFA">
              <w:rPr>
                <w:sz w:val="20"/>
                <w:szCs w:val="20"/>
              </w:rPr>
              <w:t>de Ocampo</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1.07</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-0.19</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-1.26</w:t>
            </w:r>
          </w:p>
        </w:tc>
      </w:tr>
      <w:tr w:rsidR="00D777AB" w:rsidRPr="00BA7A08" w:rsidTr="00AF4B8D">
        <w:trPr>
          <w:trHeight w:val="280"/>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Mérida, </w:t>
            </w:r>
            <w:proofErr w:type="spellStart"/>
            <w:r>
              <w:rPr>
                <w:sz w:val="20"/>
                <w:szCs w:val="20"/>
              </w:rPr>
              <w:t>Yuc</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1.39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-1.25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Acapulco, Gro.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1.05</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-1.17</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Monclova, </w:t>
            </w:r>
            <w:proofErr w:type="spellStart"/>
            <w:r w:rsidR="00943EFA" w:rsidRPr="00943EFA">
              <w:rPr>
                <w:sz w:val="20"/>
                <w:szCs w:val="20"/>
              </w:rPr>
              <w:t>Coah</w:t>
            </w:r>
            <w:proofErr w:type="spellEnd"/>
            <w:r w:rsidR="00943EFA" w:rsidRPr="00943EFA">
              <w:rPr>
                <w:sz w:val="20"/>
                <w:szCs w:val="20"/>
              </w:rPr>
              <w:t>. de Zaragoza</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1.34</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0.19</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-1.15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Torreón, </w:t>
            </w:r>
            <w:proofErr w:type="spellStart"/>
            <w:r w:rsidR="00943EFA" w:rsidRPr="00943EFA">
              <w:rPr>
                <w:sz w:val="20"/>
                <w:szCs w:val="20"/>
              </w:rPr>
              <w:t>Coah</w:t>
            </w:r>
            <w:proofErr w:type="spellEnd"/>
            <w:r w:rsidR="00943EFA" w:rsidRPr="00943EFA">
              <w:rPr>
                <w:sz w:val="20"/>
                <w:szCs w:val="20"/>
              </w:rPr>
              <w:t>. de Zaragoza</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1.36</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0.30</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-1.06</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Culiacán, Sin.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0.98</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-1.00</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Cd. Jiménez, </w:t>
            </w:r>
            <w:proofErr w:type="spellStart"/>
            <w:r>
              <w:rPr>
                <w:sz w:val="20"/>
                <w:szCs w:val="20"/>
              </w:rPr>
              <w:t>Chih</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1.67</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0.71</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-0.96</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Chihuahua, </w:t>
            </w:r>
            <w:proofErr w:type="spellStart"/>
            <w:r>
              <w:rPr>
                <w:sz w:val="20"/>
                <w:szCs w:val="20"/>
              </w:rPr>
              <w:t>Chih</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1.29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0.33</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-0.96</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943EFA">
            <w:pPr>
              <w:ind w:left="318"/>
              <w:rPr>
                <w:sz w:val="20"/>
                <w:szCs w:val="20"/>
              </w:rPr>
            </w:pPr>
            <w:r>
              <w:rPr>
                <w:sz w:val="20"/>
                <w:szCs w:val="20"/>
              </w:rPr>
              <w:t xml:space="preserve">Veracruz, </w:t>
            </w:r>
            <w:r w:rsidRPr="00943EFA">
              <w:rPr>
                <w:sz w:val="20"/>
                <w:szCs w:val="20"/>
              </w:rPr>
              <w:t xml:space="preserve">Ver. </w:t>
            </w:r>
            <w:r w:rsidR="00943EFA" w:rsidRPr="00943EFA">
              <w:rPr>
                <w:sz w:val="20"/>
                <w:szCs w:val="20"/>
              </w:rPr>
              <w:t>de Ignacio de la Llave</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0.96</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0.01</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-0.95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San Luis Potosí, S.L.P.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1.09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0.17</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-0.92</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AF4B8D" w:rsidP="00D777AB">
            <w:pPr>
              <w:ind w:left="318"/>
              <w:rPr>
                <w:sz w:val="20"/>
                <w:szCs w:val="20"/>
              </w:rPr>
            </w:pPr>
            <w:r>
              <w:rPr>
                <w:sz w:val="20"/>
                <w:szCs w:val="20"/>
              </w:rPr>
              <w:t xml:space="preserve">Toluca, Edo. </w:t>
            </w:r>
            <w:proofErr w:type="gramStart"/>
            <w:r>
              <w:rPr>
                <w:sz w:val="20"/>
                <w:szCs w:val="20"/>
              </w:rPr>
              <w:t>d</w:t>
            </w:r>
            <w:r w:rsidR="00D777AB">
              <w:rPr>
                <w:sz w:val="20"/>
                <w:szCs w:val="20"/>
              </w:rPr>
              <w:t>e</w:t>
            </w:r>
            <w:proofErr w:type="gramEnd"/>
            <w:r w:rsidR="00D777AB">
              <w:rPr>
                <w:sz w:val="20"/>
                <w:szCs w:val="20"/>
              </w:rPr>
              <w:t xml:space="preserve"> </w:t>
            </w:r>
            <w:proofErr w:type="spellStart"/>
            <w:r w:rsidR="00D777AB">
              <w:rPr>
                <w:sz w:val="20"/>
                <w:szCs w:val="20"/>
              </w:rPr>
              <w:t>Méx</w:t>
            </w:r>
            <w:proofErr w:type="spellEnd"/>
            <w:r w:rsidR="00D777AB">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1.34</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0.42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-0.92</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Monterrey, N.L.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1.14</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0.25</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-0.89</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Guadalajara, Jal.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1.34</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0.49</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-0.85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San Andrés Tuxtla, </w:t>
            </w:r>
            <w:r w:rsidR="00943EFA" w:rsidRPr="00943EFA">
              <w:rPr>
                <w:sz w:val="20"/>
                <w:szCs w:val="20"/>
              </w:rPr>
              <w:t>Ver. de Ignacio de la Llave</w:t>
            </w:r>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0.86</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0.03</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-0.83</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AF4B8D" w:rsidP="00D777AB">
            <w:pPr>
              <w:ind w:left="318"/>
              <w:rPr>
                <w:sz w:val="20"/>
                <w:szCs w:val="20"/>
              </w:rPr>
            </w:pPr>
            <w:r>
              <w:rPr>
                <w:sz w:val="20"/>
                <w:szCs w:val="20"/>
              </w:rPr>
              <w:t xml:space="preserve">Área </w:t>
            </w:r>
            <w:proofErr w:type="spellStart"/>
            <w:r>
              <w:rPr>
                <w:sz w:val="20"/>
                <w:szCs w:val="20"/>
              </w:rPr>
              <w:t>Met</w:t>
            </w:r>
            <w:proofErr w:type="spellEnd"/>
            <w:r>
              <w:rPr>
                <w:sz w:val="20"/>
                <w:szCs w:val="20"/>
              </w:rPr>
              <w:t>. de la Cd. d</w:t>
            </w:r>
            <w:r w:rsidR="00D777AB">
              <w:rPr>
                <w:sz w:val="20"/>
                <w:szCs w:val="20"/>
              </w:rPr>
              <w:t>e México</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0.95</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-0.81</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proofErr w:type="spellStart"/>
            <w:r>
              <w:rPr>
                <w:sz w:val="20"/>
                <w:szCs w:val="20"/>
              </w:rPr>
              <w:t>Cortazar</w:t>
            </w:r>
            <w:proofErr w:type="spellEnd"/>
            <w:r>
              <w:rPr>
                <w:sz w:val="20"/>
                <w:szCs w:val="20"/>
              </w:rPr>
              <w:t xml:space="preserve">, </w:t>
            </w:r>
            <w:proofErr w:type="spellStart"/>
            <w:r>
              <w:rPr>
                <w:sz w:val="20"/>
                <w:szCs w:val="20"/>
              </w:rPr>
              <w:t>Gto</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0.99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0.19</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-0.80</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Tepic, </w:t>
            </w:r>
            <w:proofErr w:type="spellStart"/>
            <w:r>
              <w:rPr>
                <w:sz w:val="20"/>
                <w:szCs w:val="20"/>
              </w:rPr>
              <w:t>Nay</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0.83</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0.06</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-0.77</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Durango, </w:t>
            </w:r>
            <w:proofErr w:type="spellStart"/>
            <w:r>
              <w:rPr>
                <w:sz w:val="20"/>
                <w:szCs w:val="20"/>
              </w:rPr>
              <w:t>Dgo</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1.03</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0.29</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-0.74</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Tampico, </w:t>
            </w:r>
            <w:proofErr w:type="spellStart"/>
            <w:r>
              <w:rPr>
                <w:sz w:val="20"/>
                <w:szCs w:val="20"/>
              </w:rPr>
              <w:t>Tamps</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0.95</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0.24</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-0.71</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Querétaro, </w:t>
            </w:r>
            <w:proofErr w:type="spellStart"/>
            <w:r>
              <w:rPr>
                <w:sz w:val="20"/>
                <w:szCs w:val="20"/>
              </w:rPr>
              <w:t>Qro</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0.82</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0.13</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-0.69</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proofErr w:type="spellStart"/>
            <w:r>
              <w:rPr>
                <w:sz w:val="20"/>
                <w:szCs w:val="20"/>
              </w:rPr>
              <w:t>Huatabampo</w:t>
            </w:r>
            <w:proofErr w:type="spellEnd"/>
            <w:r>
              <w:rPr>
                <w:sz w:val="20"/>
                <w:szCs w:val="20"/>
              </w:rPr>
              <w:t xml:space="preserve">, Son.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0.67</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-0.01</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-0.68</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Córdoba, </w:t>
            </w:r>
            <w:r w:rsidR="00943EFA" w:rsidRPr="00943EFA">
              <w:rPr>
                <w:sz w:val="20"/>
                <w:szCs w:val="20"/>
              </w:rPr>
              <w:t>Ver. de Ignacio de la Llave</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-0.67</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Tulancingo, </w:t>
            </w:r>
            <w:proofErr w:type="spellStart"/>
            <w:r>
              <w:rPr>
                <w:sz w:val="20"/>
                <w:szCs w:val="20"/>
              </w:rPr>
              <w:t>Hgo</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1.07</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0.52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-0.55</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Oaxaca, </w:t>
            </w:r>
            <w:proofErr w:type="spellStart"/>
            <w:r>
              <w:rPr>
                <w:sz w:val="20"/>
                <w:szCs w:val="20"/>
              </w:rPr>
              <w:t>Oax</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0.60</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0.09</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-0.51</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Colima, Col.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0.68</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0.20</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-0.48</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Aguascalientes, </w:t>
            </w:r>
            <w:proofErr w:type="spellStart"/>
            <w:r>
              <w:rPr>
                <w:sz w:val="20"/>
                <w:szCs w:val="20"/>
              </w:rPr>
              <w:t>Ags</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0.85</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0.42</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-0.43</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Cuernavaca, Mor.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0.54</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0.11</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-0.43</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Puebla, Pue.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0.39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0.00</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-0.39</w:t>
            </w:r>
          </w:p>
        </w:tc>
      </w:tr>
      <w:tr w:rsidR="00D777AB" w:rsidRPr="00BA7A08" w:rsidTr="00AF4B8D">
        <w:trPr>
          <w:trHeight w:val="151"/>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Hermosillo, Son.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0.99</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0.66</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-0.33</w:t>
            </w:r>
          </w:p>
        </w:tc>
      </w:tr>
      <w:tr w:rsidR="00D777AB" w:rsidRPr="00BA7A08" w:rsidTr="00AF4B8D">
        <w:trPr>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Morelia, </w:t>
            </w:r>
            <w:proofErr w:type="spellStart"/>
            <w:r w:rsidR="00943EFA" w:rsidRPr="00943EFA">
              <w:rPr>
                <w:sz w:val="20"/>
                <w:szCs w:val="20"/>
              </w:rPr>
              <w:t>Mich</w:t>
            </w:r>
            <w:proofErr w:type="spellEnd"/>
            <w:r w:rsidR="00943EFA" w:rsidRPr="00943EFA">
              <w:rPr>
                <w:sz w:val="20"/>
                <w:szCs w:val="20"/>
              </w:rPr>
              <w:t>. de Ocampo</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0.45</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0.21</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-0.24</w:t>
            </w:r>
          </w:p>
        </w:tc>
      </w:tr>
      <w:tr w:rsidR="00D777AB" w:rsidRPr="00BA7A08" w:rsidTr="00AF4B8D">
        <w:trPr>
          <w:trHeight w:val="87"/>
          <w:jc w:val="center"/>
        </w:trPr>
        <w:tc>
          <w:tcPr>
            <w:tcW w:w="3866" w:type="dxa"/>
            <w:tcBorders>
              <w:top w:val="nil"/>
              <w:left w:val="single" w:sz="4" w:space="0" w:color="auto"/>
              <w:bottom w:val="nil"/>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Tehuantepec, </w:t>
            </w:r>
            <w:proofErr w:type="spellStart"/>
            <w:r>
              <w:rPr>
                <w:sz w:val="20"/>
                <w:szCs w:val="20"/>
              </w:rPr>
              <w:t>Oax</w:t>
            </w:r>
            <w:proofErr w:type="spellEnd"/>
            <w:r>
              <w:rPr>
                <w:sz w:val="20"/>
                <w:szCs w:val="20"/>
              </w:rPr>
              <w:t xml:space="preserve">.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-0.03</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0.13</w:t>
            </w:r>
          </w:p>
        </w:tc>
        <w:tc>
          <w:tcPr>
            <w:tcW w:w="1701"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0.16</w:t>
            </w:r>
          </w:p>
        </w:tc>
      </w:tr>
      <w:tr w:rsidR="00D777AB" w:rsidRPr="00BA7A08" w:rsidTr="00AF4B8D">
        <w:trPr>
          <w:jc w:val="center"/>
        </w:trPr>
        <w:tc>
          <w:tcPr>
            <w:tcW w:w="3866" w:type="dxa"/>
            <w:tcBorders>
              <w:top w:val="nil"/>
              <w:left w:val="single" w:sz="4" w:space="0" w:color="auto"/>
              <w:bottom w:val="single" w:sz="4" w:space="0" w:color="auto"/>
              <w:right w:val="single" w:sz="4" w:space="0" w:color="auto"/>
            </w:tcBorders>
            <w:shd w:val="clear" w:color="auto" w:fill="auto"/>
            <w:vAlign w:val="center"/>
          </w:tcPr>
          <w:p w:rsidR="00D777AB" w:rsidRDefault="00D777AB" w:rsidP="00D777AB">
            <w:pPr>
              <w:ind w:left="318"/>
              <w:rPr>
                <w:sz w:val="20"/>
                <w:szCs w:val="20"/>
              </w:rPr>
            </w:pPr>
            <w:r>
              <w:rPr>
                <w:sz w:val="20"/>
                <w:szCs w:val="20"/>
              </w:rPr>
              <w:t xml:space="preserve">Iguala, Gro. </w:t>
            </w:r>
          </w:p>
        </w:tc>
        <w:tc>
          <w:tcPr>
            <w:tcW w:w="1083" w:type="dxa"/>
            <w:tcBorders>
              <w:top w:val="nil"/>
              <w:left w:val="single" w:sz="4" w:space="0" w:color="auto"/>
              <w:bottom w:val="nil"/>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0.04</w:t>
            </w:r>
          </w:p>
        </w:tc>
        <w:tc>
          <w:tcPr>
            <w:tcW w:w="1083" w:type="dxa"/>
            <w:tcBorders>
              <w:top w:val="nil"/>
              <w:left w:val="single" w:sz="4" w:space="0" w:color="auto"/>
              <w:bottom w:val="single" w:sz="4" w:space="0" w:color="auto"/>
              <w:right w:val="single" w:sz="4" w:space="0" w:color="auto"/>
            </w:tcBorders>
            <w:shd w:val="clear" w:color="auto" w:fill="auto"/>
            <w:vAlign w:val="center"/>
          </w:tcPr>
          <w:p w:rsidR="00D777AB" w:rsidRPr="00D777AB" w:rsidRDefault="00D777AB" w:rsidP="00D777AB">
            <w:pPr>
              <w:ind w:left="-1564" w:right="291"/>
              <w:jc w:val="right"/>
              <w:rPr>
                <w:bCs/>
                <w:sz w:val="18"/>
                <w:szCs w:val="18"/>
              </w:rPr>
            </w:pPr>
            <w:r w:rsidRPr="00D777AB">
              <w:rPr>
                <w:bCs/>
                <w:sz w:val="18"/>
                <w:szCs w:val="18"/>
              </w:rPr>
              <w:t>0.80</w:t>
            </w:r>
          </w:p>
        </w:tc>
        <w:tc>
          <w:tcPr>
            <w:tcW w:w="1701" w:type="dxa"/>
            <w:tcBorders>
              <w:top w:val="nil"/>
              <w:left w:val="single" w:sz="4" w:space="0" w:color="auto"/>
              <w:bottom w:val="single" w:sz="4" w:space="0" w:color="auto"/>
              <w:right w:val="single" w:sz="4" w:space="0" w:color="auto"/>
            </w:tcBorders>
            <w:shd w:val="clear" w:color="auto" w:fill="auto"/>
            <w:vAlign w:val="center"/>
          </w:tcPr>
          <w:p w:rsidR="00D777AB" w:rsidRPr="00D777AB" w:rsidRDefault="00D777AB" w:rsidP="00D777AB">
            <w:pPr>
              <w:ind w:left="-1564" w:right="598"/>
              <w:jc w:val="right"/>
              <w:rPr>
                <w:bCs/>
                <w:sz w:val="18"/>
                <w:szCs w:val="18"/>
              </w:rPr>
            </w:pPr>
            <w:r w:rsidRPr="00D777AB">
              <w:rPr>
                <w:bCs/>
                <w:sz w:val="18"/>
                <w:szCs w:val="18"/>
              </w:rPr>
              <w:t>0.76</w:t>
            </w:r>
          </w:p>
        </w:tc>
      </w:tr>
      <w:tr w:rsidR="00364D4D" w:rsidRPr="00BA7A08" w:rsidTr="00B17B53">
        <w:trPr>
          <w:jc w:val="center"/>
        </w:trPr>
        <w:tc>
          <w:tcPr>
            <w:tcW w:w="7733" w:type="dxa"/>
            <w:gridSpan w:val="4"/>
            <w:tcBorders>
              <w:top w:val="single" w:sz="4" w:space="0" w:color="auto"/>
              <w:left w:val="nil"/>
              <w:bottom w:val="nil"/>
              <w:right w:val="nil"/>
            </w:tcBorders>
            <w:vAlign w:val="bottom"/>
          </w:tcPr>
          <w:p w:rsidR="00364D4D" w:rsidRPr="00CA46C6" w:rsidRDefault="00364D4D" w:rsidP="00B17B53">
            <w:pPr>
              <w:spacing w:before="20"/>
              <w:ind w:left="788" w:hanging="802"/>
              <w:jc w:val="both"/>
              <w:rPr>
                <w:sz w:val="18"/>
                <w:szCs w:val="18"/>
              </w:rPr>
            </w:pPr>
            <w:r w:rsidRPr="00CA46C6">
              <w:rPr>
                <w:sz w:val="18"/>
                <w:szCs w:val="18"/>
              </w:rPr>
              <w:t>FUENTE: Elaborado por la Comisión Nacional de los Salarios Mínimos con información del Instituto Nacional de Estadística y Geografía.</w:t>
            </w:r>
          </w:p>
        </w:tc>
      </w:tr>
    </w:tbl>
    <w:p w:rsidR="00364D4D" w:rsidRPr="000C2845" w:rsidRDefault="00364D4D" w:rsidP="00364D4D">
      <w:pPr>
        <w:spacing w:after="120" w:line="360" w:lineRule="auto"/>
        <w:ind w:right="28"/>
        <w:jc w:val="both"/>
        <w:rPr>
          <w:sz w:val="26"/>
          <w:szCs w:val="26"/>
          <w:lang w:val="es-MX"/>
        </w:rPr>
      </w:pPr>
      <w:r>
        <w:rPr>
          <w:sz w:val="26"/>
          <w:szCs w:val="26"/>
        </w:rPr>
        <w:br w:type="column"/>
      </w:r>
      <w:r>
        <w:rPr>
          <w:sz w:val="26"/>
          <w:szCs w:val="26"/>
        </w:rPr>
        <w:lastRenderedPageBreak/>
        <w:t xml:space="preserve">La </w:t>
      </w:r>
      <w:r>
        <w:rPr>
          <w:sz w:val="26"/>
          <w:szCs w:val="26"/>
          <w:lang w:val="es-MX"/>
        </w:rPr>
        <w:t>Ciudad</w:t>
      </w:r>
      <w:r w:rsidRPr="00D7603B">
        <w:rPr>
          <w:sz w:val="26"/>
          <w:szCs w:val="26"/>
        </w:rPr>
        <w:t xml:space="preserve"> </w:t>
      </w:r>
      <w:r>
        <w:rPr>
          <w:sz w:val="26"/>
          <w:szCs w:val="26"/>
        </w:rPr>
        <w:t xml:space="preserve">de </w:t>
      </w:r>
      <w:r w:rsidR="004363D4">
        <w:rPr>
          <w:sz w:val="26"/>
          <w:szCs w:val="26"/>
        </w:rPr>
        <w:t xml:space="preserve">Matamoros, </w:t>
      </w:r>
      <w:proofErr w:type="spellStart"/>
      <w:r w:rsidR="004363D4">
        <w:rPr>
          <w:sz w:val="26"/>
          <w:szCs w:val="26"/>
        </w:rPr>
        <w:t>Tamps</w:t>
      </w:r>
      <w:proofErr w:type="spellEnd"/>
      <w:r w:rsidR="004363D4">
        <w:rPr>
          <w:sz w:val="26"/>
          <w:szCs w:val="26"/>
        </w:rPr>
        <w:t>.</w:t>
      </w:r>
      <w:r>
        <w:rPr>
          <w:sz w:val="26"/>
          <w:szCs w:val="26"/>
        </w:rPr>
        <w:t xml:space="preserve"> </w:t>
      </w:r>
      <w:proofErr w:type="gramStart"/>
      <w:r w:rsidRPr="00C96B40">
        <w:rPr>
          <w:sz w:val="26"/>
          <w:szCs w:val="26"/>
          <w:lang w:val="es-MX"/>
        </w:rPr>
        <w:t>re</w:t>
      </w:r>
      <w:r>
        <w:rPr>
          <w:sz w:val="26"/>
          <w:szCs w:val="26"/>
          <w:lang w:val="es-MX"/>
        </w:rPr>
        <w:t>gistró</w:t>
      </w:r>
      <w:proofErr w:type="gramEnd"/>
      <w:r>
        <w:rPr>
          <w:sz w:val="26"/>
          <w:szCs w:val="26"/>
          <w:lang w:val="es-MX"/>
        </w:rPr>
        <w:t xml:space="preserve"> la menor variación acumulada</w:t>
      </w:r>
      <w:r w:rsidRPr="00C96B40">
        <w:rPr>
          <w:sz w:val="26"/>
          <w:szCs w:val="26"/>
          <w:lang w:val="es-MX"/>
        </w:rPr>
        <w:t xml:space="preserve"> </w:t>
      </w:r>
      <w:r>
        <w:rPr>
          <w:sz w:val="26"/>
          <w:szCs w:val="26"/>
          <w:lang w:val="es-MX"/>
        </w:rPr>
        <w:t xml:space="preserve">en lo que va del año </w:t>
      </w:r>
      <w:r w:rsidRPr="00C96B40">
        <w:rPr>
          <w:sz w:val="26"/>
          <w:szCs w:val="26"/>
          <w:lang w:val="es-MX"/>
        </w:rPr>
        <w:t>(</w:t>
      </w:r>
      <w:r w:rsidR="004363D4">
        <w:rPr>
          <w:sz w:val="26"/>
          <w:szCs w:val="26"/>
          <w:lang w:val="es-MX"/>
        </w:rPr>
        <w:t>-1.22</w:t>
      </w:r>
      <w:r w:rsidRPr="00C96B40">
        <w:rPr>
          <w:sz w:val="26"/>
          <w:szCs w:val="26"/>
          <w:lang w:val="es-MX"/>
        </w:rPr>
        <w:t xml:space="preserve">%), </w:t>
      </w:r>
      <w:r>
        <w:rPr>
          <w:sz w:val="26"/>
          <w:szCs w:val="26"/>
          <w:lang w:val="es-MX"/>
        </w:rPr>
        <w:t>comportamiento</w:t>
      </w:r>
      <w:r w:rsidRPr="00C96B40">
        <w:rPr>
          <w:sz w:val="26"/>
          <w:szCs w:val="26"/>
          <w:lang w:val="es-MX"/>
        </w:rPr>
        <w:t xml:space="preserve"> que se debió, en buena parte, al </w:t>
      </w:r>
      <w:r>
        <w:rPr>
          <w:sz w:val="26"/>
          <w:szCs w:val="26"/>
          <w:lang w:val="es-MX"/>
        </w:rPr>
        <w:t>decremento</w:t>
      </w:r>
      <w:r w:rsidRPr="00C96B40">
        <w:rPr>
          <w:sz w:val="26"/>
          <w:szCs w:val="26"/>
          <w:lang w:val="es-MX"/>
        </w:rPr>
        <w:t xml:space="preserve"> de </w:t>
      </w:r>
      <w:r w:rsidR="004363D4">
        <w:rPr>
          <w:sz w:val="26"/>
          <w:szCs w:val="26"/>
          <w:lang w:val="es-MX"/>
        </w:rPr>
        <w:t>7.37</w:t>
      </w:r>
      <w:r w:rsidRPr="00C96B40">
        <w:rPr>
          <w:sz w:val="26"/>
          <w:szCs w:val="26"/>
          <w:lang w:val="es-MX"/>
        </w:rPr>
        <w:t>%</w:t>
      </w:r>
      <w:r>
        <w:rPr>
          <w:sz w:val="26"/>
          <w:szCs w:val="26"/>
          <w:lang w:val="es-MX"/>
        </w:rPr>
        <w:t xml:space="preserve"> </w:t>
      </w:r>
      <w:r w:rsidRPr="00C96B40">
        <w:rPr>
          <w:sz w:val="26"/>
          <w:szCs w:val="26"/>
          <w:lang w:val="es-MX"/>
        </w:rPr>
        <w:t xml:space="preserve">que registró el rubro de </w:t>
      </w:r>
      <w:r w:rsidR="004363D4">
        <w:rPr>
          <w:sz w:val="26"/>
          <w:szCs w:val="26"/>
          <w:lang w:val="es-MX"/>
        </w:rPr>
        <w:t>Transporte</w:t>
      </w:r>
      <w:r w:rsidRPr="00C96B40">
        <w:rPr>
          <w:sz w:val="26"/>
          <w:szCs w:val="26"/>
          <w:lang w:val="es-MX"/>
        </w:rPr>
        <w:t xml:space="preserve">. En particular, </w:t>
      </w:r>
      <w:r>
        <w:rPr>
          <w:sz w:val="26"/>
          <w:szCs w:val="26"/>
          <w:lang w:val="es-MX"/>
        </w:rPr>
        <w:t xml:space="preserve">el grupo de </w:t>
      </w:r>
      <w:r w:rsidR="004363D4">
        <w:rPr>
          <w:sz w:val="26"/>
          <w:szCs w:val="26"/>
          <w:lang w:val="es-MX"/>
        </w:rPr>
        <w:t>transporte público foráneo</w:t>
      </w:r>
      <w:r w:rsidRPr="00C96B40">
        <w:rPr>
          <w:sz w:val="26"/>
          <w:szCs w:val="26"/>
          <w:lang w:val="es-MX"/>
        </w:rPr>
        <w:t xml:space="preserve"> presentó un</w:t>
      </w:r>
      <w:r>
        <w:rPr>
          <w:sz w:val="26"/>
          <w:szCs w:val="26"/>
          <w:lang w:val="es-MX"/>
        </w:rPr>
        <w:t>a</w:t>
      </w:r>
      <w:r w:rsidRPr="00C96B40">
        <w:rPr>
          <w:sz w:val="26"/>
          <w:szCs w:val="26"/>
          <w:lang w:val="es-MX"/>
        </w:rPr>
        <w:t xml:space="preserve"> </w:t>
      </w:r>
      <w:r>
        <w:rPr>
          <w:sz w:val="26"/>
          <w:szCs w:val="26"/>
          <w:lang w:val="es-MX"/>
        </w:rPr>
        <w:t>baja</w:t>
      </w:r>
      <w:r w:rsidRPr="00C96B40">
        <w:rPr>
          <w:sz w:val="26"/>
          <w:szCs w:val="26"/>
          <w:lang w:val="es-MX"/>
        </w:rPr>
        <w:t xml:space="preserve"> </w:t>
      </w:r>
      <w:r>
        <w:rPr>
          <w:sz w:val="26"/>
          <w:szCs w:val="26"/>
          <w:lang w:val="es-MX"/>
        </w:rPr>
        <w:t>acumulada</w:t>
      </w:r>
      <w:r w:rsidRPr="00C96B40">
        <w:rPr>
          <w:sz w:val="26"/>
          <w:szCs w:val="26"/>
          <w:lang w:val="es-MX"/>
        </w:rPr>
        <w:t xml:space="preserve"> de </w:t>
      </w:r>
      <w:r w:rsidR="004363D4">
        <w:rPr>
          <w:sz w:val="26"/>
          <w:szCs w:val="26"/>
          <w:lang w:val="es-MX"/>
        </w:rPr>
        <w:t>22.06</w:t>
      </w:r>
      <w:r w:rsidRPr="00C96B40">
        <w:rPr>
          <w:sz w:val="26"/>
          <w:szCs w:val="26"/>
          <w:lang w:val="es-MX"/>
        </w:rPr>
        <w:t>%, con lo que se ubicó</w:t>
      </w:r>
      <w:r>
        <w:rPr>
          <w:sz w:val="26"/>
          <w:szCs w:val="26"/>
          <w:lang w:val="es-MX"/>
        </w:rPr>
        <w:t xml:space="preserve"> en</w:t>
      </w:r>
      <w:r w:rsidR="004363D4">
        <w:rPr>
          <w:sz w:val="26"/>
          <w:szCs w:val="26"/>
          <w:lang w:val="es-MX"/>
        </w:rPr>
        <w:t xml:space="preserve">              </w:t>
      </w:r>
      <w:r>
        <w:rPr>
          <w:sz w:val="26"/>
          <w:szCs w:val="26"/>
          <w:lang w:val="es-MX"/>
        </w:rPr>
        <w:t xml:space="preserve"> </w:t>
      </w:r>
      <w:r w:rsidR="004363D4">
        <w:rPr>
          <w:sz w:val="26"/>
          <w:szCs w:val="26"/>
          <w:lang w:val="es-MX"/>
        </w:rPr>
        <w:t>13.85</w:t>
      </w:r>
      <w:r w:rsidRPr="00C96B40">
        <w:rPr>
          <w:sz w:val="26"/>
          <w:szCs w:val="26"/>
          <w:lang w:val="es-MX"/>
        </w:rPr>
        <w:t xml:space="preserve"> puntos porcentuales por a</w:t>
      </w:r>
      <w:r>
        <w:rPr>
          <w:sz w:val="26"/>
          <w:szCs w:val="26"/>
          <w:lang w:val="es-MX"/>
        </w:rPr>
        <w:t xml:space="preserve">bajo </w:t>
      </w:r>
      <w:r w:rsidRPr="00C96B40">
        <w:rPr>
          <w:sz w:val="26"/>
          <w:szCs w:val="26"/>
          <w:lang w:val="es-MX"/>
        </w:rPr>
        <w:t>del porcentaje observado por el mismo grupo en</w:t>
      </w:r>
      <w:r>
        <w:rPr>
          <w:sz w:val="26"/>
          <w:szCs w:val="26"/>
          <w:lang w:val="es-MX"/>
        </w:rPr>
        <w:t xml:space="preserve"> </w:t>
      </w:r>
      <w:r w:rsidRPr="00C96B40">
        <w:rPr>
          <w:sz w:val="26"/>
          <w:szCs w:val="26"/>
          <w:lang w:val="es-MX"/>
        </w:rPr>
        <w:t>el INPC (</w:t>
      </w:r>
      <w:r>
        <w:rPr>
          <w:sz w:val="26"/>
          <w:szCs w:val="26"/>
          <w:lang w:val="es-MX"/>
        </w:rPr>
        <w:t>-</w:t>
      </w:r>
      <w:r w:rsidR="004363D4">
        <w:rPr>
          <w:sz w:val="26"/>
          <w:szCs w:val="26"/>
          <w:lang w:val="es-MX"/>
        </w:rPr>
        <w:t>8.21</w:t>
      </w:r>
      <w:r w:rsidRPr="00C96B40">
        <w:rPr>
          <w:sz w:val="26"/>
          <w:szCs w:val="26"/>
          <w:lang w:val="es-MX"/>
        </w:rPr>
        <w:t xml:space="preserve">%), lo que </w:t>
      </w:r>
      <w:r>
        <w:rPr>
          <w:sz w:val="26"/>
          <w:szCs w:val="26"/>
          <w:lang w:val="es-MX"/>
        </w:rPr>
        <w:t>determinó</w:t>
      </w:r>
      <w:r w:rsidRPr="00C96B40">
        <w:rPr>
          <w:sz w:val="26"/>
          <w:szCs w:val="26"/>
          <w:lang w:val="es-MX"/>
        </w:rPr>
        <w:t xml:space="preserve"> el comportamiento general del rubro.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461"/>
      </w:tblGrid>
      <w:tr w:rsidR="00364D4D" w:rsidTr="00B17B53">
        <w:tc>
          <w:tcPr>
            <w:tcW w:w="8980" w:type="dxa"/>
            <w:gridSpan w:val="2"/>
          </w:tcPr>
          <w:p w:rsidR="00364D4D" w:rsidRDefault="00364D4D" w:rsidP="00B17B53">
            <w:pPr>
              <w:jc w:val="center"/>
              <w:rPr>
                <w:b/>
                <w:sz w:val="22"/>
                <w:szCs w:val="22"/>
                <w:lang w:val="es-MX"/>
              </w:rPr>
            </w:pPr>
            <w:r w:rsidRPr="00357AE6">
              <w:rPr>
                <w:b/>
                <w:sz w:val="22"/>
                <w:szCs w:val="22"/>
                <w:lang w:val="es-MX"/>
              </w:rPr>
              <w:t>ÍNDICE NACIONAL</w:t>
            </w:r>
            <w:r>
              <w:rPr>
                <w:b/>
                <w:sz w:val="22"/>
                <w:szCs w:val="22"/>
                <w:lang w:val="es-MX"/>
              </w:rPr>
              <w:t xml:space="preserve"> DE PRECIOS AL CONSUMIDOR Y DE LAS CIUDADES DE</w:t>
            </w:r>
          </w:p>
          <w:p w:rsidR="00364D4D" w:rsidRPr="00A76206" w:rsidRDefault="004363D4" w:rsidP="00B17B53">
            <w:pPr>
              <w:jc w:val="center"/>
              <w:rPr>
                <w:b/>
                <w:sz w:val="22"/>
                <w:szCs w:val="22"/>
              </w:rPr>
            </w:pPr>
            <w:r>
              <w:rPr>
                <w:b/>
                <w:sz w:val="20"/>
                <w:szCs w:val="20"/>
              </w:rPr>
              <w:t>MATAMOROS, TAMPS. E IGUALA, GRO.</w:t>
            </w:r>
          </w:p>
          <w:p w:rsidR="00364D4D" w:rsidRPr="00E10A28" w:rsidRDefault="00364D4D" w:rsidP="00B17B53">
            <w:pPr>
              <w:jc w:val="center"/>
              <w:rPr>
                <w:b/>
                <w:sz w:val="22"/>
                <w:szCs w:val="22"/>
              </w:rPr>
            </w:pPr>
            <w:r>
              <w:rPr>
                <w:b/>
                <w:bCs/>
                <w:color w:val="000000"/>
                <w:kern w:val="24"/>
                <w:sz w:val="22"/>
                <w:szCs w:val="22"/>
                <w:lang w:val="es-ES_tradnl"/>
              </w:rPr>
              <w:t xml:space="preserve">- Variaciones acumuladas </w:t>
            </w:r>
            <w:r w:rsidRPr="00E10A28">
              <w:rPr>
                <w:b/>
                <w:bCs/>
                <w:color w:val="000000"/>
                <w:kern w:val="24"/>
                <w:sz w:val="22"/>
                <w:szCs w:val="22"/>
                <w:lang w:val="es-ES_tradnl"/>
              </w:rPr>
              <w:t>-</w:t>
            </w:r>
          </w:p>
          <w:p w:rsidR="00364D4D" w:rsidRDefault="00364D4D" w:rsidP="00B17B53">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 xml:space="preserve">Enero - </w:t>
            </w:r>
            <w:r w:rsidR="001244B5">
              <w:rPr>
                <w:b/>
                <w:bCs/>
                <w:color w:val="000000"/>
                <w:kern w:val="24"/>
                <w:sz w:val="22"/>
                <w:szCs w:val="22"/>
                <w:lang w:val="es-MX"/>
              </w:rPr>
              <w:t>febrero</w:t>
            </w:r>
          </w:p>
          <w:p w:rsidR="00364D4D" w:rsidRDefault="00A209C7" w:rsidP="00B17B53">
            <w:pPr>
              <w:pStyle w:val="NormalWeb"/>
              <w:spacing w:before="0" w:beforeAutospacing="0" w:after="0" w:afterAutospacing="0"/>
              <w:jc w:val="center"/>
              <w:rPr>
                <w:b/>
                <w:sz w:val="22"/>
                <w:szCs w:val="22"/>
                <w:lang w:val="es-MX"/>
              </w:rPr>
            </w:pPr>
            <w:r>
              <w:rPr>
                <w:b/>
                <w:sz w:val="22"/>
                <w:szCs w:val="22"/>
                <w:lang w:val="es-MX"/>
              </w:rPr>
              <w:t>2015</w:t>
            </w:r>
          </w:p>
          <w:p w:rsidR="00364D4D" w:rsidRPr="00391F0B" w:rsidRDefault="00364D4D" w:rsidP="00B17B53">
            <w:pPr>
              <w:pStyle w:val="NormalWeb"/>
              <w:spacing w:before="0" w:beforeAutospacing="0" w:after="120" w:afterAutospacing="0"/>
              <w:jc w:val="center"/>
              <w:rPr>
                <w:b/>
                <w:sz w:val="22"/>
                <w:szCs w:val="22"/>
                <w:lang w:val="es-MX"/>
              </w:rPr>
            </w:pPr>
            <w:r>
              <w:rPr>
                <w:b/>
                <w:sz w:val="22"/>
                <w:szCs w:val="22"/>
              </w:rPr>
              <w:t>- Por ciento -</w:t>
            </w:r>
          </w:p>
        </w:tc>
      </w:tr>
      <w:tr w:rsidR="00364D4D" w:rsidTr="00B17B53">
        <w:tc>
          <w:tcPr>
            <w:tcW w:w="4490" w:type="dxa"/>
          </w:tcPr>
          <w:p w:rsidR="00364D4D" w:rsidRDefault="00364D4D" w:rsidP="00B17B53">
            <w:pPr>
              <w:spacing w:line="360" w:lineRule="auto"/>
              <w:ind w:right="28"/>
              <w:jc w:val="center"/>
              <w:rPr>
                <w:sz w:val="26"/>
                <w:szCs w:val="26"/>
              </w:rPr>
            </w:pPr>
            <w:r>
              <w:rPr>
                <w:noProof/>
                <w:sz w:val="26"/>
                <w:szCs w:val="26"/>
                <w:lang w:val="es-MX" w:eastAsia="es-MX"/>
              </w:rPr>
              <w:drawing>
                <wp:inline distT="0" distB="0" distL="0" distR="0" wp14:anchorId="2393E3EA" wp14:editId="7B9B5B7A">
                  <wp:extent cx="2490952" cy="3242310"/>
                  <wp:effectExtent l="0" t="0" r="24130" b="15240"/>
                  <wp:docPr id="11" name="Objeto 29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4490" w:type="dxa"/>
          </w:tcPr>
          <w:p w:rsidR="00364D4D" w:rsidRDefault="00364D4D" w:rsidP="00B17B53">
            <w:pPr>
              <w:spacing w:line="360" w:lineRule="auto"/>
              <w:ind w:right="28"/>
              <w:jc w:val="center"/>
              <w:rPr>
                <w:sz w:val="26"/>
                <w:szCs w:val="26"/>
              </w:rPr>
            </w:pPr>
            <w:r>
              <w:rPr>
                <w:noProof/>
                <w:sz w:val="26"/>
                <w:szCs w:val="26"/>
                <w:lang w:val="es-MX" w:eastAsia="es-MX"/>
              </w:rPr>
              <w:drawing>
                <wp:inline distT="0" distB="0" distL="0" distR="0" wp14:anchorId="12113E80" wp14:editId="3A976C9F">
                  <wp:extent cx="2617076" cy="3279228"/>
                  <wp:effectExtent l="0" t="0" r="31115" b="16510"/>
                  <wp:docPr id="62" name="Objeto 29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364D4D" w:rsidTr="00B17B53">
        <w:tc>
          <w:tcPr>
            <w:tcW w:w="8980" w:type="dxa"/>
            <w:gridSpan w:val="2"/>
          </w:tcPr>
          <w:p w:rsidR="00364D4D" w:rsidRPr="00391F0B" w:rsidRDefault="00364D4D" w:rsidP="00B17B53">
            <w:pPr>
              <w:pStyle w:val="NormalWeb"/>
              <w:spacing w:before="120" w:beforeAutospacing="0" w:after="0" w:afterAutospacing="0"/>
              <w:ind w:left="885" w:hanging="868"/>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364D4D" w:rsidRDefault="00364D4D" w:rsidP="00364D4D">
      <w:pPr>
        <w:autoSpaceDE w:val="0"/>
        <w:autoSpaceDN w:val="0"/>
        <w:adjustRightInd w:val="0"/>
        <w:spacing w:before="240" w:line="360" w:lineRule="auto"/>
        <w:jc w:val="both"/>
      </w:pPr>
      <w:r w:rsidRPr="00932D13">
        <w:rPr>
          <w:sz w:val="26"/>
          <w:szCs w:val="26"/>
          <w:lang w:val="es-MX" w:eastAsia="es-MX"/>
        </w:rPr>
        <w:t>Por el contrario,</w:t>
      </w:r>
      <w:r>
        <w:rPr>
          <w:sz w:val="26"/>
          <w:szCs w:val="26"/>
          <w:lang w:val="es-MX" w:eastAsia="es-MX"/>
        </w:rPr>
        <w:t xml:space="preserve"> </w:t>
      </w:r>
      <w:r w:rsidR="005F06E2">
        <w:rPr>
          <w:sz w:val="26"/>
          <w:szCs w:val="26"/>
          <w:lang w:val="es-MX" w:eastAsia="es-MX"/>
        </w:rPr>
        <w:t>Iguala, Gro.</w:t>
      </w:r>
      <w:r w:rsidRPr="00932D13">
        <w:rPr>
          <w:sz w:val="26"/>
          <w:szCs w:val="26"/>
          <w:lang w:val="es-MX" w:eastAsia="es-MX"/>
        </w:rPr>
        <w:t xml:space="preserve"> </w:t>
      </w:r>
      <w:proofErr w:type="gramStart"/>
      <w:r w:rsidRPr="00707BDC">
        <w:rPr>
          <w:sz w:val="26"/>
          <w:szCs w:val="26"/>
          <w:lang w:val="es-MX" w:eastAsia="es-MX"/>
        </w:rPr>
        <w:t>s</w:t>
      </w:r>
      <w:r>
        <w:rPr>
          <w:sz w:val="26"/>
          <w:szCs w:val="26"/>
          <w:lang w:val="es-MX" w:eastAsia="es-MX"/>
        </w:rPr>
        <w:t>obresalió</w:t>
      </w:r>
      <w:proofErr w:type="gramEnd"/>
      <w:r>
        <w:rPr>
          <w:sz w:val="26"/>
          <w:szCs w:val="26"/>
          <w:lang w:val="es-MX" w:eastAsia="es-MX"/>
        </w:rPr>
        <w:t xml:space="preserve"> por haber registrado la mayor variación en su índice de precios</w:t>
      </w:r>
      <w:r w:rsidRPr="00932D13">
        <w:rPr>
          <w:b/>
          <w:sz w:val="26"/>
          <w:szCs w:val="26"/>
          <w:lang w:val="es-MX" w:eastAsia="es-MX"/>
        </w:rPr>
        <w:t xml:space="preserve"> </w:t>
      </w:r>
      <w:r>
        <w:rPr>
          <w:sz w:val="26"/>
          <w:szCs w:val="26"/>
          <w:lang w:val="es-MX" w:eastAsia="es-MX"/>
        </w:rPr>
        <w:t xml:space="preserve">durante los primeros </w:t>
      </w:r>
      <w:r w:rsidR="005F06E2">
        <w:rPr>
          <w:sz w:val="26"/>
          <w:szCs w:val="26"/>
          <w:lang w:val="es-MX" w:eastAsia="es-MX"/>
        </w:rPr>
        <w:t>dos</w:t>
      </w:r>
      <w:r>
        <w:rPr>
          <w:sz w:val="26"/>
          <w:szCs w:val="26"/>
          <w:lang w:val="es-MX" w:eastAsia="es-MX"/>
        </w:rPr>
        <w:t xml:space="preserve"> meses de </w:t>
      </w:r>
      <w:r w:rsidR="00A209C7">
        <w:rPr>
          <w:sz w:val="26"/>
          <w:szCs w:val="26"/>
          <w:lang w:val="es-MX" w:eastAsia="es-MX"/>
        </w:rPr>
        <w:t>2015</w:t>
      </w:r>
      <w:r>
        <w:rPr>
          <w:sz w:val="26"/>
          <w:szCs w:val="26"/>
          <w:lang w:val="es-MX" w:eastAsia="es-MX"/>
        </w:rPr>
        <w:t xml:space="preserve"> (</w:t>
      </w:r>
      <w:r w:rsidR="005F06E2">
        <w:rPr>
          <w:sz w:val="26"/>
          <w:szCs w:val="26"/>
          <w:lang w:val="es-MX" w:eastAsia="es-MX"/>
        </w:rPr>
        <w:t>0.80</w:t>
      </w:r>
      <w:r>
        <w:rPr>
          <w:sz w:val="26"/>
          <w:szCs w:val="26"/>
          <w:lang w:val="es-MX" w:eastAsia="es-MX"/>
        </w:rPr>
        <w:t xml:space="preserve">%), como efecto del aumento observado en el rubro de </w:t>
      </w:r>
      <w:r w:rsidR="005F06E2">
        <w:rPr>
          <w:sz w:val="26"/>
          <w:szCs w:val="26"/>
          <w:lang w:val="es-MX" w:eastAsia="es-MX"/>
        </w:rPr>
        <w:t>Transporte</w:t>
      </w:r>
      <w:r>
        <w:rPr>
          <w:sz w:val="26"/>
          <w:szCs w:val="26"/>
          <w:lang w:val="es-MX" w:eastAsia="es-MX"/>
        </w:rPr>
        <w:t xml:space="preserve"> (</w:t>
      </w:r>
      <w:r w:rsidR="005F06E2">
        <w:rPr>
          <w:sz w:val="26"/>
          <w:szCs w:val="26"/>
          <w:lang w:val="es-MX" w:eastAsia="es-MX"/>
        </w:rPr>
        <w:t>5.21</w:t>
      </w:r>
      <w:r>
        <w:rPr>
          <w:sz w:val="26"/>
          <w:szCs w:val="26"/>
          <w:lang w:val="es-MX" w:eastAsia="es-MX"/>
        </w:rPr>
        <w:t xml:space="preserve">%) y, en particular, por la significativa alza observada en el precio de </w:t>
      </w:r>
      <w:r w:rsidR="005F06E2">
        <w:rPr>
          <w:sz w:val="26"/>
          <w:szCs w:val="26"/>
          <w:lang w:val="es-MX" w:eastAsia="es-MX"/>
        </w:rPr>
        <w:t>transporte público urbano</w:t>
      </w:r>
      <w:r>
        <w:rPr>
          <w:sz w:val="26"/>
          <w:szCs w:val="26"/>
          <w:lang w:val="es-MX" w:eastAsia="es-MX"/>
        </w:rPr>
        <w:t xml:space="preserve"> (</w:t>
      </w:r>
      <w:r w:rsidR="005F06E2">
        <w:rPr>
          <w:sz w:val="26"/>
          <w:szCs w:val="26"/>
          <w:lang w:val="es-MX" w:eastAsia="es-MX"/>
        </w:rPr>
        <w:t>10.94</w:t>
      </w:r>
      <w:r>
        <w:rPr>
          <w:sz w:val="26"/>
          <w:szCs w:val="26"/>
          <w:lang w:val="es-MX" w:eastAsia="es-MX"/>
        </w:rPr>
        <w:t>%).</w:t>
      </w:r>
      <w:r>
        <w:t xml:space="preserve"> </w:t>
      </w:r>
    </w:p>
    <w:p w:rsidR="00364D4D" w:rsidRPr="00E313B7" w:rsidRDefault="00364D4D" w:rsidP="00364D4D">
      <w:pPr>
        <w:pStyle w:val="Ttulo1"/>
        <w:jc w:val="left"/>
        <w:rPr>
          <w:color w:val="0000FF"/>
          <w:sz w:val="26"/>
          <w:szCs w:val="26"/>
        </w:rPr>
      </w:pPr>
      <w:r>
        <w:br w:type="column"/>
      </w:r>
      <w:r w:rsidRPr="00E313B7">
        <w:rPr>
          <w:color w:val="0000FF"/>
          <w:sz w:val="26"/>
          <w:szCs w:val="26"/>
        </w:rPr>
        <w:lastRenderedPageBreak/>
        <w:t>Inflación subyacente</w:t>
      </w:r>
    </w:p>
    <w:p w:rsidR="00364D4D" w:rsidRPr="00DC2CC7" w:rsidRDefault="00364D4D" w:rsidP="00364D4D">
      <w:pPr>
        <w:ind w:right="20"/>
        <w:rPr>
          <w:sz w:val="26"/>
          <w:szCs w:val="26"/>
        </w:rPr>
      </w:pPr>
    </w:p>
    <w:p w:rsidR="00364D4D" w:rsidRPr="00A22354" w:rsidRDefault="00364D4D" w:rsidP="00364D4D">
      <w:pPr>
        <w:spacing w:line="360" w:lineRule="auto"/>
        <w:ind w:right="20"/>
        <w:jc w:val="both"/>
        <w:rPr>
          <w:sz w:val="26"/>
          <w:szCs w:val="26"/>
          <w:lang w:val="es-MX"/>
        </w:rPr>
      </w:pPr>
      <w:r w:rsidRPr="00A22354">
        <w:rPr>
          <w:sz w:val="26"/>
          <w:szCs w:val="26"/>
          <w:lang w:val="es-MX"/>
        </w:rPr>
        <w:t xml:space="preserve">En </w:t>
      </w:r>
      <w:r w:rsidR="001244B5">
        <w:rPr>
          <w:sz w:val="26"/>
          <w:szCs w:val="26"/>
          <w:lang w:val="es-MX"/>
        </w:rPr>
        <w:t>febrero</w:t>
      </w:r>
      <w:r w:rsidRPr="00A22354">
        <w:rPr>
          <w:sz w:val="26"/>
          <w:szCs w:val="26"/>
          <w:lang w:val="es-MX"/>
        </w:rPr>
        <w:t xml:space="preserve"> de </w:t>
      </w:r>
      <w:r w:rsidR="00A209C7">
        <w:rPr>
          <w:sz w:val="26"/>
          <w:szCs w:val="26"/>
          <w:lang w:val="es-MX"/>
        </w:rPr>
        <w:t>2015</w:t>
      </w:r>
      <w:r w:rsidRPr="00A22354">
        <w:rPr>
          <w:sz w:val="26"/>
          <w:szCs w:val="26"/>
          <w:lang w:val="es-MX"/>
        </w:rPr>
        <w:t xml:space="preserve">, la inflación subyacente </w:t>
      </w:r>
      <w:r>
        <w:rPr>
          <w:sz w:val="26"/>
          <w:szCs w:val="26"/>
          <w:lang w:val="es-MX"/>
        </w:rPr>
        <w:t xml:space="preserve">registró una variación de </w:t>
      </w:r>
      <w:r w:rsidR="00FB589A">
        <w:rPr>
          <w:sz w:val="26"/>
          <w:szCs w:val="26"/>
          <w:lang w:val="es-MX"/>
        </w:rPr>
        <w:t>0.34</w:t>
      </w:r>
      <w:r w:rsidRPr="00A22354">
        <w:rPr>
          <w:sz w:val="26"/>
          <w:szCs w:val="26"/>
          <w:lang w:val="es-MX"/>
        </w:rPr>
        <w:t xml:space="preserve">%, </w:t>
      </w:r>
      <w:r>
        <w:rPr>
          <w:sz w:val="26"/>
          <w:szCs w:val="26"/>
          <w:lang w:val="es-MX"/>
        </w:rPr>
        <w:t>nivel</w:t>
      </w:r>
      <w:r w:rsidRPr="00A22354">
        <w:rPr>
          <w:sz w:val="26"/>
          <w:szCs w:val="26"/>
          <w:lang w:val="es-MX"/>
        </w:rPr>
        <w:t xml:space="preserve"> </w:t>
      </w:r>
      <w:r w:rsidR="00FB589A">
        <w:rPr>
          <w:sz w:val="26"/>
          <w:szCs w:val="26"/>
          <w:lang w:val="es-MX"/>
        </w:rPr>
        <w:t>superior</w:t>
      </w:r>
      <w:r w:rsidRPr="00A22354">
        <w:rPr>
          <w:sz w:val="26"/>
          <w:szCs w:val="26"/>
          <w:lang w:val="es-MX"/>
        </w:rPr>
        <w:t xml:space="preserve"> en </w:t>
      </w:r>
      <w:r w:rsidR="00FB589A">
        <w:rPr>
          <w:sz w:val="26"/>
          <w:szCs w:val="26"/>
          <w:lang w:val="es-MX"/>
        </w:rPr>
        <w:t>0.15</w:t>
      </w:r>
      <w:r>
        <w:rPr>
          <w:sz w:val="26"/>
          <w:szCs w:val="26"/>
          <w:lang w:val="es-MX"/>
        </w:rPr>
        <w:t xml:space="preserve"> </w:t>
      </w:r>
      <w:r w:rsidRPr="00A22354">
        <w:rPr>
          <w:sz w:val="26"/>
          <w:szCs w:val="26"/>
          <w:lang w:val="es-MX"/>
        </w:rPr>
        <w:t xml:space="preserve">puntos porcentuales a la </w:t>
      </w:r>
      <w:r>
        <w:rPr>
          <w:sz w:val="26"/>
          <w:szCs w:val="26"/>
          <w:lang w:val="es-MX"/>
        </w:rPr>
        <w:t>observada por el</w:t>
      </w:r>
      <w:r w:rsidRPr="00A22354">
        <w:rPr>
          <w:sz w:val="26"/>
          <w:szCs w:val="26"/>
          <w:lang w:val="es-MX"/>
        </w:rPr>
        <w:t xml:space="preserve"> INPC </w:t>
      </w:r>
      <w:r>
        <w:rPr>
          <w:sz w:val="26"/>
          <w:szCs w:val="26"/>
          <w:lang w:val="es-MX"/>
        </w:rPr>
        <w:t>en ese mismo mes (</w:t>
      </w:r>
      <w:r w:rsidR="00FB589A">
        <w:rPr>
          <w:sz w:val="26"/>
          <w:szCs w:val="26"/>
          <w:lang w:val="es-MX"/>
        </w:rPr>
        <w:t>0.19</w:t>
      </w:r>
      <w:r>
        <w:rPr>
          <w:sz w:val="26"/>
          <w:szCs w:val="26"/>
          <w:lang w:val="es-MX"/>
        </w:rPr>
        <w:t xml:space="preserve">%). En el lapso </w:t>
      </w:r>
      <w:r w:rsidRPr="00A22354">
        <w:rPr>
          <w:sz w:val="26"/>
          <w:szCs w:val="26"/>
          <w:lang w:val="es-MX"/>
        </w:rPr>
        <w:t xml:space="preserve">interanual, que va de </w:t>
      </w:r>
      <w:r w:rsidR="001244B5">
        <w:rPr>
          <w:sz w:val="26"/>
          <w:szCs w:val="26"/>
          <w:lang w:val="es-MX"/>
        </w:rPr>
        <w:t>febrero</w:t>
      </w:r>
      <w:r w:rsidRPr="00A22354">
        <w:rPr>
          <w:sz w:val="26"/>
          <w:szCs w:val="26"/>
          <w:lang w:val="es-MX"/>
        </w:rPr>
        <w:t xml:space="preserve"> de </w:t>
      </w:r>
      <w:r w:rsidR="00A209C7">
        <w:rPr>
          <w:sz w:val="26"/>
          <w:szCs w:val="26"/>
          <w:lang w:val="es-MX"/>
        </w:rPr>
        <w:t>2014</w:t>
      </w:r>
      <w:r w:rsidRPr="00A22354">
        <w:rPr>
          <w:sz w:val="26"/>
          <w:szCs w:val="26"/>
          <w:lang w:val="es-MX"/>
        </w:rPr>
        <w:t xml:space="preserve"> a </w:t>
      </w:r>
      <w:r w:rsidR="001244B5">
        <w:rPr>
          <w:sz w:val="26"/>
          <w:szCs w:val="26"/>
          <w:lang w:val="es-MX"/>
        </w:rPr>
        <w:t>febrero</w:t>
      </w:r>
      <w:r w:rsidRPr="00A22354">
        <w:rPr>
          <w:sz w:val="26"/>
          <w:szCs w:val="26"/>
          <w:lang w:val="es-MX"/>
        </w:rPr>
        <w:t xml:space="preserve"> de </w:t>
      </w:r>
      <w:r w:rsidR="00A209C7">
        <w:rPr>
          <w:sz w:val="26"/>
          <w:szCs w:val="26"/>
          <w:lang w:val="es-MX"/>
        </w:rPr>
        <w:t>2015</w:t>
      </w:r>
      <w:r w:rsidRPr="00A22354">
        <w:rPr>
          <w:sz w:val="26"/>
          <w:szCs w:val="26"/>
          <w:lang w:val="es-MX"/>
        </w:rPr>
        <w:t xml:space="preserve">, la inflación subyacente fue de </w:t>
      </w:r>
      <w:r w:rsidR="00FB589A">
        <w:rPr>
          <w:sz w:val="26"/>
          <w:szCs w:val="26"/>
          <w:lang w:val="es-MX"/>
        </w:rPr>
        <w:t>2.40</w:t>
      </w:r>
      <w:r w:rsidRPr="00A22354">
        <w:rPr>
          <w:sz w:val="26"/>
          <w:szCs w:val="26"/>
          <w:lang w:val="es-MX"/>
        </w:rPr>
        <w:t>%,</w:t>
      </w:r>
      <w:r>
        <w:rPr>
          <w:sz w:val="26"/>
          <w:szCs w:val="26"/>
          <w:lang w:val="es-MX"/>
        </w:rPr>
        <w:t xml:space="preserve"> porcentaje</w:t>
      </w:r>
      <w:r w:rsidRPr="00A22354">
        <w:rPr>
          <w:sz w:val="26"/>
          <w:szCs w:val="26"/>
          <w:lang w:val="es-MX"/>
        </w:rPr>
        <w:t xml:space="preserve"> </w:t>
      </w:r>
      <w:r>
        <w:rPr>
          <w:sz w:val="26"/>
          <w:szCs w:val="26"/>
          <w:lang w:val="es-MX"/>
        </w:rPr>
        <w:t>inferior</w:t>
      </w:r>
      <w:r w:rsidRPr="00A22354">
        <w:rPr>
          <w:sz w:val="26"/>
          <w:szCs w:val="26"/>
          <w:lang w:val="es-MX"/>
        </w:rPr>
        <w:t xml:space="preserve"> en </w:t>
      </w:r>
      <w:r>
        <w:rPr>
          <w:sz w:val="26"/>
          <w:szCs w:val="26"/>
          <w:lang w:val="es-MX"/>
        </w:rPr>
        <w:t>0.</w:t>
      </w:r>
      <w:r w:rsidR="00FB589A">
        <w:rPr>
          <w:sz w:val="26"/>
          <w:szCs w:val="26"/>
          <w:lang w:val="es-MX"/>
        </w:rPr>
        <w:t>60</w:t>
      </w:r>
      <w:r w:rsidRPr="00A22354">
        <w:rPr>
          <w:sz w:val="26"/>
          <w:szCs w:val="26"/>
          <w:lang w:val="es-MX"/>
        </w:rPr>
        <w:t xml:space="preserve"> puntos porcentuales al de la inflación general (</w:t>
      </w:r>
      <w:r w:rsidR="00FB589A">
        <w:rPr>
          <w:sz w:val="26"/>
          <w:szCs w:val="26"/>
          <w:lang w:val="es-MX"/>
        </w:rPr>
        <w:t>3.0</w:t>
      </w:r>
      <w:r w:rsidRPr="00A22354">
        <w:rPr>
          <w:sz w:val="26"/>
          <w:szCs w:val="26"/>
          <w:lang w:val="es-MX"/>
        </w:rPr>
        <w:t xml:space="preserve">%) para </w:t>
      </w:r>
      <w:r>
        <w:rPr>
          <w:sz w:val="26"/>
          <w:szCs w:val="26"/>
          <w:lang w:val="es-MX"/>
        </w:rPr>
        <w:t>el mismo período</w:t>
      </w:r>
      <w:r w:rsidRPr="00A22354">
        <w:rPr>
          <w:sz w:val="26"/>
          <w:szCs w:val="26"/>
          <w:lang w:val="es-MX"/>
        </w:rPr>
        <w:t>.</w:t>
      </w:r>
    </w:p>
    <w:p w:rsidR="00364D4D" w:rsidRPr="001B3DE4" w:rsidRDefault="00364D4D" w:rsidP="00364D4D">
      <w:pPr>
        <w:spacing w:line="360" w:lineRule="auto"/>
        <w:ind w:right="14"/>
        <w:jc w:val="both"/>
        <w:rPr>
          <w:sz w:val="20"/>
          <w:szCs w:val="20"/>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Default="00364D4D" w:rsidP="00B17B53">
            <w:pPr>
              <w:pStyle w:val="NormalWeb"/>
              <w:spacing w:before="0" w:beforeAutospacing="0" w:after="0" w:afterAutospacing="0"/>
              <w:jc w:val="center"/>
              <w:rPr>
                <w:sz w:val="22"/>
                <w:szCs w:val="22"/>
              </w:rPr>
            </w:pPr>
            <w:r w:rsidRPr="00220236">
              <w:rPr>
                <w:b/>
                <w:bCs/>
                <w:color w:val="000000"/>
                <w:kern w:val="24"/>
                <w:sz w:val="22"/>
                <w:szCs w:val="22"/>
              </w:rPr>
              <w:t>ÍNDICE NACIONAL DE PRECIOS AL CONSUMIDOR</w:t>
            </w:r>
            <w:r>
              <w:rPr>
                <w:sz w:val="22"/>
                <w:szCs w:val="22"/>
              </w:rPr>
              <w:t xml:space="preserve"> </w:t>
            </w:r>
          </w:p>
          <w:p w:rsidR="00364D4D" w:rsidRPr="00976DCE" w:rsidRDefault="00364D4D" w:rsidP="00B17B53">
            <w:pPr>
              <w:pStyle w:val="NormalWeb"/>
              <w:spacing w:before="0" w:beforeAutospacing="0" w:after="0" w:afterAutospacing="0"/>
              <w:jc w:val="center"/>
              <w:rPr>
                <w:b/>
                <w:bCs/>
                <w:color w:val="000000"/>
                <w:kern w:val="24"/>
                <w:sz w:val="22"/>
                <w:szCs w:val="22"/>
              </w:rPr>
            </w:pPr>
            <w:r w:rsidRPr="00220236">
              <w:rPr>
                <w:b/>
                <w:bCs/>
                <w:color w:val="000000"/>
                <w:kern w:val="24"/>
                <w:sz w:val="22"/>
                <w:szCs w:val="22"/>
              </w:rPr>
              <w:t>E INFLACIÓN SU</w:t>
            </w:r>
            <w:r>
              <w:rPr>
                <w:b/>
                <w:bCs/>
                <w:color w:val="000000"/>
                <w:kern w:val="24"/>
                <w:sz w:val="22"/>
                <w:szCs w:val="22"/>
              </w:rPr>
              <w:t>B</w:t>
            </w:r>
            <w:r w:rsidRPr="00220236">
              <w:rPr>
                <w:b/>
                <w:bCs/>
                <w:color w:val="000000"/>
                <w:kern w:val="24"/>
                <w:sz w:val="22"/>
                <w:szCs w:val="22"/>
              </w:rPr>
              <w:t>YACENTE</w:t>
            </w:r>
          </w:p>
          <w:p w:rsidR="00364D4D" w:rsidRPr="009C200E" w:rsidRDefault="00364D4D" w:rsidP="00B17B53">
            <w:pPr>
              <w:pStyle w:val="NormalWeb"/>
              <w:spacing w:before="0" w:beforeAutospacing="0" w:after="0" w:afterAutospacing="0"/>
              <w:jc w:val="center"/>
              <w:rPr>
                <w:b/>
                <w:sz w:val="22"/>
                <w:szCs w:val="22"/>
              </w:rPr>
            </w:pPr>
            <w:r w:rsidRPr="009C200E">
              <w:rPr>
                <w:b/>
                <w:bCs/>
                <w:color w:val="000000"/>
                <w:kern w:val="24"/>
                <w:sz w:val="22"/>
                <w:szCs w:val="22"/>
                <w:lang w:val="es-ES_tradnl"/>
              </w:rPr>
              <w:t>- Variación respect</w:t>
            </w:r>
            <w:r>
              <w:rPr>
                <w:b/>
                <w:bCs/>
                <w:color w:val="000000"/>
                <w:kern w:val="24"/>
                <w:sz w:val="22"/>
                <w:szCs w:val="22"/>
                <w:lang w:val="es-ES_tradnl"/>
              </w:rPr>
              <w:t>o al mismo mes del año anterior</w:t>
            </w:r>
            <w:r w:rsidRPr="009C200E">
              <w:rPr>
                <w:b/>
                <w:bCs/>
                <w:color w:val="000000"/>
                <w:kern w:val="24"/>
                <w:sz w:val="22"/>
                <w:szCs w:val="22"/>
                <w:lang w:val="es-ES_tradnl"/>
              </w:rPr>
              <w:t xml:space="preserve"> -</w:t>
            </w:r>
          </w:p>
          <w:p w:rsidR="00364D4D" w:rsidRDefault="001244B5" w:rsidP="00B17B53">
            <w:pPr>
              <w:pStyle w:val="NormalWeb"/>
              <w:spacing w:before="0" w:beforeAutospacing="0" w:after="0" w:afterAutospacing="0"/>
              <w:jc w:val="center"/>
              <w:rPr>
                <w:b/>
                <w:bCs/>
                <w:color w:val="000000"/>
                <w:kern w:val="24"/>
                <w:sz w:val="22"/>
                <w:szCs w:val="22"/>
              </w:rPr>
            </w:pPr>
            <w:r>
              <w:rPr>
                <w:b/>
                <w:sz w:val="22"/>
                <w:szCs w:val="22"/>
              </w:rPr>
              <w:t>Febrero</w:t>
            </w:r>
            <w:r w:rsidR="00364D4D">
              <w:rPr>
                <w:b/>
                <w:sz w:val="22"/>
                <w:szCs w:val="22"/>
              </w:rPr>
              <w:t xml:space="preserve"> </w:t>
            </w:r>
            <w:r w:rsidR="00364D4D" w:rsidRPr="009C200E">
              <w:rPr>
                <w:b/>
                <w:bCs/>
                <w:color w:val="000000"/>
                <w:kern w:val="24"/>
                <w:sz w:val="22"/>
                <w:szCs w:val="22"/>
              </w:rPr>
              <w:t>20</w:t>
            </w:r>
            <w:r w:rsidR="00364D4D">
              <w:rPr>
                <w:b/>
                <w:bCs/>
                <w:color w:val="000000"/>
                <w:kern w:val="24"/>
                <w:sz w:val="22"/>
                <w:szCs w:val="22"/>
              </w:rPr>
              <w:t>1</w:t>
            </w:r>
            <w:r w:rsidR="00E36108">
              <w:rPr>
                <w:b/>
                <w:bCs/>
                <w:color w:val="000000"/>
                <w:kern w:val="24"/>
                <w:sz w:val="22"/>
                <w:szCs w:val="22"/>
              </w:rPr>
              <w:t>4</w:t>
            </w:r>
            <w:r w:rsidR="00364D4D" w:rsidRPr="009C200E">
              <w:rPr>
                <w:b/>
                <w:bCs/>
                <w:color w:val="000000"/>
                <w:kern w:val="24"/>
                <w:sz w:val="22"/>
                <w:szCs w:val="22"/>
              </w:rPr>
              <w:t xml:space="preserve"> </w:t>
            </w:r>
            <w:r w:rsidR="00364D4D">
              <w:rPr>
                <w:b/>
                <w:bCs/>
                <w:color w:val="000000"/>
                <w:kern w:val="24"/>
                <w:sz w:val="22"/>
                <w:szCs w:val="22"/>
              </w:rPr>
              <w:t>–</w:t>
            </w:r>
            <w:r w:rsidR="00364D4D" w:rsidRPr="009C200E">
              <w:rPr>
                <w:b/>
                <w:bCs/>
                <w:color w:val="000000"/>
                <w:kern w:val="24"/>
                <w:sz w:val="22"/>
                <w:szCs w:val="22"/>
              </w:rPr>
              <w:t xml:space="preserve"> </w:t>
            </w:r>
            <w:r>
              <w:rPr>
                <w:b/>
                <w:bCs/>
                <w:color w:val="000000"/>
                <w:kern w:val="24"/>
                <w:sz w:val="22"/>
                <w:szCs w:val="22"/>
              </w:rPr>
              <w:t>febrero</w:t>
            </w:r>
            <w:r w:rsidR="00364D4D">
              <w:rPr>
                <w:b/>
                <w:bCs/>
                <w:color w:val="000000"/>
                <w:kern w:val="24"/>
                <w:sz w:val="22"/>
                <w:szCs w:val="22"/>
              </w:rPr>
              <w:t xml:space="preserve"> </w:t>
            </w:r>
            <w:r w:rsidR="00A209C7">
              <w:rPr>
                <w:b/>
                <w:bCs/>
                <w:color w:val="000000"/>
                <w:kern w:val="24"/>
                <w:sz w:val="22"/>
                <w:szCs w:val="22"/>
              </w:rPr>
              <w:t>2015</w:t>
            </w:r>
          </w:p>
          <w:p w:rsidR="00364D4D" w:rsidRPr="00A335E5"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FB589A" w:rsidP="00B17B53">
            <w:pPr>
              <w:spacing w:line="360" w:lineRule="auto"/>
              <w:ind w:right="14"/>
              <w:jc w:val="center"/>
              <w:rPr>
                <w:sz w:val="20"/>
                <w:szCs w:val="20"/>
              </w:rPr>
            </w:pPr>
            <w:r>
              <w:rPr>
                <w:noProof/>
                <w:lang w:val="es-MX" w:eastAsia="es-MX"/>
              </w:rPr>
              <w:drawing>
                <wp:inline distT="0" distB="0" distL="0" distR="0" wp14:anchorId="2B084331" wp14:editId="77066D70">
                  <wp:extent cx="5388610" cy="3594100"/>
                  <wp:effectExtent l="0" t="0" r="2540" b="6350"/>
                  <wp:docPr id="3138" name="Objeto 29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364D4D" w:rsidTr="00B17B53">
        <w:tc>
          <w:tcPr>
            <w:tcW w:w="8980" w:type="dxa"/>
          </w:tcPr>
          <w:p w:rsidR="00364D4D" w:rsidRPr="00E92B1A" w:rsidRDefault="00364D4D" w:rsidP="00B17B53">
            <w:pPr>
              <w:ind w:left="993" w:right="259" w:hanging="181"/>
              <w:jc w:val="both"/>
              <w:rPr>
                <w:sz w:val="20"/>
                <w:szCs w:val="20"/>
              </w:rPr>
            </w:pPr>
            <w:r w:rsidRPr="003159D0">
              <w:rPr>
                <w:b/>
                <w:sz w:val="20"/>
                <w:szCs w:val="20"/>
                <w:u w:val="single"/>
                <w:vertAlign w:val="superscript"/>
              </w:rPr>
              <w:t>1</w:t>
            </w:r>
            <w:r w:rsidRPr="003159D0">
              <w:rPr>
                <w:b/>
                <w:sz w:val="20"/>
                <w:szCs w:val="20"/>
                <w:vertAlign w:val="superscript"/>
              </w:rPr>
              <w:t>/</w:t>
            </w:r>
            <w:r>
              <w:rPr>
                <w:sz w:val="20"/>
                <w:szCs w:val="20"/>
              </w:rPr>
              <w:t xml:space="preserve"> </w:t>
            </w:r>
            <w:r w:rsidRPr="003159D0">
              <w:rPr>
                <w:sz w:val="20"/>
                <w:szCs w:val="20"/>
              </w:rPr>
              <w:t>Este indicador incluye los subíndices de Mercancías y Servicios. El subíndice de Mercancías lo integran los grupos: Alimentos, bebidas y tabaco</w:t>
            </w:r>
            <w:r>
              <w:rPr>
                <w:sz w:val="20"/>
                <w:szCs w:val="20"/>
              </w:rPr>
              <w:t>,</w:t>
            </w:r>
            <w:r w:rsidRPr="003159D0">
              <w:rPr>
                <w:sz w:val="20"/>
                <w:szCs w:val="20"/>
              </w:rPr>
              <w:t xml:space="preserve"> y Mercancías no alimenticias. El subíndice de Servicios lo integran los grupos: Vivienda, Educación (colegiaturas) y Otros servicios.</w:t>
            </w:r>
          </w:p>
          <w:p w:rsidR="00364D4D" w:rsidRDefault="00364D4D" w:rsidP="00B17B53">
            <w:pPr>
              <w:ind w:left="980" w:right="259" w:hanging="910"/>
              <w:jc w:val="both"/>
              <w:rPr>
                <w:sz w:val="20"/>
                <w:szCs w:val="20"/>
              </w:rPr>
            </w:pPr>
            <w:r w:rsidRPr="00976D19">
              <w:rPr>
                <w:sz w:val="20"/>
                <w:szCs w:val="20"/>
              </w:rPr>
              <w:t>FUENTE: Elaborado por la Comisión Nacional de los Salarios Mínimos con información</w:t>
            </w:r>
            <w:r>
              <w:rPr>
                <w:sz w:val="20"/>
                <w:szCs w:val="20"/>
              </w:rPr>
              <w:t xml:space="preserve"> </w:t>
            </w:r>
            <w:r w:rsidRPr="00976D19">
              <w:rPr>
                <w:sz w:val="20"/>
                <w:szCs w:val="20"/>
              </w:rPr>
              <w:t xml:space="preserve">del </w:t>
            </w:r>
            <w:r>
              <w:rPr>
                <w:sz w:val="20"/>
                <w:szCs w:val="20"/>
              </w:rPr>
              <w:t>Instituto Nacional de Estadística y Geografía</w:t>
            </w:r>
            <w:r w:rsidRPr="00976D19">
              <w:rPr>
                <w:sz w:val="20"/>
                <w:szCs w:val="20"/>
              </w:rPr>
              <w:t>.</w:t>
            </w:r>
          </w:p>
        </w:tc>
      </w:tr>
    </w:tbl>
    <w:p w:rsidR="00364D4D" w:rsidRPr="00976D19" w:rsidRDefault="00364D4D" w:rsidP="00364D4D">
      <w:pPr>
        <w:ind w:right="560"/>
        <w:jc w:val="both"/>
        <w:rPr>
          <w:sz w:val="20"/>
          <w:szCs w:val="20"/>
        </w:rPr>
      </w:pPr>
    </w:p>
    <w:p w:rsidR="00364D4D" w:rsidRDefault="00364D4D" w:rsidP="00364D4D">
      <w:pPr>
        <w:spacing w:before="240" w:line="360" w:lineRule="auto"/>
        <w:jc w:val="both"/>
        <w:rPr>
          <w:sz w:val="26"/>
          <w:szCs w:val="26"/>
          <w:lang w:val="es-MX"/>
        </w:rPr>
      </w:pPr>
      <w:r>
        <w:rPr>
          <w:sz w:val="26"/>
          <w:szCs w:val="26"/>
        </w:rPr>
        <w:br w:type="page"/>
      </w:r>
      <w:r w:rsidRPr="000A7677">
        <w:rPr>
          <w:sz w:val="26"/>
          <w:szCs w:val="26"/>
        </w:rPr>
        <w:lastRenderedPageBreak/>
        <w:t>La variación interanual de la inflación subyacente (</w:t>
      </w:r>
      <w:r w:rsidR="008A78E5">
        <w:rPr>
          <w:sz w:val="26"/>
          <w:szCs w:val="26"/>
        </w:rPr>
        <w:t>2.40</w:t>
      </w:r>
      <w:r w:rsidRPr="000A7677">
        <w:rPr>
          <w:sz w:val="26"/>
          <w:szCs w:val="26"/>
        </w:rPr>
        <w:t xml:space="preserve">%) de </w:t>
      </w:r>
      <w:r w:rsidR="001244B5">
        <w:rPr>
          <w:sz w:val="26"/>
          <w:szCs w:val="26"/>
        </w:rPr>
        <w:t>febrero</w:t>
      </w:r>
      <w:r w:rsidRPr="000A7677">
        <w:rPr>
          <w:sz w:val="26"/>
          <w:szCs w:val="26"/>
        </w:rPr>
        <w:t>, resulta menor en 0.</w:t>
      </w:r>
      <w:r w:rsidR="008A78E5">
        <w:rPr>
          <w:sz w:val="26"/>
          <w:szCs w:val="26"/>
        </w:rPr>
        <w:t>58</w:t>
      </w:r>
      <w:r w:rsidRPr="000A7677">
        <w:rPr>
          <w:sz w:val="26"/>
          <w:szCs w:val="26"/>
        </w:rPr>
        <w:t xml:space="preserve"> puntos porcentuales si se le confronta con la ocurrida en el mismo </w:t>
      </w:r>
      <w:r w:rsidR="00CF1FB5">
        <w:rPr>
          <w:sz w:val="26"/>
          <w:szCs w:val="26"/>
        </w:rPr>
        <w:t>lapso</w:t>
      </w:r>
      <w:r w:rsidRPr="000A7677">
        <w:rPr>
          <w:sz w:val="26"/>
          <w:szCs w:val="26"/>
        </w:rPr>
        <w:t xml:space="preserve"> de </w:t>
      </w:r>
      <w:r w:rsidR="00A209C7">
        <w:rPr>
          <w:sz w:val="26"/>
          <w:szCs w:val="26"/>
        </w:rPr>
        <w:t>2014</w:t>
      </w:r>
      <w:r w:rsidRPr="000A7677">
        <w:rPr>
          <w:sz w:val="26"/>
          <w:szCs w:val="26"/>
        </w:rPr>
        <w:t xml:space="preserve"> (</w:t>
      </w:r>
      <w:r w:rsidR="008A78E5">
        <w:rPr>
          <w:sz w:val="26"/>
          <w:szCs w:val="26"/>
        </w:rPr>
        <w:t>2.98</w:t>
      </w:r>
      <w:r w:rsidRPr="000A7677">
        <w:rPr>
          <w:sz w:val="26"/>
          <w:szCs w:val="26"/>
        </w:rPr>
        <w:t xml:space="preserve">%). Por otra parte, el elemento no subyacente mostró una variación interanual de </w:t>
      </w:r>
      <w:r w:rsidR="008A78E5">
        <w:rPr>
          <w:sz w:val="26"/>
          <w:szCs w:val="26"/>
        </w:rPr>
        <w:t>4.88</w:t>
      </w:r>
      <w:r w:rsidRPr="000A7677">
        <w:rPr>
          <w:sz w:val="26"/>
          <w:szCs w:val="26"/>
        </w:rPr>
        <w:t xml:space="preserve">%, porcentaje menor en </w:t>
      </w:r>
      <w:r w:rsidR="008A78E5">
        <w:rPr>
          <w:sz w:val="26"/>
          <w:szCs w:val="26"/>
        </w:rPr>
        <w:t>3.40</w:t>
      </w:r>
      <w:r w:rsidRPr="000A7677">
        <w:rPr>
          <w:sz w:val="26"/>
          <w:szCs w:val="26"/>
        </w:rPr>
        <w:t xml:space="preserve"> puntos porcentuales al registrado un año antes (</w:t>
      </w:r>
      <w:r w:rsidR="008A78E5">
        <w:rPr>
          <w:sz w:val="26"/>
          <w:szCs w:val="26"/>
        </w:rPr>
        <w:t>8.28</w:t>
      </w:r>
      <w:r>
        <w:rPr>
          <w:sz w:val="26"/>
          <w:szCs w:val="26"/>
        </w:rPr>
        <w:t>%)</w:t>
      </w:r>
      <w:r w:rsidRPr="000A7677">
        <w:rPr>
          <w:sz w:val="26"/>
          <w:szCs w:val="26"/>
        </w:rPr>
        <w:t>.</w:t>
      </w:r>
    </w:p>
    <w:tbl>
      <w:tblPr>
        <w:tblW w:w="10490" w:type="dxa"/>
        <w:jc w:val="center"/>
        <w:tblLayout w:type="fixed"/>
        <w:tblLook w:val="01E0" w:firstRow="1" w:lastRow="1" w:firstColumn="1" w:lastColumn="1" w:noHBand="0" w:noVBand="0"/>
      </w:tblPr>
      <w:tblGrid>
        <w:gridCol w:w="967"/>
        <w:gridCol w:w="2668"/>
        <w:gridCol w:w="955"/>
        <w:gridCol w:w="1306"/>
        <w:gridCol w:w="1161"/>
        <w:gridCol w:w="992"/>
        <w:gridCol w:w="1306"/>
        <w:gridCol w:w="1135"/>
      </w:tblGrid>
      <w:tr w:rsidR="00364D4D" w:rsidRPr="00342B87" w:rsidTr="008A78E5">
        <w:trPr>
          <w:trHeight w:val="839"/>
          <w:jc w:val="center"/>
        </w:trPr>
        <w:tc>
          <w:tcPr>
            <w:tcW w:w="10490" w:type="dxa"/>
            <w:gridSpan w:val="8"/>
            <w:tcBorders>
              <w:bottom w:val="single" w:sz="4" w:space="0" w:color="auto"/>
            </w:tcBorders>
          </w:tcPr>
          <w:p w:rsidR="00364D4D" w:rsidRPr="000A7677" w:rsidRDefault="00364D4D" w:rsidP="00B17B53">
            <w:pPr>
              <w:spacing w:before="60"/>
              <w:ind w:right="11"/>
              <w:jc w:val="center"/>
              <w:rPr>
                <w:b/>
                <w:sz w:val="22"/>
                <w:szCs w:val="22"/>
              </w:rPr>
            </w:pPr>
            <w:r w:rsidRPr="000A7677">
              <w:rPr>
                <w:b/>
                <w:sz w:val="22"/>
                <w:szCs w:val="22"/>
              </w:rPr>
              <w:t>INFLACIÓN SUBYACENTE Y SUBÍNDICES</w:t>
            </w:r>
          </w:p>
          <w:p w:rsidR="00364D4D" w:rsidRPr="000A7677" w:rsidRDefault="00364D4D" w:rsidP="00B17B53">
            <w:pPr>
              <w:ind w:right="20"/>
              <w:jc w:val="center"/>
              <w:rPr>
                <w:b/>
                <w:sz w:val="22"/>
                <w:szCs w:val="22"/>
              </w:rPr>
            </w:pPr>
            <w:r w:rsidRPr="000A7677">
              <w:rPr>
                <w:b/>
                <w:sz w:val="22"/>
                <w:szCs w:val="22"/>
              </w:rPr>
              <w:t>COMPLEMENTARIOS</w:t>
            </w:r>
          </w:p>
          <w:p w:rsidR="00364D4D" w:rsidRPr="00117CC9" w:rsidRDefault="00364D4D" w:rsidP="00B17B53">
            <w:pPr>
              <w:spacing w:before="20" w:line="360" w:lineRule="auto"/>
              <w:ind w:right="23"/>
              <w:jc w:val="center"/>
              <w:rPr>
                <w:b/>
                <w:sz w:val="22"/>
                <w:szCs w:val="22"/>
              </w:rPr>
            </w:pPr>
            <w:r w:rsidRPr="000A7677">
              <w:rPr>
                <w:b/>
                <w:sz w:val="22"/>
                <w:szCs w:val="22"/>
              </w:rPr>
              <w:t>-Variaciones porcentuales-</w:t>
            </w:r>
          </w:p>
        </w:tc>
      </w:tr>
      <w:tr w:rsidR="00364D4D" w:rsidRPr="00342B87" w:rsidTr="008A78E5">
        <w:trPr>
          <w:jc w:val="center"/>
        </w:trPr>
        <w:tc>
          <w:tcPr>
            <w:tcW w:w="3635" w:type="dxa"/>
            <w:gridSpan w:val="2"/>
            <w:tcBorders>
              <w:top w:val="single" w:sz="4" w:space="0" w:color="auto"/>
              <w:left w:val="single" w:sz="4" w:space="0" w:color="auto"/>
              <w:right w:val="single" w:sz="4" w:space="0" w:color="FFFFFF" w:themeColor="background1"/>
            </w:tcBorders>
            <w:shd w:val="clear" w:color="auto" w:fill="336600"/>
          </w:tcPr>
          <w:p w:rsidR="00364D4D" w:rsidRPr="000A7677" w:rsidRDefault="00364D4D" w:rsidP="00B17B53">
            <w:pPr>
              <w:ind w:right="23"/>
              <w:jc w:val="center"/>
              <w:rPr>
                <w:b/>
                <w:color w:val="FFFFFF" w:themeColor="background1"/>
                <w:sz w:val="20"/>
                <w:szCs w:val="20"/>
              </w:rPr>
            </w:pPr>
          </w:p>
        </w:tc>
        <w:tc>
          <w:tcPr>
            <w:tcW w:w="3422" w:type="dxa"/>
            <w:gridSpan w:val="3"/>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64D4D" w:rsidRDefault="00A209C7" w:rsidP="00B17B53">
            <w:pPr>
              <w:spacing w:before="60" w:after="60"/>
              <w:ind w:right="23"/>
              <w:jc w:val="center"/>
              <w:rPr>
                <w:b/>
                <w:color w:val="FFFFFF" w:themeColor="background1"/>
                <w:sz w:val="20"/>
                <w:szCs w:val="20"/>
              </w:rPr>
            </w:pPr>
            <w:r>
              <w:rPr>
                <w:b/>
                <w:color w:val="FFFFFF" w:themeColor="background1"/>
                <w:sz w:val="20"/>
                <w:szCs w:val="20"/>
              </w:rPr>
              <w:t>2014</w:t>
            </w:r>
          </w:p>
        </w:tc>
        <w:tc>
          <w:tcPr>
            <w:tcW w:w="3433" w:type="dxa"/>
            <w:gridSpan w:val="3"/>
            <w:tcBorders>
              <w:top w:val="single" w:sz="4" w:space="0" w:color="auto"/>
              <w:left w:val="single" w:sz="4" w:space="0" w:color="FFFFFF" w:themeColor="background1"/>
              <w:bottom w:val="single" w:sz="4" w:space="0" w:color="FFFFFF" w:themeColor="background1"/>
              <w:right w:val="single" w:sz="4" w:space="0" w:color="auto"/>
            </w:tcBorders>
            <w:shd w:val="clear" w:color="auto" w:fill="336600"/>
          </w:tcPr>
          <w:p w:rsidR="00364D4D" w:rsidRPr="000A7677" w:rsidRDefault="00A209C7" w:rsidP="00B17B53">
            <w:pPr>
              <w:spacing w:before="60" w:after="60"/>
              <w:ind w:right="23"/>
              <w:jc w:val="center"/>
              <w:rPr>
                <w:b/>
                <w:color w:val="FFFFFF" w:themeColor="background1"/>
                <w:sz w:val="20"/>
                <w:szCs w:val="20"/>
              </w:rPr>
            </w:pPr>
            <w:r>
              <w:rPr>
                <w:b/>
                <w:color w:val="FFFFFF" w:themeColor="background1"/>
                <w:sz w:val="20"/>
                <w:szCs w:val="20"/>
              </w:rPr>
              <w:t>2015</w:t>
            </w:r>
          </w:p>
        </w:tc>
      </w:tr>
      <w:tr w:rsidR="00364D4D" w:rsidRPr="00342B87" w:rsidTr="008A78E5">
        <w:trPr>
          <w:jc w:val="center"/>
        </w:trPr>
        <w:tc>
          <w:tcPr>
            <w:tcW w:w="3635" w:type="dxa"/>
            <w:gridSpan w:val="2"/>
            <w:tcBorders>
              <w:left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ind w:right="14"/>
              <w:jc w:val="center"/>
              <w:rPr>
                <w:b/>
                <w:color w:val="FFFFFF" w:themeColor="background1"/>
                <w:sz w:val="20"/>
                <w:szCs w:val="20"/>
              </w:rPr>
            </w:pPr>
            <w:r w:rsidRPr="000A7677">
              <w:rPr>
                <w:b/>
                <w:color w:val="FFFFFF" w:themeColor="background1"/>
                <w:sz w:val="20"/>
                <w:szCs w:val="20"/>
              </w:rPr>
              <w:t>CONCEPTO</w:t>
            </w:r>
          </w:p>
        </w:tc>
        <w:tc>
          <w:tcPr>
            <w:tcW w:w="3422"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64D4D" w:rsidRDefault="001244B5" w:rsidP="00B17B53">
            <w:pPr>
              <w:ind w:right="14"/>
              <w:jc w:val="center"/>
              <w:rPr>
                <w:b/>
                <w:color w:val="FFFFFF" w:themeColor="background1"/>
                <w:sz w:val="20"/>
                <w:szCs w:val="20"/>
              </w:rPr>
            </w:pPr>
            <w:r>
              <w:rPr>
                <w:b/>
                <w:color w:val="FFFFFF" w:themeColor="background1"/>
                <w:sz w:val="20"/>
                <w:szCs w:val="20"/>
              </w:rPr>
              <w:t>Febrero</w:t>
            </w:r>
          </w:p>
        </w:tc>
        <w:tc>
          <w:tcPr>
            <w:tcW w:w="3433" w:type="dxa"/>
            <w:gridSpan w:val="3"/>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364D4D" w:rsidRPr="000A7677" w:rsidRDefault="001244B5" w:rsidP="00B17B53">
            <w:pPr>
              <w:ind w:right="14"/>
              <w:jc w:val="center"/>
              <w:rPr>
                <w:b/>
                <w:color w:val="FFFFFF" w:themeColor="background1"/>
                <w:sz w:val="20"/>
                <w:szCs w:val="20"/>
              </w:rPr>
            </w:pPr>
            <w:r>
              <w:rPr>
                <w:b/>
                <w:color w:val="FFFFFF" w:themeColor="background1"/>
                <w:sz w:val="20"/>
                <w:szCs w:val="20"/>
              </w:rPr>
              <w:t>Febrero</w:t>
            </w:r>
          </w:p>
        </w:tc>
      </w:tr>
      <w:tr w:rsidR="00364D4D" w:rsidRPr="00342B87" w:rsidTr="008A78E5">
        <w:trPr>
          <w:jc w:val="center"/>
        </w:trPr>
        <w:tc>
          <w:tcPr>
            <w:tcW w:w="3635" w:type="dxa"/>
            <w:gridSpan w:val="2"/>
            <w:tcBorders>
              <w:left w:val="single" w:sz="4" w:space="0" w:color="auto"/>
              <w:bottom w:val="single" w:sz="4" w:space="0" w:color="auto"/>
              <w:right w:val="single" w:sz="4" w:space="0" w:color="FFFFFF" w:themeColor="background1"/>
            </w:tcBorders>
            <w:shd w:val="clear" w:color="auto" w:fill="336600"/>
          </w:tcPr>
          <w:p w:rsidR="00364D4D" w:rsidRPr="000A7677" w:rsidRDefault="00364D4D" w:rsidP="00B17B53">
            <w:pPr>
              <w:spacing w:before="120" w:after="60"/>
              <w:ind w:right="20"/>
              <w:jc w:val="center"/>
              <w:rPr>
                <w:b/>
                <w:color w:val="FFFFFF" w:themeColor="background1"/>
                <w:sz w:val="20"/>
                <w:szCs w:val="20"/>
              </w:rPr>
            </w:pPr>
          </w:p>
        </w:tc>
        <w:tc>
          <w:tcPr>
            <w:tcW w:w="95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ind w:left="-105" w:right="-81"/>
              <w:jc w:val="center"/>
              <w:rPr>
                <w:b/>
                <w:color w:val="FFFFFF" w:themeColor="background1"/>
                <w:sz w:val="20"/>
                <w:szCs w:val="20"/>
              </w:rPr>
            </w:pPr>
            <w:r w:rsidRPr="000A7677">
              <w:rPr>
                <w:b/>
                <w:color w:val="FFFFFF" w:themeColor="background1"/>
                <w:sz w:val="20"/>
                <w:szCs w:val="20"/>
              </w:rPr>
              <w:t>Mensual</w:t>
            </w:r>
          </w:p>
        </w:tc>
        <w:tc>
          <w:tcPr>
            <w:tcW w:w="130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Pr>
                <w:b/>
                <w:color w:val="FFFFFF" w:themeColor="background1"/>
                <w:sz w:val="20"/>
                <w:szCs w:val="20"/>
              </w:rPr>
              <w:t>Acumulada</w:t>
            </w:r>
          </w:p>
        </w:tc>
        <w:tc>
          <w:tcPr>
            <w:tcW w:w="1161"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sidRPr="000A7677">
              <w:rPr>
                <w:b/>
                <w:color w:val="FFFFFF" w:themeColor="background1"/>
                <w:sz w:val="20"/>
                <w:szCs w:val="20"/>
              </w:rPr>
              <w:t>Interanual</w:t>
            </w:r>
          </w:p>
        </w:tc>
        <w:tc>
          <w:tcPr>
            <w:tcW w:w="992"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sidRPr="000A7677">
              <w:rPr>
                <w:b/>
                <w:color w:val="FFFFFF" w:themeColor="background1"/>
                <w:sz w:val="20"/>
                <w:szCs w:val="20"/>
              </w:rPr>
              <w:t>Mensual</w:t>
            </w:r>
          </w:p>
        </w:tc>
        <w:tc>
          <w:tcPr>
            <w:tcW w:w="130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364D4D" w:rsidRPr="000A7677" w:rsidRDefault="00364D4D" w:rsidP="00B17B53">
            <w:pPr>
              <w:spacing w:before="60" w:after="60"/>
              <w:jc w:val="center"/>
              <w:rPr>
                <w:b/>
                <w:color w:val="FFFFFF" w:themeColor="background1"/>
                <w:sz w:val="20"/>
                <w:szCs w:val="20"/>
              </w:rPr>
            </w:pPr>
            <w:r>
              <w:rPr>
                <w:b/>
                <w:color w:val="FFFFFF" w:themeColor="background1"/>
                <w:sz w:val="20"/>
                <w:szCs w:val="20"/>
              </w:rPr>
              <w:t>Acumulada</w:t>
            </w:r>
          </w:p>
        </w:tc>
        <w:tc>
          <w:tcPr>
            <w:tcW w:w="1135" w:type="dxa"/>
            <w:tcBorders>
              <w:top w:val="single" w:sz="4" w:space="0" w:color="FFFFFF" w:themeColor="background1"/>
              <w:left w:val="single" w:sz="4" w:space="0" w:color="FFFFFF" w:themeColor="background1"/>
              <w:bottom w:val="single" w:sz="4" w:space="0" w:color="auto"/>
              <w:right w:val="single" w:sz="4" w:space="0" w:color="auto"/>
            </w:tcBorders>
            <w:shd w:val="clear" w:color="auto" w:fill="336600"/>
            <w:vAlign w:val="center"/>
          </w:tcPr>
          <w:p w:rsidR="00364D4D" w:rsidRPr="000A7677" w:rsidRDefault="00364D4D" w:rsidP="00B17B53">
            <w:pPr>
              <w:spacing w:before="60" w:after="60"/>
              <w:jc w:val="center"/>
              <w:rPr>
                <w:b/>
                <w:color w:val="FFFFFF" w:themeColor="background1"/>
                <w:sz w:val="20"/>
                <w:szCs w:val="20"/>
              </w:rPr>
            </w:pPr>
            <w:r w:rsidRPr="000A7677">
              <w:rPr>
                <w:b/>
                <w:color w:val="FFFFFF" w:themeColor="background1"/>
                <w:sz w:val="20"/>
                <w:szCs w:val="20"/>
              </w:rPr>
              <w:t>Interanual</w:t>
            </w:r>
          </w:p>
        </w:tc>
      </w:tr>
      <w:tr w:rsidR="008A78E5" w:rsidRPr="00342B87" w:rsidTr="008A78E5">
        <w:trPr>
          <w:trHeight w:val="308"/>
          <w:jc w:val="center"/>
        </w:trPr>
        <w:tc>
          <w:tcPr>
            <w:tcW w:w="3635" w:type="dxa"/>
            <w:gridSpan w:val="2"/>
            <w:tcBorders>
              <w:top w:val="single" w:sz="4" w:space="0" w:color="auto"/>
              <w:left w:val="single" w:sz="4" w:space="0" w:color="auto"/>
              <w:right w:val="single" w:sz="4" w:space="0" w:color="auto"/>
            </w:tcBorders>
          </w:tcPr>
          <w:p w:rsidR="008A78E5" w:rsidRPr="000A7677" w:rsidRDefault="008A78E5" w:rsidP="008A78E5">
            <w:pPr>
              <w:spacing w:before="120" w:after="60"/>
              <w:jc w:val="both"/>
              <w:rPr>
                <w:b/>
                <w:sz w:val="20"/>
                <w:szCs w:val="20"/>
              </w:rPr>
            </w:pPr>
            <w:r w:rsidRPr="000A7677">
              <w:rPr>
                <w:b/>
                <w:sz w:val="20"/>
                <w:szCs w:val="20"/>
              </w:rPr>
              <w:t>Inflación INPC</w:t>
            </w:r>
          </w:p>
        </w:tc>
        <w:tc>
          <w:tcPr>
            <w:tcW w:w="955" w:type="dxa"/>
            <w:tcBorders>
              <w:top w:val="single" w:sz="4" w:space="0" w:color="auto"/>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lang w:val="es-MX" w:eastAsia="es-MX"/>
              </w:rPr>
            </w:pPr>
            <w:r w:rsidRPr="008A78E5">
              <w:rPr>
                <w:b/>
                <w:bCs/>
                <w:sz w:val="20"/>
                <w:szCs w:val="20"/>
              </w:rPr>
              <w:t>0.25</w:t>
            </w:r>
          </w:p>
        </w:tc>
        <w:tc>
          <w:tcPr>
            <w:tcW w:w="1306" w:type="dxa"/>
            <w:tcBorders>
              <w:top w:val="single" w:sz="4" w:space="0" w:color="auto"/>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1.15</w:t>
            </w:r>
          </w:p>
        </w:tc>
        <w:tc>
          <w:tcPr>
            <w:tcW w:w="1161" w:type="dxa"/>
            <w:tcBorders>
              <w:top w:val="single" w:sz="4" w:space="0" w:color="auto"/>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4.23</w:t>
            </w:r>
          </w:p>
        </w:tc>
        <w:tc>
          <w:tcPr>
            <w:tcW w:w="992" w:type="dxa"/>
            <w:tcBorders>
              <w:top w:val="single" w:sz="4" w:space="0" w:color="auto"/>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0.19</w:t>
            </w:r>
          </w:p>
        </w:tc>
        <w:tc>
          <w:tcPr>
            <w:tcW w:w="1306" w:type="dxa"/>
            <w:tcBorders>
              <w:top w:val="single" w:sz="4" w:space="0" w:color="auto"/>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0.10</w:t>
            </w:r>
          </w:p>
        </w:tc>
        <w:tc>
          <w:tcPr>
            <w:tcW w:w="1135" w:type="dxa"/>
            <w:tcBorders>
              <w:top w:val="single" w:sz="4" w:space="0" w:color="auto"/>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3.00</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100" w:after="40"/>
              <w:ind w:right="20"/>
              <w:jc w:val="both"/>
              <w:rPr>
                <w:b/>
                <w:sz w:val="20"/>
                <w:szCs w:val="20"/>
              </w:rPr>
            </w:pPr>
            <w:r w:rsidRPr="000A7677">
              <w:rPr>
                <w:b/>
                <w:sz w:val="20"/>
                <w:szCs w:val="20"/>
              </w:rPr>
              <w:t xml:space="preserve">Subyacente </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0.28</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1.14</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2.98</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0.34</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0.31</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2.40</w:t>
            </w:r>
          </w:p>
        </w:tc>
      </w:tr>
      <w:tr w:rsidR="008A78E5" w:rsidRPr="00342B87" w:rsidTr="008A78E5">
        <w:trPr>
          <w:trHeight w:val="80"/>
          <w:jc w:val="center"/>
        </w:trPr>
        <w:tc>
          <w:tcPr>
            <w:tcW w:w="3635" w:type="dxa"/>
            <w:gridSpan w:val="2"/>
            <w:tcBorders>
              <w:left w:val="single" w:sz="4" w:space="0" w:color="auto"/>
              <w:right w:val="single" w:sz="4" w:space="0" w:color="auto"/>
            </w:tcBorders>
          </w:tcPr>
          <w:p w:rsidR="008A78E5" w:rsidRPr="000A7677" w:rsidRDefault="008A78E5" w:rsidP="008A78E5">
            <w:pPr>
              <w:tabs>
                <w:tab w:val="left" w:pos="378"/>
              </w:tabs>
              <w:spacing w:before="60" w:after="60"/>
              <w:ind w:right="23"/>
              <w:jc w:val="both"/>
              <w:rPr>
                <w:b/>
                <w:sz w:val="20"/>
                <w:szCs w:val="20"/>
              </w:rPr>
            </w:pPr>
            <w:r w:rsidRPr="000A7677">
              <w:rPr>
                <w:sz w:val="20"/>
                <w:szCs w:val="20"/>
              </w:rPr>
              <w:t xml:space="preserve">      </w:t>
            </w:r>
            <w:r w:rsidRPr="000A7677">
              <w:rPr>
                <w:b/>
                <w:sz w:val="20"/>
                <w:szCs w:val="20"/>
              </w:rPr>
              <w:t>Mercancías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0.13</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1.39</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2.91</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0.33</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0.55</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2.64</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tabs>
                <w:tab w:val="left" w:pos="573"/>
              </w:tabs>
              <w:spacing w:before="60" w:after="60"/>
              <w:ind w:right="-170"/>
              <w:jc w:val="both"/>
              <w:rPr>
                <w:sz w:val="20"/>
                <w:szCs w:val="20"/>
              </w:rPr>
            </w:pPr>
            <w:r w:rsidRPr="000A7677">
              <w:rPr>
                <w:sz w:val="20"/>
                <w:szCs w:val="20"/>
              </w:rPr>
              <w:t xml:space="preserve">           Alimentos, Bebidas y Tabaco</w:t>
            </w:r>
            <w:r>
              <w:rPr>
                <w:sz w:val="20"/>
                <w:szCs w:val="20"/>
              </w:rPr>
              <w:t xml:space="preserve"> </w:t>
            </w:r>
            <w:r w:rsidRPr="000A7677">
              <w:rPr>
                <w:b/>
                <w:sz w:val="20"/>
                <w:szCs w:val="20"/>
                <w:u w:val="single"/>
                <w:vertAlign w:val="superscript"/>
              </w:rPr>
              <w:t>1</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0.28</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2.63</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4.73</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0.01</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0.48</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3.10</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ind w:right="162"/>
              <w:jc w:val="both"/>
              <w:rPr>
                <w:sz w:val="20"/>
                <w:szCs w:val="20"/>
              </w:rPr>
            </w:pPr>
            <w:r w:rsidRPr="000A7677">
              <w:rPr>
                <w:sz w:val="20"/>
                <w:szCs w:val="20"/>
              </w:rPr>
              <w:t xml:space="preserve">           Mercancías no Alimenticias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0.00</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0.39</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1.45</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0.59</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0.60</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2.26</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ind w:right="20"/>
              <w:jc w:val="both"/>
              <w:rPr>
                <w:b/>
                <w:sz w:val="20"/>
                <w:szCs w:val="20"/>
              </w:rPr>
            </w:pPr>
            <w:r w:rsidRPr="000A7677">
              <w:rPr>
                <w:b/>
                <w:sz w:val="20"/>
                <w:szCs w:val="20"/>
              </w:rPr>
              <w:t xml:space="preserve">      Servicios </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0.41</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0.92</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3.05</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0.35</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0.11</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2.20</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ind w:right="1538"/>
              <w:jc w:val="both"/>
              <w:rPr>
                <w:sz w:val="20"/>
                <w:szCs w:val="20"/>
              </w:rPr>
            </w:pPr>
            <w:r w:rsidRPr="000A7677">
              <w:rPr>
                <w:sz w:val="20"/>
                <w:szCs w:val="20"/>
              </w:rPr>
              <w:t xml:space="preserve">           Vivienda </w:t>
            </w:r>
            <w:r w:rsidRPr="000A7677">
              <w:rPr>
                <w:b/>
                <w:sz w:val="20"/>
                <w:szCs w:val="20"/>
                <w:u w:val="single"/>
                <w:vertAlign w:val="superscript"/>
              </w:rPr>
              <w:t>2</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0.24</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0.45</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2.25</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0.20</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0.40</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2.09</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jc w:val="both"/>
              <w:rPr>
                <w:sz w:val="20"/>
                <w:szCs w:val="20"/>
              </w:rPr>
            </w:pPr>
            <w:r w:rsidRPr="000A7677">
              <w:rPr>
                <w:sz w:val="20"/>
                <w:szCs w:val="20"/>
              </w:rPr>
              <w:t xml:space="preserve">           Educación (colegiaturas)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0.30</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0.71</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4.38</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0.36</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0.78</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4.37</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ind w:right="1198"/>
              <w:jc w:val="both"/>
              <w:rPr>
                <w:sz w:val="20"/>
                <w:szCs w:val="20"/>
              </w:rPr>
            </w:pPr>
            <w:r w:rsidRPr="000A7677">
              <w:rPr>
                <w:sz w:val="20"/>
                <w:szCs w:val="20"/>
              </w:rPr>
              <w:t xml:space="preserve">           Otros Servicios</w:t>
            </w:r>
            <w:r>
              <w:rPr>
                <w:sz w:val="20"/>
                <w:szCs w:val="20"/>
              </w:rPr>
              <w:t xml:space="preserve"> </w:t>
            </w:r>
            <w:r>
              <w:rPr>
                <w:b/>
                <w:sz w:val="20"/>
                <w:szCs w:val="20"/>
                <w:u w:val="single"/>
                <w:vertAlign w:val="superscript"/>
              </w:rPr>
              <w:t>3</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0.63</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1.49</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3.50</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0.51</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-0.40</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1.67</w:t>
            </w:r>
          </w:p>
        </w:tc>
      </w:tr>
      <w:tr w:rsidR="008A78E5" w:rsidRPr="0088445F" w:rsidTr="008A78E5">
        <w:trPr>
          <w:jc w:val="center"/>
        </w:trPr>
        <w:tc>
          <w:tcPr>
            <w:tcW w:w="3635" w:type="dxa"/>
            <w:gridSpan w:val="2"/>
            <w:tcBorders>
              <w:left w:val="single" w:sz="4" w:space="0" w:color="auto"/>
              <w:right w:val="single" w:sz="4" w:space="0" w:color="auto"/>
            </w:tcBorders>
          </w:tcPr>
          <w:p w:rsidR="008A78E5" w:rsidRPr="00E739DA" w:rsidRDefault="008A78E5" w:rsidP="008A78E5">
            <w:pPr>
              <w:spacing w:before="60" w:after="60"/>
              <w:jc w:val="both"/>
              <w:rPr>
                <w:b/>
                <w:sz w:val="20"/>
                <w:szCs w:val="20"/>
              </w:rPr>
            </w:pPr>
            <w:r w:rsidRPr="00E739DA">
              <w:rPr>
                <w:b/>
                <w:sz w:val="20"/>
                <w:szCs w:val="20"/>
              </w:rPr>
              <w:t xml:space="preserve">No subyacente </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0.17</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1.19</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8.28</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-0.27</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-0.53</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4.88</w:t>
            </w:r>
          </w:p>
        </w:tc>
      </w:tr>
      <w:tr w:rsidR="008A78E5" w:rsidRPr="0088445F"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jc w:val="both"/>
              <w:rPr>
                <w:b/>
                <w:sz w:val="20"/>
                <w:szCs w:val="20"/>
              </w:rPr>
            </w:pPr>
            <w:r w:rsidRPr="000A7677">
              <w:rPr>
                <w:b/>
                <w:sz w:val="20"/>
                <w:szCs w:val="20"/>
              </w:rPr>
              <w:t xml:space="preserve">      Agropecuarios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-0.71</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-1.38</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5.43</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-0.88</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-1.64</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8.32</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jc w:val="both"/>
              <w:rPr>
                <w:sz w:val="20"/>
                <w:szCs w:val="20"/>
              </w:rPr>
            </w:pPr>
            <w:r w:rsidRPr="000A7677">
              <w:rPr>
                <w:sz w:val="20"/>
                <w:szCs w:val="20"/>
              </w:rPr>
              <w:t xml:space="preserve">           Frutas y Verduras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-2.13</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-6.30</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6.73</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-3.61</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-8.75</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-2.51</w:t>
            </w:r>
          </w:p>
        </w:tc>
      </w:tr>
      <w:tr w:rsidR="008A78E5" w:rsidRPr="00342B87" w:rsidTr="008A78E5">
        <w:trPr>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jc w:val="both"/>
              <w:rPr>
                <w:sz w:val="20"/>
                <w:szCs w:val="20"/>
              </w:rPr>
            </w:pPr>
            <w:r w:rsidRPr="000A7677">
              <w:rPr>
                <w:sz w:val="20"/>
                <w:szCs w:val="20"/>
              </w:rPr>
              <w:t xml:space="preserve">           Pecuarios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0.15</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1.76</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4.58</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0.54</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2.32</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14.66</w:t>
            </w:r>
          </w:p>
        </w:tc>
      </w:tr>
      <w:tr w:rsidR="008A78E5" w:rsidRPr="00342B87" w:rsidTr="008A78E5">
        <w:trPr>
          <w:jc w:val="center"/>
        </w:trPr>
        <w:tc>
          <w:tcPr>
            <w:tcW w:w="3635" w:type="dxa"/>
            <w:gridSpan w:val="2"/>
            <w:tcBorders>
              <w:left w:val="single" w:sz="4" w:space="0" w:color="auto"/>
              <w:right w:val="single" w:sz="4" w:space="0" w:color="auto"/>
            </w:tcBorders>
            <w:vAlign w:val="center"/>
          </w:tcPr>
          <w:p w:rsidR="008A78E5" w:rsidRPr="000A7677" w:rsidRDefault="008A78E5" w:rsidP="008A78E5">
            <w:pPr>
              <w:spacing w:before="100"/>
              <w:rPr>
                <w:b/>
                <w:sz w:val="20"/>
                <w:szCs w:val="20"/>
              </w:rPr>
            </w:pPr>
            <w:r w:rsidRPr="000A7677">
              <w:rPr>
                <w:b/>
                <w:sz w:val="20"/>
                <w:szCs w:val="20"/>
              </w:rPr>
              <w:t xml:space="preserve">      Energéticos y Tarifas Autorizadas</w:t>
            </w:r>
          </w:p>
          <w:p w:rsidR="008A78E5" w:rsidRPr="000A7677" w:rsidRDefault="008A78E5" w:rsidP="008A78E5">
            <w:pPr>
              <w:tabs>
                <w:tab w:val="left" w:pos="283"/>
              </w:tabs>
              <w:spacing w:after="40"/>
              <w:rPr>
                <w:b/>
                <w:sz w:val="20"/>
                <w:szCs w:val="20"/>
              </w:rPr>
            </w:pPr>
            <w:r w:rsidRPr="000A7677">
              <w:rPr>
                <w:b/>
                <w:sz w:val="20"/>
                <w:szCs w:val="20"/>
              </w:rPr>
              <w:t xml:space="preserve">      por el Gobierno</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0.68</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b/>
                <w:bCs/>
                <w:sz w:val="20"/>
                <w:szCs w:val="20"/>
              </w:rPr>
            </w:pPr>
            <w:r w:rsidRPr="008A78E5">
              <w:rPr>
                <w:b/>
                <w:bCs/>
                <w:sz w:val="20"/>
                <w:szCs w:val="20"/>
              </w:rPr>
              <w:t>2.73</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b/>
                <w:bCs/>
                <w:sz w:val="20"/>
                <w:szCs w:val="20"/>
              </w:rPr>
            </w:pPr>
            <w:r w:rsidRPr="008A78E5">
              <w:rPr>
                <w:b/>
                <w:bCs/>
                <w:sz w:val="20"/>
                <w:szCs w:val="20"/>
              </w:rPr>
              <w:t>10.12</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b/>
                <w:bCs/>
                <w:sz w:val="20"/>
                <w:szCs w:val="20"/>
              </w:rPr>
            </w:pPr>
            <w:r w:rsidRPr="008A78E5">
              <w:rPr>
                <w:b/>
                <w:bCs/>
                <w:sz w:val="20"/>
                <w:szCs w:val="20"/>
              </w:rPr>
              <w:t>0.11</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b/>
                <w:bCs/>
                <w:sz w:val="20"/>
                <w:szCs w:val="20"/>
              </w:rPr>
            </w:pPr>
            <w:r w:rsidRPr="008A78E5">
              <w:rPr>
                <w:b/>
                <w:bCs/>
                <w:sz w:val="20"/>
                <w:szCs w:val="20"/>
              </w:rPr>
              <w:t>0.15</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b/>
                <w:bCs/>
                <w:sz w:val="20"/>
                <w:szCs w:val="20"/>
              </w:rPr>
            </w:pPr>
            <w:r w:rsidRPr="008A78E5">
              <w:rPr>
                <w:b/>
                <w:bCs/>
                <w:sz w:val="20"/>
                <w:szCs w:val="20"/>
              </w:rPr>
              <w:t>2.90</w:t>
            </w:r>
          </w:p>
        </w:tc>
      </w:tr>
      <w:tr w:rsidR="008A78E5" w:rsidRPr="00342B87" w:rsidTr="008A78E5">
        <w:trPr>
          <w:trHeight w:val="262"/>
          <w:jc w:val="center"/>
        </w:trPr>
        <w:tc>
          <w:tcPr>
            <w:tcW w:w="3635" w:type="dxa"/>
            <w:gridSpan w:val="2"/>
            <w:tcBorders>
              <w:left w:val="single" w:sz="4" w:space="0" w:color="auto"/>
              <w:right w:val="single" w:sz="4" w:space="0" w:color="auto"/>
            </w:tcBorders>
          </w:tcPr>
          <w:p w:rsidR="008A78E5" w:rsidRPr="000A7677" w:rsidRDefault="008A78E5" w:rsidP="008A78E5">
            <w:pPr>
              <w:spacing w:before="60" w:after="60"/>
              <w:jc w:val="both"/>
              <w:rPr>
                <w:sz w:val="20"/>
                <w:szCs w:val="20"/>
              </w:rPr>
            </w:pPr>
            <w:r w:rsidRPr="000A7677">
              <w:rPr>
                <w:sz w:val="20"/>
                <w:szCs w:val="20"/>
              </w:rPr>
              <w:t xml:space="preserve">           Energéticos</w:t>
            </w:r>
          </w:p>
        </w:tc>
        <w:tc>
          <w:tcPr>
            <w:tcW w:w="955" w:type="dxa"/>
            <w:tcBorders>
              <w:top w:val="nil"/>
              <w:left w:val="nil"/>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0.87</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2.75</w:t>
            </w:r>
          </w:p>
        </w:tc>
        <w:tc>
          <w:tcPr>
            <w:tcW w:w="1161"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10.10</w:t>
            </w:r>
          </w:p>
        </w:tc>
        <w:tc>
          <w:tcPr>
            <w:tcW w:w="992"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-0.03</w:t>
            </w:r>
          </w:p>
        </w:tc>
        <w:tc>
          <w:tcPr>
            <w:tcW w:w="1306"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-0.31</w:t>
            </w:r>
          </w:p>
        </w:tc>
        <w:tc>
          <w:tcPr>
            <w:tcW w:w="1135" w:type="dxa"/>
            <w:tcBorders>
              <w:top w:val="nil"/>
              <w:left w:val="single" w:sz="4" w:space="0" w:color="auto"/>
              <w:bottom w:val="nil"/>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3.26</w:t>
            </w:r>
          </w:p>
        </w:tc>
      </w:tr>
      <w:tr w:rsidR="008A78E5" w:rsidRPr="00342B87" w:rsidTr="008A78E5">
        <w:trPr>
          <w:jc w:val="center"/>
        </w:trPr>
        <w:tc>
          <w:tcPr>
            <w:tcW w:w="3635" w:type="dxa"/>
            <w:gridSpan w:val="2"/>
            <w:tcBorders>
              <w:left w:val="single" w:sz="4" w:space="0" w:color="auto"/>
              <w:bottom w:val="single" w:sz="4" w:space="0" w:color="auto"/>
              <w:right w:val="single" w:sz="4" w:space="0" w:color="auto"/>
            </w:tcBorders>
          </w:tcPr>
          <w:p w:rsidR="008A78E5" w:rsidRPr="000A7677" w:rsidRDefault="008A78E5" w:rsidP="008A78E5">
            <w:pPr>
              <w:spacing w:before="100"/>
              <w:ind w:right="23"/>
              <w:rPr>
                <w:sz w:val="20"/>
                <w:szCs w:val="20"/>
              </w:rPr>
            </w:pPr>
            <w:r w:rsidRPr="000A7677">
              <w:rPr>
                <w:sz w:val="20"/>
                <w:szCs w:val="20"/>
              </w:rPr>
              <w:t xml:space="preserve">           Tarifas Autorizadas por el</w:t>
            </w:r>
          </w:p>
          <w:p w:rsidR="008A78E5" w:rsidRPr="000A7677" w:rsidRDefault="008A78E5" w:rsidP="008A78E5">
            <w:pPr>
              <w:spacing w:after="40"/>
              <w:ind w:right="23"/>
              <w:rPr>
                <w:sz w:val="20"/>
                <w:szCs w:val="20"/>
              </w:rPr>
            </w:pPr>
            <w:r w:rsidRPr="000A7677">
              <w:rPr>
                <w:sz w:val="20"/>
                <w:szCs w:val="20"/>
              </w:rPr>
              <w:t xml:space="preserve">           Gobierno</w:t>
            </w:r>
          </w:p>
        </w:tc>
        <w:tc>
          <w:tcPr>
            <w:tcW w:w="955" w:type="dxa"/>
            <w:tcBorders>
              <w:top w:val="nil"/>
              <w:left w:val="nil"/>
              <w:bottom w:val="single" w:sz="4" w:space="0" w:color="auto"/>
              <w:right w:val="single" w:sz="4" w:space="0" w:color="auto"/>
            </w:tcBorders>
            <w:shd w:val="clear" w:color="auto" w:fill="auto"/>
            <w:vAlign w:val="center"/>
          </w:tcPr>
          <w:p w:rsidR="008A78E5" w:rsidRPr="008A78E5" w:rsidRDefault="008A78E5" w:rsidP="008A78E5">
            <w:pPr>
              <w:ind w:left="-1333" w:right="184"/>
              <w:jc w:val="right"/>
              <w:rPr>
                <w:sz w:val="20"/>
                <w:szCs w:val="20"/>
              </w:rPr>
            </w:pPr>
            <w:r w:rsidRPr="008A78E5">
              <w:rPr>
                <w:sz w:val="20"/>
                <w:szCs w:val="20"/>
              </w:rPr>
              <w:t>0.31</w:t>
            </w:r>
          </w:p>
        </w:tc>
        <w:tc>
          <w:tcPr>
            <w:tcW w:w="1306" w:type="dxa"/>
            <w:tcBorders>
              <w:top w:val="nil"/>
              <w:left w:val="single" w:sz="4" w:space="0" w:color="auto"/>
              <w:bottom w:val="single" w:sz="4" w:space="0" w:color="auto"/>
              <w:right w:val="single" w:sz="4" w:space="0" w:color="auto"/>
            </w:tcBorders>
            <w:shd w:val="clear" w:color="auto" w:fill="auto"/>
            <w:vAlign w:val="center"/>
          </w:tcPr>
          <w:p w:rsidR="008A78E5" w:rsidRPr="008A78E5" w:rsidRDefault="008A78E5" w:rsidP="008A78E5">
            <w:pPr>
              <w:ind w:left="-1333" w:right="328"/>
              <w:jc w:val="right"/>
              <w:rPr>
                <w:sz w:val="20"/>
                <w:szCs w:val="20"/>
              </w:rPr>
            </w:pPr>
            <w:r w:rsidRPr="008A78E5">
              <w:rPr>
                <w:sz w:val="20"/>
                <w:szCs w:val="20"/>
              </w:rPr>
              <w:t>2.70</w:t>
            </w:r>
          </w:p>
        </w:tc>
        <w:tc>
          <w:tcPr>
            <w:tcW w:w="1161" w:type="dxa"/>
            <w:tcBorders>
              <w:top w:val="nil"/>
              <w:left w:val="single" w:sz="4" w:space="0" w:color="auto"/>
              <w:bottom w:val="single" w:sz="4" w:space="0" w:color="auto"/>
              <w:right w:val="single" w:sz="4" w:space="0" w:color="auto"/>
            </w:tcBorders>
            <w:shd w:val="clear" w:color="auto" w:fill="auto"/>
            <w:vAlign w:val="center"/>
          </w:tcPr>
          <w:p w:rsidR="008A78E5" w:rsidRPr="008A78E5" w:rsidRDefault="008A78E5" w:rsidP="008A78E5">
            <w:pPr>
              <w:ind w:left="-1333" w:right="272"/>
              <w:jc w:val="right"/>
              <w:rPr>
                <w:sz w:val="20"/>
                <w:szCs w:val="20"/>
              </w:rPr>
            </w:pPr>
            <w:r w:rsidRPr="008A78E5">
              <w:rPr>
                <w:sz w:val="20"/>
                <w:szCs w:val="20"/>
              </w:rPr>
              <w:t>10.14</w:t>
            </w:r>
          </w:p>
        </w:tc>
        <w:tc>
          <w:tcPr>
            <w:tcW w:w="992" w:type="dxa"/>
            <w:tcBorders>
              <w:top w:val="nil"/>
              <w:left w:val="single" w:sz="4" w:space="0" w:color="auto"/>
              <w:bottom w:val="single" w:sz="4" w:space="0" w:color="auto"/>
              <w:right w:val="single" w:sz="4" w:space="0" w:color="auto"/>
            </w:tcBorders>
            <w:shd w:val="clear" w:color="auto" w:fill="auto"/>
            <w:vAlign w:val="center"/>
          </w:tcPr>
          <w:p w:rsidR="008A78E5" w:rsidRPr="008A78E5" w:rsidRDefault="008A78E5" w:rsidP="008A78E5">
            <w:pPr>
              <w:ind w:left="-1333" w:right="184"/>
              <w:jc w:val="right"/>
              <w:rPr>
                <w:bCs/>
                <w:sz w:val="20"/>
                <w:szCs w:val="20"/>
              </w:rPr>
            </w:pPr>
            <w:r w:rsidRPr="008A78E5">
              <w:rPr>
                <w:bCs/>
                <w:sz w:val="20"/>
                <w:szCs w:val="20"/>
              </w:rPr>
              <w:t>0.38</w:t>
            </w:r>
          </w:p>
        </w:tc>
        <w:tc>
          <w:tcPr>
            <w:tcW w:w="1306" w:type="dxa"/>
            <w:tcBorders>
              <w:top w:val="nil"/>
              <w:left w:val="single" w:sz="4" w:space="0" w:color="auto"/>
              <w:bottom w:val="single" w:sz="4" w:space="0" w:color="auto"/>
              <w:right w:val="single" w:sz="4" w:space="0" w:color="auto"/>
            </w:tcBorders>
            <w:shd w:val="clear" w:color="auto" w:fill="auto"/>
            <w:vAlign w:val="center"/>
          </w:tcPr>
          <w:p w:rsidR="008A78E5" w:rsidRPr="008A78E5" w:rsidRDefault="008A78E5" w:rsidP="008A78E5">
            <w:pPr>
              <w:ind w:left="-1333" w:right="316"/>
              <w:jc w:val="right"/>
              <w:rPr>
                <w:sz w:val="20"/>
                <w:szCs w:val="20"/>
              </w:rPr>
            </w:pPr>
            <w:r w:rsidRPr="008A78E5">
              <w:rPr>
                <w:sz w:val="20"/>
                <w:szCs w:val="20"/>
              </w:rPr>
              <w:t>1.06</w:t>
            </w:r>
          </w:p>
        </w:tc>
        <w:tc>
          <w:tcPr>
            <w:tcW w:w="1135" w:type="dxa"/>
            <w:tcBorders>
              <w:top w:val="nil"/>
              <w:left w:val="single" w:sz="4" w:space="0" w:color="auto"/>
              <w:bottom w:val="single" w:sz="4" w:space="0" w:color="auto"/>
              <w:right w:val="single" w:sz="4" w:space="0" w:color="auto"/>
            </w:tcBorders>
            <w:shd w:val="clear" w:color="auto" w:fill="auto"/>
            <w:vAlign w:val="center"/>
          </w:tcPr>
          <w:p w:rsidR="008A78E5" w:rsidRPr="008A78E5" w:rsidRDefault="008A78E5" w:rsidP="008A78E5">
            <w:pPr>
              <w:ind w:left="-1333" w:right="289"/>
              <w:jc w:val="right"/>
              <w:rPr>
                <w:sz w:val="20"/>
                <w:szCs w:val="20"/>
              </w:rPr>
            </w:pPr>
            <w:r w:rsidRPr="008A78E5">
              <w:rPr>
                <w:sz w:val="20"/>
                <w:szCs w:val="20"/>
              </w:rPr>
              <w:t>2.22</w:t>
            </w:r>
          </w:p>
        </w:tc>
      </w:tr>
      <w:tr w:rsidR="00364D4D" w:rsidRPr="00342B87" w:rsidTr="00B17B53">
        <w:trPr>
          <w:jc w:val="center"/>
        </w:trPr>
        <w:tc>
          <w:tcPr>
            <w:tcW w:w="967" w:type="dxa"/>
            <w:tcBorders>
              <w:top w:val="single" w:sz="4" w:space="0" w:color="auto"/>
            </w:tcBorders>
          </w:tcPr>
          <w:p w:rsidR="00364D4D" w:rsidRPr="000602ED" w:rsidRDefault="00364D4D" w:rsidP="00B17B53">
            <w:pPr>
              <w:spacing w:before="60"/>
              <w:ind w:left="-80" w:right="-74"/>
              <w:jc w:val="right"/>
              <w:rPr>
                <w:b/>
                <w:sz w:val="20"/>
                <w:szCs w:val="20"/>
                <w:vertAlign w:val="superscript"/>
              </w:rPr>
            </w:pPr>
            <w:r w:rsidRPr="000602ED">
              <w:rPr>
                <w:b/>
                <w:sz w:val="20"/>
                <w:szCs w:val="20"/>
                <w:u w:val="single"/>
                <w:vertAlign w:val="superscript"/>
              </w:rPr>
              <w:t>1</w:t>
            </w:r>
            <w:r w:rsidRPr="000602ED">
              <w:rPr>
                <w:b/>
                <w:sz w:val="20"/>
                <w:szCs w:val="20"/>
                <w:vertAlign w:val="superscript"/>
              </w:rPr>
              <w:t xml:space="preserve">/  </w:t>
            </w:r>
          </w:p>
          <w:p w:rsidR="00364D4D" w:rsidRDefault="00364D4D" w:rsidP="00B17B53">
            <w:pPr>
              <w:ind w:left="-80" w:right="-76"/>
              <w:jc w:val="right"/>
              <w:rPr>
                <w:b/>
                <w:sz w:val="20"/>
                <w:szCs w:val="20"/>
                <w:vertAlign w:val="superscript"/>
              </w:rPr>
            </w:pPr>
            <w:r w:rsidRPr="000602ED">
              <w:rPr>
                <w:b/>
                <w:sz w:val="20"/>
                <w:szCs w:val="20"/>
                <w:u w:val="single"/>
                <w:vertAlign w:val="superscript"/>
              </w:rPr>
              <w:t>2</w:t>
            </w:r>
            <w:r w:rsidRPr="000602ED">
              <w:rPr>
                <w:b/>
                <w:sz w:val="20"/>
                <w:szCs w:val="20"/>
                <w:vertAlign w:val="superscript"/>
              </w:rPr>
              <w:t>/</w:t>
            </w:r>
          </w:p>
          <w:p w:rsidR="00364D4D" w:rsidRDefault="00364D4D" w:rsidP="00B17B53">
            <w:pPr>
              <w:ind w:left="-80" w:right="-76"/>
              <w:jc w:val="right"/>
              <w:rPr>
                <w:b/>
                <w:sz w:val="20"/>
                <w:szCs w:val="20"/>
                <w:vertAlign w:val="superscript"/>
              </w:rPr>
            </w:pPr>
            <w:r>
              <w:rPr>
                <w:b/>
                <w:sz w:val="20"/>
                <w:szCs w:val="20"/>
                <w:u w:val="single"/>
                <w:vertAlign w:val="superscript"/>
              </w:rPr>
              <w:t>3</w:t>
            </w:r>
            <w:r w:rsidRPr="000602ED">
              <w:rPr>
                <w:b/>
                <w:sz w:val="20"/>
                <w:szCs w:val="20"/>
                <w:vertAlign w:val="superscript"/>
              </w:rPr>
              <w:t>/</w:t>
            </w:r>
          </w:p>
          <w:p w:rsidR="00364D4D" w:rsidRPr="002A3788" w:rsidRDefault="00364D4D" w:rsidP="00B17B53">
            <w:pPr>
              <w:ind w:right="-76"/>
              <w:rPr>
                <w:b/>
                <w:sz w:val="14"/>
                <w:szCs w:val="20"/>
                <w:vertAlign w:val="superscript"/>
              </w:rPr>
            </w:pPr>
          </w:p>
          <w:p w:rsidR="00364D4D" w:rsidRPr="00342B87" w:rsidRDefault="00364D4D" w:rsidP="00B17B53">
            <w:pPr>
              <w:ind w:left="-80" w:right="-76"/>
              <w:jc w:val="right"/>
              <w:rPr>
                <w:sz w:val="20"/>
                <w:szCs w:val="20"/>
              </w:rPr>
            </w:pPr>
            <w:r w:rsidRPr="000602ED">
              <w:rPr>
                <w:sz w:val="20"/>
                <w:szCs w:val="20"/>
              </w:rPr>
              <w:t>FUENTE:</w:t>
            </w:r>
            <w:r w:rsidRPr="00342B87">
              <w:rPr>
                <w:sz w:val="20"/>
                <w:szCs w:val="20"/>
              </w:rPr>
              <w:t xml:space="preserve"> </w:t>
            </w:r>
            <w:r>
              <w:rPr>
                <w:b/>
                <w:sz w:val="20"/>
                <w:szCs w:val="20"/>
                <w:vertAlign w:val="superscript"/>
              </w:rPr>
              <w:t xml:space="preserve">   </w:t>
            </w:r>
            <w:r w:rsidRPr="00342B87">
              <w:rPr>
                <w:sz w:val="20"/>
                <w:szCs w:val="20"/>
              </w:rPr>
              <w:t xml:space="preserve"> </w:t>
            </w:r>
          </w:p>
        </w:tc>
        <w:tc>
          <w:tcPr>
            <w:tcW w:w="9523" w:type="dxa"/>
            <w:gridSpan w:val="7"/>
            <w:tcBorders>
              <w:top w:val="single" w:sz="4" w:space="0" w:color="auto"/>
            </w:tcBorders>
          </w:tcPr>
          <w:p w:rsidR="00364D4D" w:rsidRPr="00117CC9" w:rsidRDefault="00364D4D" w:rsidP="00B17B53">
            <w:pPr>
              <w:ind w:left="-46" w:right="-74"/>
              <w:jc w:val="both"/>
              <w:rPr>
                <w:sz w:val="20"/>
                <w:szCs w:val="20"/>
              </w:rPr>
            </w:pPr>
            <w:r>
              <w:rPr>
                <w:sz w:val="20"/>
                <w:szCs w:val="20"/>
              </w:rPr>
              <w:t>Incluye alimentos procesados, bebidas y tabaco, no incluye productos agropecuarios.</w:t>
            </w:r>
          </w:p>
          <w:p w:rsidR="00364D4D" w:rsidRDefault="00364D4D" w:rsidP="00B17B53">
            <w:pPr>
              <w:tabs>
                <w:tab w:val="left" w:pos="-913"/>
              </w:tabs>
              <w:ind w:left="-46" w:right="-76"/>
              <w:jc w:val="both"/>
              <w:rPr>
                <w:sz w:val="20"/>
                <w:szCs w:val="20"/>
              </w:rPr>
            </w:pPr>
            <w:r w:rsidRPr="00342B87">
              <w:rPr>
                <w:sz w:val="20"/>
                <w:szCs w:val="20"/>
              </w:rPr>
              <w:t>Este subíndice incluye vivienda propia, renta de vivienda, servicio doméstico y otros servicios para el hogar.</w:t>
            </w:r>
          </w:p>
          <w:p w:rsidR="00364D4D" w:rsidRDefault="00364D4D" w:rsidP="00B17B53">
            <w:pPr>
              <w:tabs>
                <w:tab w:val="left" w:pos="-913"/>
              </w:tabs>
              <w:ind w:left="-46" w:right="-76"/>
              <w:jc w:val="both"/>
              <w:rPr>
                <w:sz w:val="20"/>
                <w:szCs w:val="20"/>
              </w:rPr>
            </w:pPr>
            <w:r w:rsidRPr="00086641">
              <w:rPr>
                <w:sz w:val="20"/>
                <w:szCs w:val="20"/>
              </w:rPr>
              <w:t>Incluye loncherías, fondas y taquerías, restaurantes y similares, servicio telefónico local fijo, servicio de telefonía</w:t>
            </w:r>
            <w:r>
              <w:rPr>
                <w:sz w:val="20"/>
                <w:szCs w:val="20"/>
              </w:rPr>
              <w:t xml:space="preserve"> </w:t>
            </w:r>
            <w:r w:rsidRPr="00086641">
              <w:rPr>
                <w:sz w:val="20"/>
                <w:szCs w:val="20"/>
              </w:rPr>
              <w:t>móvil, consulta médica, servicios turís</w:t>
            </w:r>
            <w:r>
              <w:rPr>
                <w:sz w:val="20"/>
                <w:szCs w:val="20"/>
              </w:rPr>
              <w:t xml:space="preserve">ticos en paquete, entre otros. </w:t>
            </w:r>
          </w:p>
          <w:p w:rsidR="00364D4D" w:rsidRPr="00342B87" w:rsidRDefault="00364D4D" w:rsidP="00B17B53">
            <w:pPr>
              <w:tabs>
                <w:tab w:val="left" w:pos="-913"/>
              </w:tabs>
              <w:ind w:left="-46" w:right="-76"/>
              <w:jc w:val="both"/>
              <w:rPr>
                <w:sz w:val="20"/>
                <w:szCs w:val="20"/>
              </w:rPr>
            </w:pPr>
            <w:r w:rsidRPr="00342B87">
              <w:rPr>
                <w:sz w:val="20"/>
                <w:szCs w:val="20"/>
              </w:rPr>
              <w:t>Elaborado por la Comisión Nacional de los Salarios Mínimos con información del Instituto Nacional de Estadística y Geografía.</w:t>
            </w:r>
          </w:p>
        </w:tc>
      </w:tr>
    </w:tbl>
    <w:p w:rsidR="00364D4D" w:rsidRDefault="00364D4D" w:rsidP="00364D4D">
      <w:pPr>
        <w:spacing w:line="360" w:lineRule="auto"/>
        <w:jc w:val="both"/>
        <w:rPr>
          <w:sz w:val="26"/>
          <w:szCs w:val="26"/>
        </w:rPr>
      </w:pPr>
    </w:p>
    <w:p w:rsidR="00364D4D" w:rsidRDefault="00364D4D" w:rsidP="00364D4D">
      <w:pPr>
        <w:spacing w:line="360" w:lineRule="auto"/>
        <w:jc w:val="both"/>
        <w:rPr>
          <w:sz w:val="26"/>
          <w:szCs w:val="26"/>
        </w:rPr>
      </w:pPr>
      <w:r>
        <w:rPr>
          <w:sz w:val="26"/>
          <w:szCs w:val="26"/>
        </w:rPr>
        <w:br w:type="column"/>
      </w: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533"/>
        <w:gridCol w:w="775"/>
        <w:gridCol w:w="657"/>
        <w:gridCol w:w="654"/>
        <w:gridCol w:w="682"/>
        <w:gridCol w:w="764"/>
        <w:gridCol w:w="710"/>
        <w:gridCol w:w="709"/>
        <w:gridCol w:w="1248"/>
        <w:gridCol w:w="1135"/>
      </w:tblGrid>
      <w:tr w:rsidR="00364D4D" w:rsidRPr="00BA7A08" w:rsidTr="00B17B53">
        <w:trPr>
          <w:jc w:val="center"/>
        </w:trPr>
        <w:tc>
          <w:tcPr>
            <w:tcW w:w="9925" w:type="dxa"/>
            <w:gridSpan w:val="11"/>
            <w:tcBorders>
              <w:top w:val="nil"/>
              <w:left w:val="nil"/>
              <w:bottom w:val="nil"/>
              <w:right w:val="nil"/>
            </w:tcBorders>
          </w:tcPr>
          <w:p w:rsidR="00364D4D" w:rsidRPr="00026B9A" w:rsidRDefault="00364D4D" w:rsidP="00B17B53">
            <w:pPr>
              <w:spacing w:before="60"/>
              <w:jc w:val="center"/>
              <w:rPr>
                <w:b/>
                <w:sz w:val="22"/>
                <w:szCs w:val="22"/>
              </w:rPr>
            </w:pPr>
            <w:r w:rsidRPr="00026B9A">
              <w:rPr>
                <w:b/>
                <w:sz w:val="22"/>
                <w:szCs w:val="22"/>
              </w:rPr>
              <w:t xml:space="preserve">ÍNDICE NACIONAL DE PRECIOS AL CONSUMIDOR </w:t>
            </w:r>
          </w:p>
          <w:p w:rsidR="00364D4D" w:rsidRPr="008861E1" w:rsidRDefault="00364D4D" w:rsidP="00B17B53">
            <w:pPr>
              <w:spacing w:after="120"/>
              <w:jc w:val="center"/>
              <w:rPr>
                <w:b/>
                <w:sz w:val="22"/>
                <w:szCs w:val="22"/>
              </w:rPr>
            </w:pPr>
            <w:r w:rsidRPr="00026B9A">
              <w:rPr>
                <w:b/>
                <w:sz w:val="22"/>
                <w:szCs w:val="22"/>
              </w:rPr>
              <w:t>POR RUBRO DE GASTO E ÍNDICES ESPECIALES</w:t>
            </w:r>
          </w:p>
        </w:tc>
      </w:tr>
      <w:tr w:rsidR="00364D4D" w:rsidRPr="00BA7A08" w:rsidTr="00B20283">
        <w:trPr>
          <w:jc w:val="center"/>
        </w:trPr>
        <w:tc>
          <w:tcPr>
            <w:tcW w:w="2591" w:type="dxa"/>
            <w:gridSpan w:val="2"/>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64D4D" w:rsidRPr="00152568" w:rsidRDefault="00364D4D" w:rsidP="00B17B53">
            <w:pPr>
              <w:jc w:val="center"/>
              <w:rPr>
                <w:b/>
                <w:color w:val="FFFFFF" w:themeColor="background1"/>
                <w:sz w:val="20"/>
                <w:szCs w:val="20"/>
              </w:rPr>
            </w:pPr>
            <w:r w:rsidRPr="00152568">
              <w:rPr>
                <w:b/>
                <w:color w:val="FFFFFF" w:themeColor="background1"/>
                <w:sz w:val="20"/>
                <w:szCs w:val="20"/>
              </w:rPr>
              <w:t>CATEGORÍA DE GASTO</w:t>
            </w:r>
          </w:p>
        </w:tc>
        <w:tc>
          <w:tcPr>
            <w:tcW w:w="4951" w:type="dxa"/>
            <w:gridSpan w:val="7"/>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tcPr>
          <w:p w:rsidR="00364D4D" w:rsidRPr="00152568" w:rsidRDefault="00364D4D" w:rsidP="00B17B53">
            <w:pPr>
              <w:ind w:right="-108"/>
              <w:jc w:val="center"/>
              <w:rPr>
                <w:b/>
                <w:color w:val="FFFFFF" w:themeColor="background1"/>
                <w:sz w:val="20"/>
                <w:szCs w:val="20"/>
              </w:rPr>
            </w:pPr>
            <w:r w:rsidRPr="00152568">
              <w:rPr>
                <w:b/>
                <w:color w:val="FFFFFF" w:themeColor="background1"/>
                <w:sz w:val="20"/>
                <w:szCs w:val="20"/>
              </w:rPr>
              <w:t>Cambio porcentual respecto al mes anterior</w:t>
            </w:r>
          </w:p>
        </w:tc>
        <w:tc>
          <w:tcPr>
            <w:tcW w:w="1248" w:type="dxa"/>
            <w:vMerge w:val="restart"/>
            <w:tcBorders>
              <w:top w:val="single" w:sz="4" w:space="0" w:color="FFFFFF" w:themeColor="background1"/>
              <w:left w:val="single" w:sz="4" w:space="0" w:color="FFFFFF" w:themeColor="background1"/>
              <w:right w:val="single" w:sz="4" w:space="0" w:color="FFFFFF" w:themeColor="background1"/>
            </w:tcBorders>
            <w:shd w:val="clear" w:color="auto" w:fill="336600"/>
          </w:tcPr>
          <w:p w:rsidR="00364D4D" w:rsidRDefault="00364D4D" w:rsidP="00B17B53">
            <w:pPr>
              <w:jc w:val="center"/>
              <w:rPr>
                <w:b/>
                <w:color w:val="FFFFFF" w:themeColor="background1"/>
                <w:sz w:val="20"/>
                <w:szCs w:val="20"/>
              </w:rPr>
            </w:pPr>
            <w:r>
              <w:rPr>
                <w:b/>
                <w:color w:val="FFFFFF" w:themeColor="background1"/>
                <w:sz w:val="20"/>
                <w:szCs w:val="20"/>
              </w:rPr>
              <w:t>Variación Acumulada</w:t>
            </w:r>
          </w:p>
        </w:tc>
        <w:tc>
          <w:tcPr>
            <w:tcW w:w="113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tcPr>
          <w:p w:rsidR="00364D4D" w:rsidRPr="00152568" w:rsidRDefault="00364D4D" w:rsidP="00B17B53">
            <w:pPr>
              <w:jc w:val="center"/>
              <w:rPr>
                <w:b/>
                <w:color w:val="FFFFFF" w:themeColor="background1"/>
                <w:sz w:val="20"/>
                <w:szCs w:val="20"/>
              </w:rPr>
            </w:pPr>
            <w:r>
              <w:rPr>
                <w:b/>
                <w:color w:val="FFFFFF" w:themeColor="background1"/>
                <w:sz w:val="20"/>
                <w:szCs w:val="20"/>
              </w:rPr>
              <w:t>Variación I</w:t>
            </w:r>
            <w:r w:rsidRPr="00152568">
              <w:rPr>
                <w:b/>
                <w:color w:val="FFFFFF" w:themeColor="background1"/>
                <w:sz w:val="20"/>
                <w:szCs w:val="20"/>
              </w:rPr>
              <w:t>nteranual</w:t>
            </w:r>
          </w:p>
        </w:tc>
      </w:tr>
      <w:tr w:rsidR="00B20283" w:rsidRPr="00BA7A08" w:rsidTr="001D205D">
        <w:trPr>
          <w:jc w:val="center"/>
        </w:trPr>
        <w:tc>
          <w:tcPr>
            <w:tcW w:w="2591" w:type="dxa"/>
            <w:gridSpan w:val="2"/>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tcPr>
          <w:p w:rsidR="00B20283" w:rsidRPr="00BA7A08" w:rsidRDefault="00B20283" w:rsidP="00B17B53">
            <w:pPr>
              <w:ind w:right="20"/>
              <w:jc w:val="both"/>
              <w:rPr>
                <w:b/>
                <w:sz w:val="20"/>
                <w:szCs w:val="20"/>
              </w:rPr>
            </w:pPr>
          </w:p>
        </w:tc>
        <w:tc>
          <w:tcPr>
            <w:tcW w:w="3532"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2014</w:t>
            </w:r>
          </w:p>
        </w:tc>
        <w:tc>
          <w:tcPr>
            <w:tcW w:w="1419"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B20283" w:rsidRPr="00152568" w:rsidRDefault="00B20283" w:rsidP="00B17B53">
            <w:pPr>
              <w:ind w:right="20"/>
              <w:jc w:val="center"/>
              <w:rPr>
                <w:b/>
                <w:color w:val="FFFFFF" w:themeColor="background1"/>
                <w:sz w:val="20"/>
                <w:szCs w:val="20"/>
              </w:rPr>
            </w:pPr>
            <w:r>
              <w:rPr>
                <w:b/>
                <w:color w:val="FFFFFF" w:themeColor="background1"/>
                <w:sz w:val="20"/>
                <w:szCs w:val="20"/>
              </w:rPr>
              <w:t>2015</w:t>
            </w:r>
          </w:p>
        </w:tc>
        <w:tc>
          <w:tcPr>
            <w:tcW w:w="1248" w:type="dxa"/>
            <w:vMerge/>
            <w:tcBorders>
              <w:left w:val="single" w:sz="4" w:space="0" w:color="FFFFFF" w:themeColor="background1"/>
              <w:bottom w:val="single" w:sz="4" w:space="0" w:color="FFFFFF" w:themeColor="background1"/>
              <w:right w:val="single" w:sz="4" w:space="0" w:color="FFFFFF" w:themeColor="background1"/>
            </w:tcBorders>
            <w:shd w:val="clear" w:color="auto" w:fill="336600"/>
          </w:tcPr>
          <w:p w:rsidR="00B20283" w:rsidRPr="00BA7A08" w:rsidRDefault="00B20283" w:rsidP="00B17B53">
            <w:pPr>
              <w:ind w:right="20"/>
              <w:jc w:val="both"/>
              <w:rPr>
                <w:b/>
                <w:sz w:val="20"/>
                <w:szCs w:val="20"/>
              </w:rPr>
            </w:pPr>
          </w:p>
        </w:tc>
        <w:tc>
          <w:tcPr>
            <w:tcW w:w="1135" w:type="dxa"/>
            <w:vMerge/>
            <w:tcBorders>
              <w:top w:val="nil"/>
              <w:left w:val="single" w:sz="4" w:space="0" w:color="FFFFFF" w:themeColor="background1"/>
              <w:bottom w:val="single" w:sz="4" w:space="0" w:color="FFFFFF" w:themeColor="background1"/>
              <w:right w:val="single" w:sz="4" w:space="0" w:color="FFFFFF" w:themeColor="background1"/>
            </w:tcBorders>
            <w:shd w:val="clear" w:color="auto" w:fill="336600"/>
          </w:tcPr>
          <w:p w:rsidR="00B20283" w:rsidRPr="00BA7A08" w:rsidRDefault="00B20283" w:rsidP="00B17B53">
            <w:pPr>
              <w:ind w:right="20"/>
              <w:jc w:val="both"/>
              <w:rPr>
                <w:b/>
                <w:sz w:val="20"/>
                <w:szCs w:val="20"/>
              </w:rPr>
            </w:pPr>
          </w:p>
        </w:tc>
      </w:tr>
      <w:tr w:rsidR="00B20283" w:rsidRPr="00BA7A08" w:rsidTr="001670BC">
        <w:trPr>
          <w:trHeight w:val="865"/>
          <w:jc w:val="center"/>
        </w:trPr>
        <w:tc>
          <w:tcPr>
            <w:tcW w:w="2591" w:type="dxa"/>
            <w:gridSpan w:val="2"/>
            <w:vMerge/>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B20283" w:rsidRPr="00BA7A08" w:rsidRDefault="00B20283" w:rsidP="00B20283">
            <w:pPr>
              <w:ind w:right="20"/>
              <w:jc w:val="both"/>
              <w:rPr>
                <w:b/>
                <w:sz w:val="20"/>
                <w:szCs w:val="20"/>
              </w:rPr>
            </w:pPr>
          </w:p>
        </w:tc>
        <w:tc>
          <w:tcPr>
            <w:tcW w:w="77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Ago.</w:t>
            </w:r>
          </w:p>
        </w:tc>
        <w:tc>
          <w:tcPr>
            <w:tcW w:w="657"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Sep.</w:t>
            </w:r>
          </w:p>
        </w:tc>
        <w:tc>
          <w:tcPr>
            <w:tcW w:w="654"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Oct.</w:t>
            </w:r>
          </w:p>
        </w:tc>
        <w:tc>
          <w:tcPr>
            <w:tcW w:w="682"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Nov.</w:t>
            </w:r>
          </w:p>
        </w:tc>
        <w:tc>
          <w:tcPr>
            <w:tcW w:w="764"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Dic.</w:t>
            </w:r>
          </w:p>
        </w:tc>
        <w:tc>
          <w:tcPr>
            <w:tcW w:w="7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Ene.</w:t>
            </w:r>
          </w:p>
        </w:tc>
        <w:tc>
          <w:tcPr>
            <w:tcW w:w="709"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vAlign w:val="center"/>
          </w:tcPr>
          <w:p w:rsidR="00B20283" w:rsidRPr="00152568" w:rsidRDefault="00B20283" w:rsidP="00B20283">
            <w:pPr>
              <w:ind w:right="20"/>
              <w:jc w:val="center"/>
              <w:rPr>
                <w:b/>
                <w:color w:val="FFFFFF" w:themeColor="background1"/>
                <w:sz w:val="20"/>
                <w:szCs w:val="20"/>
              </w:rPr>
            </w:pPr>
            <w:r>
              <w:rPr>
                <w:b/>
                <w:color w:val="FFFFFF" w:themeColor="background1"/>
                <w:sz w:val="20"/>
                <w:szCs w:val="20"/>
              </w:rPr>
              <w:t>Feb.</w:t>
            </w:r>
          </w:p>
        </w:tc>
        <w:tc>
          <w:tcPr>
            <w:tcW w:w="1248"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B20283" w:rsidRDefault="00B20283" w:rsidP="00B20283">
            <w:pPr>
              <w:spacing w:before="120"/>
              <w:ind w:right="-79"/>
              <w:jc w:val="center"/>
              <w:rPr>
                <w:b/>
                <w:color w:val="FFFFFF" w:themeColor="background1"/>
                <w:sz w:val="20"/>
                <w:szCs w:val="20"/>
              </w:rPr>
            </w:pPr>
            <w:r>
              <w:rPr>
                <w:b/>
                <w:color w:val="FFFFFF" w:themeColor="background1"/>
                <w:sz w:val="20"/>
                <w:szCs w:val="20"/>
              </w:rPr>
              <w:t>Ene.</w:t>
            </w:r>
            <w:r w:rsidRPr="00152568">
              <w:rPr>
                <w:b/>
                <w:color w:val="FFFFFF" w:themeColor="background1"/>
                <w:sz w:val="20"/>
                <w:szCs w:val="20"/>
              </w:rPr>
              <w:t xml:space="preserve"> </w:t>
            </w:r>
            <w:r>
              <w:rPr>
                <w:b/>
                <w:color w:val="FFFFFF" w:themeColor="background1"/>
                <w:sz w:val="20"/>
                <w:szCs w:val="20"/>
              </w:rPr>
              <w:t>- feb.</w:t>
            </w:r>
            <w:r w:rsidRPr="00152568">
              <w:rPr>
                <w:b/>
                <w:color w:val="FFFFFF" w:themeColor="background1"/>
                <w:sz w:val="20"/>
                <w:szCs w:val="20"/>
              </w:rPr>
              <w:t xml:space="preserve"> </w:t>
            </w:r>
            <w:r>
              <w:rPr>
                <w:b/>
                <w:color w:val="FFFFFF" w:themeColor="background1"/>
                <w:sz w:val="20"/>
                <w:szCs w:val="20"/>
              </w:rPr>
              <w:t>2015</w:t>
            </w:r>
          </w:p>
        </w:tc>
        <w:tc>
          <w:tcPr>
            <w:tcW w:w="113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336600"/>
          </w:tcPr>
          <w:p w:rsidR="00B20283" w:rsidRPr="00152568" w:rsidRDefault="00B20283" w:rsidP="00B20283">
            <w:pPr>
              <w:spacing w:before="120"/>
              <w:ind w:right="-79"/>
              <w:jc w:val="center"/>
              <w:rPr>
                <w:b/>
                <w:color w:val="FFFFFF" w:themeColor="background1"/>
                <w:sz w:val="20"/>
                <w:szCs w:val="20"/>
              </w:rPr>
            </w:pPr>
            <w:r>
              <w:rPr>
                <w:b/>
                <w:color w:val="FFFFFF" w:themeColor="background1"/>
                <w:sz w:val="20"/>
                <w:szCs w:val="20"/>
              </w:rPr>
              <w:t>Feb.</w:t>
            </w:r>
            <w:r w:rsidRPr="00152568">
              <w:rPr>
                <w:b/>
                <w:color w:val="FFFFFF" w:themeColor="background1"/>
                <w:sz w:val="20"/>
                <w:szCs w:val="20"/>
              </w:rPr>
              <w:t xml:space="preserve"> </w:t>
            </w:r>
            <w:r>
              <w:rPr>
                <w:b/>
                <w:color w:val="FFFFFF" w:themeColor="background1"/>
                <w:sz w:val="20"/>
                <w:szCs w:val="20"/>
              </w:rPr>
              <w:t>2014</w:t>
            </w:r>
          </w:p>
          <w:p w:rsidR="00B20283" w:rsidRPr="00152568" w:rsidRDefault="00B20283" w:rsidP="00B20283">
            <w:pPr>
              <w:ind w:right="-77"/>
              <w:jc w:val="center"/>
              <w:rPr>
                <w:b/>
                <w:color w:val="FFFFFF" w:themeColor="background1"/>
                <w:sz w:val="20"/>
                <w:szCs w:val="20"/>
              </w:rPr>
            </w:pPr>
            <w:r w:rsidRPr="00152568">
              <w:rPr>
                <w:b/>
                <w:color w:val="FFFFFF" w:themeColor="background1"/>
                <w:sz w:val="20"/>
                <w:szCs w:val="20"/>
              </w:rPr>
              <w:t>a</w:t>
            </w:r>
          </w:p>
          <w:p w:rsidR="00B20283" w:rsidRDefault="00B20283" w:rsidP="00B20283">
            <w:pPr>
              <w:ind w:right="-77"/>
              <w:jc w:val="center"/>
              <w:rPr>
                <w:b/>
                <w:color w:val="FFFFFF" w:themeColor="background1"/>
                <w:sz w:val="20"/>
                <w:szCs w:val="20"/>
              </w:rPr>
            </w:pPr>
            <w:proofErr w:type="gramStart"/>
            <w:r>
              <w:rPr>
                <w:b/>
                <w:color w:val="FFFFFF" w:themeColor="background1"/>
                <w:sz w:val="20"/>
                <w:szCs w:val="20"/>
              </w:rPr>
              <w:t>feb</w:t>
            </w:r>
            <w:proofErr w:type="gramEnd"/>
            <w:r>
              <w:rPr>
                <w:b/>
                <w:color w:val="FFFFFF" w:themeColor="background1"/>
                <w:sz w:val="20"/>
                <w:szCs w:val="20"/>
              </w:rPr>
              <w:t>.</w:t>
            </w:r>
            <w:r w:rsidRPr="00152568">
              <w:rPr>
                <w:b/>
                <w:color w:val="FFFFFF" w:themeColor="background1"/>
                <w:sz w:val="20"/>
                <w:szCs w:val="20"/>
              </w:rPr>
              <w:t xml:space="preserve"> </w:t>
            </w:r>
            <w:r>
              <w:rPr>
                <w:b/>
                <w:color w:val="FFFFFF" w:themeColor="background1"/>
                <w:sz w:val="20"/>
                <w:szCs w:val="20"/>
              </w:rPr>
              <w:t>2015</w:t>
            </w:r>
          </w:p>
        </w:tc>
      </w:tr>
      <w:tr w:rsidR="001670BC" w:rsidRPr="00BA7A08" w:rsidTr="001670BC">
        <w:trPr>
          <w:jc w:val="center"/>
        </w:trPr>
        <w:tc>
          <w:tcPr>
            <w:tcW w:w="2591" w:type="dxa"/>
            <w:gridSpan w:val="2"/>
            <w:tcBorders>
              <w:top w:val="single" w:sz="4" w:space="0" w:color="auto"/>
            </w:tcBorders>
          </w:tcPr>
          <w:p w:rsidR="001670BC" w:rsidRPr="00BA7A08" w:rsidRDefault="001670BC" w:rsidP="001670BC">
            <w:pPr>
              <w:spacing w:before="120" w:after="120"/>
              <w:ind w:right="20"/>
              <w:rPr>
                <w:b/>
                <w:sz w:val="20"/>
                <w:szCs w:val="20"/>
              </w:rPr>
            </w:pPr>
            <w:r w:rsidRPr="00BA7A08">
              <w:rPr>
                <w:b/>
                <w:sz w:val="20"/>
                <w:szCs w:val="20"/>
              </w:rPr>
              <w:t>ÍNDICE GENERAL</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lang w:val="es-MX" w:eastAsia="es-MX"/>
              </w:rPr>
            </w:pPr>
            <w:r w:rsidRPr="001670BC">
              <w:rPr>
                <w:bCs/>
                <w:sz w:val="20"/>
                <w:szCs w:val="20"/>
              </w:rPr>
              <w:t>0.36</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0.44</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0.55</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0.81</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0.49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0.19</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0.10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3.00</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Alimentos, bebidas y tabaco</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0.94</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0.87</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0.21</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0.65</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1.38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-0.32</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-0.33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4.99</w:t>
            </w:r>
          </w:p>
        </w:tc>
      </w:tr>
      <w:tr w:rsidR="001670BC" w:rsidRPr="00BA7A08" w:rsidTr="001670BC">
        <w:trPr>
          <w:trHeight w:val="111"/>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Ropa, calzado y accesorios</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1.02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0.54</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0.25</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-0.09</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0.07</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-0.91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1.22</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0.30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2.09</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Vivienda</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0.04</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1.47</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2.22</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-0.01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-0.51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0.27</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-0.23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0.65</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Muebles, aparatos y accesorios domésticos</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0.57</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-0.02</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-0.21</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0.05</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0.43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0.36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0.39</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0.75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1.87</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Salud y cuidado personal</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0.23</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0.51</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-0.06</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0.20</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0.14</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0.44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0.43</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0.87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3.37</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Transporte</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0.03</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0.23</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0.31</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-0.03</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0.21</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0.20</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0.10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2.78</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Educación y esparcimiento</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1.22</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0.20</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0.13</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0.59</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0.28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0.26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3.54</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Otros servicios</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0.23</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51"/>
              <w:jc w:val="right"/>
              <w:rPr>
                <w:bCs/>
                <w:sz w:val="20"/>
                <w:szCs w:val="20"/>
              </w:rPr>
            </w:pPr>
            <w:r w:rsidRPr="001670BC">
              <w:rPr>
                <w:bCs/>
                <w:sz w:val="20"/>
                <w:szCs w:val="20"/>
              </w:rPr>
              <w:t>0.03</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61"/>
              <w:jc w:val="right"/>
              <w:rPr>
                <w:bCs/>
                <w:sz w:val="20"/>
                <w:szCs w:val="20"/>
              </w:rPr>
            </w:pPr>
            <w:r w:rsidRPr="001670BC">
              <w:rPr>
                <w:bCs/>
                <w:sz w:val="20"/>
                <w:szCs w:val="20"/>
              </w:rPr>
              <w:t>0.70</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0.55</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22"/>
              <w:jc w:val="right"/>
              <w:rPr>
                <w:bCs/>
                <w:sz w:val="20"/>
                <w:szCs w:val="20"/>
              </w:rPr>
            </w:pPr>
            <w:r w:rsidRPr="001670BC">
              <w:rPr>
                <w:bCs/>
                <w:sz w:val="20"/>
                <w:szCs w:val="20"/>
              </w:rPr>
              <w:t>0.42</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0.78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99"/>
              <w:jc w:val="right"/>
              <w:rPr>
                <w:bCs/>
                <w:sz w:val="20"/>
                <w:szCs w:val="20"/>
              </w:rPr>
            </w:pPr>
            <w:r w:rsidRPr="001670BC">
              <w:rPr>
                <w:bCs/>
                <w:sz w:val="20"/>
                <w:szCs w:val="20"/>
              </w:rPr>
              <w:t>0.38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67"/>
              <w:jc w:val="right"/>
              <w:rPr>
                <w:bCs/>
                <w:sz w:val="20"/>
                <w:szCs w:val="20"/>
              </w:rPr>
            </w:pPr>
            <w:r w:rsidRPr="001670BC">
              <w:rPr>
                <w:bCs/>
                <w:sz w:val="20"/>
                <w:szCs w:val="20"/>
              </w:rPr>
              <w:t>1.16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98"/>
              <w:jc w:val="right"/>
              <w:rPr>
                <w:bCs/>
                <w:sz w:val="20"/>
                <w:szCs w:val="20"/>
              </w:rPr>
            </w:pPr>
            <w:r w:rsidRPr="001670BC">
              <w:rPr>
                <w:bCs/>
                <w:sz w:val="20"/>
                <w:szCs w:val="20"/>
              </w:rPr>
              <w:t>5.43</w:t>
            </w:r>
          </w:p>
        </w:tc>
      </w:tr>
      <w:tr w:rsidR="00B20283" w:rsidRPr="00BA7A08" w:rsidTr="00B17B53">
        <w:trPr>
          <w:trHeight w:val="266"/>
          <w:jc w:val="center"/>
        </w:trPr>
        <w:tc>
          <w:tcPr>
            <w:tcW w:w="9925" w:type="dxa"/>
            <w:gridSpan w:val="11"/>
          </w:tcPr>
          <w:p w:rsidR="00B20283" w:rsidRPr="00B0187D" w:rsidRDefault="00B20283" w:rsidP="00B20283">
            <w:pPr>
              <w:ind w:right="355"/>
              <w:rPr>
                <w:bCs/>
                <w:sz w:val="20"/>
                <w:szCs w:val="20"/>
              </w:rPr>
            </w:pPr>
            <w:r w:rsidRPr="00BA7A08">
              <w:rPr>
                <w:b/>
                <w:sz w:val="20"/>
                <w:szCs w:val="20"/>
              </w:rPr>
              <w:t>ÍNDICES ESPECIALES</w:t>
            </w:r>
          </w:p>
        </w:tc>
      </w:tr>
      <w:tr w:rsidR="001670BC" w:rsidRPr="00BA7A08" w:rsidTr="001670BC">
        <w:trPr>
          <w:jc w:val="center"/>
        </w:trPr>
        <w:tc>
          <w:tcPr>
            <w:tcW w:w="2591" w:type="dxa"/>
            <w:gridSpan w:val="2"/>
          </w:tcPr>
          <w:p w:rsidR="001670BC" w:rsidRPr="00BA7A08" w:rsidRDefault="001670BC" w:rsidP="001670BC">
            <w:pPr>
              <w:spacing w:before="60" w:after="60"/>
              <w:ind w:right="14"/>
              <w:rPr>
                <w:sz w:val="20"/>
                <w:szCs w:val="20"/>
              </w:rPr>
            </w:pPr>
            <w:r w:rsidRPr="00BA7A08">
              <w:rPr>
                <w:sz w:val="20"/>
                <w:szCs w:val="20"/>
              </w:rPr>
              <w:t>Canasta Básica</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0.22</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37"/>
              <w:jc w:val="right"/>
              <w:rPr>
                <w:bCs/>
                <w:sz w:val="20"/>
                <w:szCs w:val="20"/>
              </w:rPr>
            </w:pPr>
            <w:r w:rsidRPr="001670BC">
              <w:rPr>
                <w:bCs/>
                <w:sz w:val="20"/>
                <w:szCs w:val="20"/>
              </w:rPr>
              <w:t>0.25</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33"/>
              <w:jc w:val="right"/>
              <w:rPr>
                <w:bCs/>
                <w:sz w:val="20"/>
                <w:szCs w:val="20"/>
              </w:rPr>
            </w:pPr>
            <w:r w:rsidRPr="001670BC">
              <w:rPr>
                <w:bCs/>
                <w:sz w:val="20"/>
                <w:szCs w:val="20"/>
              </w:rPr>
              <w:t>1.25</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1.73</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36"/>
              <w:jc w:val="right"/>
              <w:rPr>
                <w:bCs/>
                <w:sz w:val="20"/>
                <w:szCs w:val="20"/>
              </w:rPr>
            </w:pPr>
            <w:r w:rsidRPr="001670BC">
              <w:rPr>
                <w:bCs/>
                <w:sz w:val="20"/>
                <w:szCs w:val="20"/>
              </w:rPr>
              <w:t>0.20</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0.32</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53"/>
              <w:jc w:val="right"/>
              <w:rPr>
                <w:bCs/>
                <w:sz w:val="20"/>
                <w:szCs w:val="20"/>
              </w:rPr>
            </w:pPr>
            <w:r w:rsidRPr="001670BC">
              <w:rPr>
                <w:bCs/>
                <w:sz w:val="20"/>
                <w:szCs w:val="20"/>
              </w:rPr>
              <w:t>0.37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84"/>
              <w:jc w:val="right"/>
              <w:rPr>
                <w:bCs/>
                <w:sz w:val="20"/>
                <w:szCs w:val="20"/>
              </w:rPr>
            </w:pPr>
            <w:r w:rsidRPr="001670BC">
              <w:rPr>
                <w:bCs/>
                <w:sz w:val="20"/>
                <w:szCs w:val="20"/>
              </w:rPr>
              <w:t>2.97</w:t>
            </w:r>
          </w:p>
        </w:tc>
      </w:tr>
      <w:tr w:rsidR="001670BC" w:rsidRPr="00BA7A08" w:rsidTr="001670BC">
        <w:trPr>
          <w:jc w:val="center"/>
        </w:trPr>
        <w:tc>
          <w:tcPr>
            <w:tcW w:w="2591" w:type="dxa"/>
            <w:gridSpan w:val="2"/>
          </w:tcPr>
          <w:p w:rsidR="001670BC" w:rsidRPr="00BA7A08" w:rsidRDefault="001670BC" w:rsidP="001670BC">
            <w:pPr>
              <w:spacing w:before="60" w:after="60"/>
              <w:ind w:right="20"/>
              <w:rPr>
                <w:sz w:val="20"/>
                <w:szCs w:val="20"/>
              </w:rPr>
            </w:pPr>
            <w:r w:rsidRPr="00BA7A08">
              <w:rPr>
                <w:sz w:val="20"/>
                <w:szCs w:val="20"/>
              </w:rPr>
              <w:t xml:space="preserve">Subyacente </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0.21</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37"/>
              <w:jc w:val="right"/>
              <w:rPr>
                <w:bCs/>
                <w:sz w:val="20"/>
                <w:szCs w:val="20"/>
              </w:rPr>
            </w:pPr>
            <w:r w:rsidRPr="001670BC">
              <w:rPr>
                <w:bCs/>
                <w:sz w:val="20"/>
                <w:szCs w:val="20"/>
              </w:rPr>
              <w:t>0.29</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33"/>
              <w:jc w:val="right"/>
              <w:rPr>
                <w:bCs/>
                <w:sz w:val="20"/>
                <w:szCs w:val="20"/>
              </w:rPr>
            </w:pPr>
            <w:r w:rsidRPr="001670BC">
              <w:rPr>
                <w:bCs/>
                <w:sz w:val="20"/>
                <w:szCs w:val="20"/>
              </w:rPr>
              <w:t>0.17</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0.16</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36"/>
              <w:jc w:val="right"/>
              <w:rPr>
                <w:bCs/>
                <w:sz w:val="20"/>
                <w:szCs w:val="20"/>
              </w:rPr>
            </w:pPr>
            <w:r w:rsidRPr="001670BC">
              <w:rPr>
                <w:bCs/>
                <w:sz w:val="20"/>
                <w:szCs w:val="20"/>
              </w:rPr>
              <w:t>0.23</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-0.03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0.34</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53"/>
              <w:jc w:val="right"/>
              <w:rPr>
                <w:bCs/>
                <w:sz w:val="20"/>
                <w:szCs w:val="20"/>
              </w:rPr>
            </w:pPr>
            <w:r w:rsidRPr="001670BC">
              <w:rPr>
                <w:bCs/>
                <w:sz w:val="20"/>
                <w:szCs w:val="20"/>
              </w:rPr>
              <w:t>0.31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84"/>
              <w:jc w:val="right"/>
              <w:rPr>
                <w:bCs/>
                <w:sz w:val="20"/>
                <w:szCs w:val="20"/>
              </w:rPr>
            </w:pPr>
            <w:r w:rsidRPr="001670BC">
              <w:rPr>
                <w:bCs/>
                <w:sz w:val="20"/>
                <w:szCs w:val="20"/>
              </w:rPr>
              <w:t>2.40</w:t>
            </w:r>
          </w:p>
        </w:tc>
      </w:tr>
      <w:tr w:rsidR="001670BC" w:rsidRPr="00BA7A08" w:rsidTr="001670BC">
        <w:trPr>
          <w:jc w:val="center"/>
        </w:trPr>
        <w:tc>
          <w:tcPr>
            <w:tcW w:w="2591" w:type="dxa"/>
            <w:gridSpan w:val="2"/>
            <w:tcBorders>
              <w:bottom w:val="single" w:sz="4" w:space="0" w:color="auto"/>
            </w:tcBorders>
          </w:tcPr>
          <w:p w:rsidR="001670BC" w:rsidRPr="00BA7A08" w:rsidRDefault="001670BC" w:rsidP="001670BC">
            <w:pPr>
              <w:spacing w:before="60" w:after="60"/>
              <w:ind w:right="20"/>
              <w:rPr>
                <w:sz w:val="20"/>
                <w:szCs w:val="20"/>
              </w:rPr>
            </w:pPr>
            <w:r w:rsidRPr="00BA7A08">
              <w:rPr>
                <w:sz w:val="20"/>
                <w:szCs w:val="20"/>
              </w:rPr>
              <w:t>No subyacente</w:t>
            </w:r>
          </w:p>
        </w:tc>
        <w:tc>
          <w:tcPr>
            <w:tcW w:w="775" w:type="dxa"/>
            <w:tcBorders>
              <w:top w:val="single" w:sz="4" w:space="0" w:color="auto"/>
              <w:left w:val="nil"/>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0.83</w:t>
            </w:r>
          </w:p>
        </w:tc>
        <w:tc>
          <w:tcPr>
            <w:tcW w:w="657"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37"/>
              <w:jc w:val="right"/>
              <w:rPr>
                <w:bCs/>
                <w:sz w:val="20"/>
                <w:szCs w:val="20"/>
              </w:rPr>
            </w:pPr>
            <w:r w:rsidRPr="001670BC">
              <w:rPr>
                <w:bCs/>
                <w:sz w:val="20"/>
                <w:szCs w:val="20"/>
              </w:rPr>
              <w:t>0.92</w:t>
            </w:r>
          </w:p>
        </w:tc>
        <w:tc>
          <w:tcPr>
            <w:tcW w:w="65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D17590">
            <w:pPr>
              <w:ind w:left="-856" w:right="33"/>
              <w:jc w:val="right"/>
              <w:rPr>
                <w:bCs/>
                <w:sz w:val="20"/>
                <w:szCs w:val="20"/>
              </w:rPr>
            </w:pPr>
            <w:r w:rsidRPr="001670BC">
              <w:rPr>
                <w:bCs/>
                <w:sz w:val="20"/>
                <w:szCs w:val="20"/>
              </w:rPr>
              <w:t>1.79</w:t>
            </w:r>
          </w:p>
        </w:tc>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2.83</w:t>
            </w:r>
          </w:p>
        </w:tc>
        <w:tc>
          <w:tcPr>
            <w:tcW w:w="764"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136"/>
              <w:jc w:val="right"/>
              <w:rPr>
                <w:bCs/>
                <w:sz w:val="20"/>
                <w:szCs w:val="20"/>
              </w:rPr>
            </w:pPr>
            <w:r w:rsidRPr="001670BC">
              <w:rPr>
                <w:bCs/>
                <w:sz w:val="20"/>
                <w:szCs w:val="20"/>
              </w:rPr>
              <w:t>1.28</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80"/>
              <w:jc w:val="right"/>
              <w:rPr>
                <w:bCs/>
                <w:sz w:val="20"/>
                <w:szCs w:val="20"/>
              </w:rPr>
            </w:pPr>
            <w:r w:rsidRPr="001670BC">
              <w:rPr>
                <w:bCs/>
                <w:sz w:val="20"/>
                <w:szCs w:val="20"/>
              </w:rPr>
              <w:t>-0.27</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353"/>
              <w:jc w:val="right"/>
              <w:rPr>
                <w:bCs/>
                <w:sz w:val="20"/>
                <w:szCs w:val="20"/>
              </w:rPr>
            </w:pPr>
            <w:r w:rsidRPr="001670BC">
              <w:rPr>
                <w:bCs/>
                <w:sz w:val="20"/>
                <w:szCs w:val="20"/>
              </w:rPr>
              <w:t>-0.53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rsidR="001670BC" w:rsidRPr="001670BC" w:rsidRDefault="001670BC" w:rsidP="001670BC">
            <w:pPr>
              <w:ind w:left="-856" w:right="284"/>
              <w:jc w:val="right"/>
              <w:rPr>
                <w:bCs/>
                <w:sz w:val="20"/>
                <w:szCs w:val="20"/>
              </w:rPr>
            </w:pPr>
            <w:r w:rsidRPr="001670BC">
              <w:rPr>
                <w:bCs/>
                <w:sz w:val="20"/>
                <w:szCs w:val="20"/>
              </w:rPr>
              <w:t>4.88</w:t>
            </w:r>
          </w:p>
        </w:tc>
      </w:tr>
      <w:tr w:rsidR="00B20283" w:rsidRPr="00BA7A08" w:rsidTr="00B20283">
        <w:trPr>
          <w:jc w:val="center"/>
        </w:trPr>
        <w:tc>
          <w:tcPr>
            <w:tcW w:w="1058" w:type="dxa"/>
            <w:tcBorders>
              <w:left w:val="nil"/>
              <w:bottom w:val="nil"/>
              <w:right w:val="nil"/>
            </w:tcBorders>
          </w:tcPr>
          <w:p w:rsidR="00B20283" w:rsidRPr="00BA7A08" w:rsidRDefault="00B20283" w:rsidP="00B20283">
            <w:pPr>
              <w:tabs>
                <w:tab w:val="left" w:pos="176"/>
                <w:tab w:val="left" w:pos="743"/>
              </w:tabs>
              <w:spacing w:before="120"/>
              <w:ind w:left="877" w:right="11" w:hanging="877"/>
              <w:jc w:val="right"/>
              <w:rPr>
                <w:sz w:val="18"/>
                <w:szCs w:val="18"/>
              </w:rPr>
            </w:pPr>
            <w:r w:rsidRPr="00E1013C">
              <w:rPr>
                <w:sz w:val="20"/>
                <w:szCs w:val="20"/>
              </w:rPr>
              <w:t>FUENTE:</w:t>
            </w:r>
          </w:p>
        </w:tc>
        <w:tc>
          <w:tcPr>
            <w:tcW w:w="8867" w:type="dxa"/>
            <w:gridSpan w:val="10"/>
            <w:tcBorders>
              <w:left w:val="nil"/>
              <w:bottom w:val="nil"/>
              <w:right w:val="nil"/>
            </w:tcBorders>
          </w:tcPr>
          <w:p w:rsidR="00B20283" w:rsidRPr="00BA7A08" w:rsidRDefault="00B20283" w:rsidP="00B20283">
            <w:pPr>
              <w:spacing w:before="120"/>
              <w:ind w:left="-104" w:right="11"/>
              <w:jc w:val="both"/>
              <w:rPr>
                <w:sz w:val="18"/>
                <w:szCs w:val="18"/>
              </w:rPr>
            </w:pPr>
            <w:r w:rsidRPr="00E1013C">
              <w:rPr>
                <w:sz w:val="20"/>
                <w:szCs w:val="20"/>
              </w:rPr>
              <w:t>Elaborado por la Comisión Nacional de los Salarios Mínimos con información del Instituto Nacional de Estadística y Geografía.</w:t>
            </w:r>
          </w:p>
        </w:tc>
      </w:tr>
    </w:tbl>
    <w:p w:rsidR="00364D4D" w:rsidRPr="007D4997" w:rsidRDefault="00364D4D" w:rsidP="00364D4D">
      <w:pPr>
        <w:spacing w:line="360" w:lineRule="auto"/>
        <w:ind w:right="23"/>
        <w:jc w:val="both"/>
        <w:rPr>
          <w:sz w:val="20"/>
          <w:szCs w:val="26"/>
        </w:rPr>
      </w:pPr>
    </w:p>
    <w:p w:rsidR="00364D4D" w:rsidRDefault="00364D4D" w:rsidP="00364D4D">
      <w:pPr>
        <w:spacing w:line="360" w:lineRule="auto"/>
        <w:ind w:right="20"/>
        <w:jc w:val="both"/>
        <w:rPr>
          <w:sz w:val="20"/>
          <w:szCs w:val="20"/>
        </w:rPr>
      </w:pPr>
    </w:p>
    <w:p w:rsidR="00364D4D" w:rsidRPr="00B87EF8" w:rsidRDefault="00364D4D" w:rsidP="00364D4D">
      <w:pPr>
        <w:spacing w:line="360" w:lineRule="auto"/>
        <w:ind w:right="20"/>
        <w:jc w:val="both"/>
        <w:rPr>
          <w:sz w:val="26"/>
          <w:szCs w:val="26"/>
        </w:rPr>
      </w:pPr>
    </w:p>
    <w:p w:rsidR="00364D4D" w:rsidRPr="00667CD9" w:rsidRDefault="00364D4D" w:rsidP="00364D4D">
      <w:pPr>
        <w:pStyle w:val="Ttulo1"/>
        <w:jc w:val="left"/>
        <w:rPr>
          <w:sz w:val="26"/>
          <w:szCs w:val="26"/>
        </w:rPr>
      </w:pPr>
      <w:r>
        <w:br w:type="page"/>
      </w:r>
    </w:p>
    <w:p w:rsidR="007D229E" w:rsidRPr="00E313B7" w:rsidRDefault="007D229E" w:rsidP="007D229E">
      <w:pPr>
        <w:keepNext/>
        <w:spacing w:before="240" w:after="360"/>
        <w:ind w:right="23"/>
        <w:outlineLvl w:val="0"/>
        <w:rPr>
          <w:b/>
          <w:color w:val="0000FF"/>
          <w:sz w:val="26"/>
          <w:szCs w:val="26"/>
        </w:rPr>
      </w:pPr>
      <w:r w:rsidRPr="00E313B7">
        <w:rPr>
          <w:b/>
          <w:color w:val="0000FF"/>
          <w:sz w:val="26"/>
          <w:szCs w:val="26"/>
        </w:rPr>
        <w:lastRenderedPageBreak/>
        <w:t>Encuesta de Establecimientos Comerciales (ANTAD)</w:t>
      </w:r>
    </w:p>
    <w:p w:rsidR="007D229E" w:rsidRPr="00E17346" w:rsidRDefault="007D229E" w:rsidP="007D229E">
      <w:pPr>
        <w:spacing w:after="360" w:line="360" w:lineRule="auto"/>
        <w:ind w:right="20"/>
        <w:jc w:val="both"/>
        <w:rPr>
          <w:sz w:val="26"/>
          <w:szCs w:val="26"/>
        </w:rPr>
      </w:pPr>
      <w:r w:rsidRPr="00E17346">
        <w:rPr>
          <w:sz w:val="26"/>
          <w:szCs w:val="26"/>
        </w:rPr>
        <w:t>La Asociación Nacional de Tiendas de Autoservicio y Departamentales (ANTAD), en su Informe publicado el 10 de marzo de 2015, mencionó que, en el mes de febrero, la evolución del Índice de Ventas a Tiendas Totales registró un crecimiento nominal de 8.7%, nivel mayor en 4.5 puntos porcentuales, respecto al observado en el mismo mes de un año antes (4.2%).</w:t>
      </w:r>
    </w:p>
    <w:tbl>
      <w:tblPr>
        <w:tblStyle w:val="Tablaconcuadrcula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0"/>
        <w:gridCol w:w="20"/>
      </w:tblGrid>
      <w:tr w:rsidR="007D229E" w:rsidRPr="00B92F14" w:rsidTr="004B3C2F">
        <w:tc>
          <w:tcPr>
            <w:tcW w:w="8980" w:type="dxa"/>
            <w:gridSpan w:val="2"/>
          </w:tcPr>
          <w:p w:rsidR="007D229E" w:rsidRPr="00B92F14" w:rsidRDefault="007D229E" w:rsidP="004B3C2F">
            <w:pPr>
              <w:jc w:val="center"/>
              <w:rPr>
                <w:b/>
                <w:sz w:val="22"/>
                <w:szCs w:val="22"/>
                <w:lang w:val="es-MX"/>
              </w:rPr>
            </w:pPr>
            <w:r w:rsidRPr="00B92F14">
              <w:rPr>
                <w:b/>
                <w:sz w:val="22"/>
                <w:szCs w:val="22"/>
                <w:lang w:val="es-MX"/>
              </w:rPr>
              <w:t>ÍNDICE DE VENTAS, ASOCIACIÓN NACIONAL DE TIENDAS DE</w:t>
            </w:r>
          </w:p>
          <w:p w:rsidR="007D229E" w:rsidRPr="00B92F14" w:rsidRDefault="007D229E" w:rsidP="004B3C2F">
            <w:pPr>
              <w:jc w:val="center"/>
              <w:rPr>
                <w:b/>
                <w:sz w:val="22"/>
                <w:szCs w:val="22"/>
                <w:lang w:val="es-MX"/>
              </w:rPr>
            </w:pPr>
            <w:r w:rsidRPr="00B92F14">
              <w:rPr>
                <w:b/>
                <w:sz w:val="22"/>
                <w:szCs w:val="22"/>
                <w:lang w:val="es-MX"/>
              </w:rPr>
              <w:t>AUTOSERVICIO Y DEPARTAMENTALES</w:t>
            </w:r>
          </w:p>
          <w:p w:rsidR="007D229E" w:rsidRPr="00B92F14" w:rsidRDefault="007D229E" w:rsidP="004B3C2F">
            <w:pPr>
              <w:jc w:val="center"/>
              <w:rPr>
                <w:b/>
                <w:sz w:val="20"/>
                <w:szCs w:val="20"/>
                <w:lang w:val="es-MX"/>
              </w:rPr>
            </w:pPr>
            <w:r w:rsidRPr="00B92F14">
              <w:rPr>
                <w:b/>
                <w:sz w:val="20"/>
                <w:szCs w:val="20"/>
                <w:lang w:val="es-MX"/>
              </w:rPr>
              <w:t>- Crecimiento Mensual Nominal -</w:t>
            </w:r>
          </w:p>
          <w:p w:rsidR="007D229E" w:rsidRPr="00B92F14" w:rsidRDefault="00901565" w:rsidP="004B3C2F">
            <w:pPr>
              <w:jc w:val="center"/>
              <w:rPr>
                <w:b/>
                <w:sz w:val="20"/>
                <w:szCs w:val="20"/>
                <w:lang w:val="es-MX"/>
              </w:rPr>
            </w:pPr>
            <w:r>
              <w:rPr>
                <w:b/>
                <w:sz w:val="20"/>
                <w:szCs w:val="20"/>
                <w:lang w:val="es-MX"/>
              </w:rPr>
              <w:t>Enero</w:t>
            </w:r>
            <w:r w:rsidR="007D229E">
              <w:rPr>
                <w:b/>
                <w:sz w:val="20"/>
                <w:szCs w:val="20"/>
                <w:lang w:val="es-MX"/>
              </w:rPr>
              <w:t xml:space="preserve"> 2</w:t>
            </w:r>
            <w:r w:rsidR="007D229E" w:rsidRPr="00B92F14">
              <w:rPr>
                <w:b/>
                <w:sz w:val="20"/>
                <w:szCs w:val="20"/>
                <w:lang w:val="es-MX"/>
              </w:rPr>
              <w:t xml:space="preserve">013 – </w:t>
            </w:r>
            <w:r w:rsidR="007D229E">
              <w:rPr>
                <w:b/>
                <w:sz w:val="20"/>
                <w:szCs w:val="20"/>
                <w:lang w:val="es-MX"/>
              </w:rPr>
              <w:t>febrero</w:t>
            </w:r>
            <w:r w:rsidR="007D229E" w:rsidRPr="00B92F14">
              <w:rPr>
                <w:b/>
                <w:sz w:val="20"/>
                <w:szCs w:val="20"/>
                <w:lang w:val="es-MX"/>
              </w:rPr>
              <w:t xml:space="preserve"> 201</w:t>
            </w:r>
            <w:r w:rsidR="007D229E">
              <w:rPr>
                <w:b/>
                <w:sz w:val="20"/>
                <w:szCs w:val="20"/>
                <w:lang w:val="es-MX"/>
              </w:rPr>
              <w:t>5</w:t>
            </w:r>
          </w:p>
          <w:p w:rsidR="007D229E" w:rsidRPr="00B92F14" w:rsidRDefault="007D229E" w:rsidP="004B3C2F">
            <w:pPr>
              <w:jc w:val="center"/>
              <w:rPr>
                <w:b/>
                <w:sz w:val="20"/>
                <w:szCs w:val="20"/>
                <w:lang w:val="es-MX"/>
              </w:rPr>
            </w:pPr>
            <w:r w:rsidRPr="00B92F14">
              <w:rPr>
                <w:b/>
                <w:sz w:val="22"/>
                <w:szCs w:val="22"/>
              </w:rPr>
              <w:t>- Por ciento -</w:t>
            </w:r>
          </w:p>
        </w:tc>
      </w:tr>
      <w:tr w:rsidR="007D229E" w:rsidRPr="00B92F14" w:rsidTr="004B3C2F">
        <w:trPr>
          <w:gridAfter w:val="1"/>
          <w:wAfter w:w="23" w:type="dxa"/>
        </w:trPr>
        <w:tc>
          <w:tcPr>
            <w:tcW w:w="8957" w:type="dxa"/>
          </w:tcPr>
          <w:p w:rsidR="007D229E" w:rsidRPr="00B92F14" w:rsidRDefault="007D229E" w:rsidP="004B3C2F">
            <w:pPr>
              <w:ind w:right="20"/>
              <w:jc w:val="both"/>
              <w:rPr>
                <w:color w:val="D0CECE" w:themeColor="background2" w:themeShade="E6"/>
                <w:sz w:val="2"/>
                <w:szCs w:val="26"/>
              </w:rPr>
            </w:pPr>
            <w:r w:rsidRPr="00B92F14">
              <w:rPr>
                <w:noProof/>
                <w:color w:val="D0CECE" w:themeColor="background2" w:themeShade="E6"/>
                <w:sz w:val="2"/>
                <w:szCs w:val="26"/>
                <w:lang w:val="es-MX" w:eastAsia="es-MX"/>
              </w:rPr>
              <w:drawing>
                <wp:anchor distT="0" distB="0" distL="114300" distR="114300" simplePos="0" relativeHeight="251709440" behindDoc="0" locked="0" layoutInCell="1" allowOverlap="1" wp14:anchorId="7D8AC947" wp14:editId="5058A506">
                  <wp:simplePos x="0" y="0"/>
                  <wp:positionH relativeFrom="column">
                    <wp:posOffset>273314</wp:posOffset>
                  </wp:positionH>
                  <wp:positionV relativeFrom="paragraph">
                    <wp:posOffset>31905</wp:posOffset>
                  </wp:positionV>
                  <wp:extent cx="5086350" cy="3076575"/>
                  <wp:effectExtent l="0" t="0" r="0" b="9525"/>
                  <wp:wrapTopAndBottom/>
                  <wp:docPr id="23" name="Objeto 30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tc>
      </w:tr>
      <w:tr w:rsidR="007D229E" w:rsidRPr="00B92F14" w:rsidTr="004B3C2F">
        <w:tc>
          <w:tcPr>
            <w:tcW w:w="8980" w:type="dxa"/>
            <w:gridSpan w:val="2"/>
          </w:tcPr>
          <w:p w:rsidR="007D229E" w:rsidRPr="00B92F14" w:rsidRDefault="007D229E" w:rsidP="004B3C2F">
            <w:pPr>
              <w:ind w:left="1288" w:right="351" w:hanging="868"/>
              <w:jc w:val="both"/>
              <w:rPr>
                <w:sz w:val="26"/>
                <w:szCs w:val="26"/>
              </w:rPr>
            </w:pPr>
            <w:r w:rsidRPr="00B92F14">
              <w:rPr>
                <w:sz w:val="20"/>
                <w:szCs w:val="20"/>
              </w:rPr>
              <w:t>FUENTE: Elaborado por la Comisión Nacional de los Salarios Mínimos con información de la Asociación Nacional de Tiendas de Autoservicio y Departamentales.</w:t>
            </w:r>
          </w:p>
        </w:tc>
      </w:tr>
    </w:tbl>
    <w:p w:rsidR="007D229E" w:rsidRDefault="007D229E" w:rsidP="007D229E">
      <w:pPr>
        <w:spacing w:line="360" w:lineRule="auto"/>
        <w:ind w:right="20"/>
        <w:jc w:val="both"/>
        <w:rPr>
          <w:b/>
          <w:color w:val="000000"/>
          <w:sz w:val="26"/>
          <w:szCs w:val="26"/>
        </w:rPr>
      </w:pPr>
    </w:p>
    <w:p w:rsidR="007D229E" w:rsidRPr="00E313B7" w:rsidRDefault="007D229E" w:rsidP="007D229E">
      <w:pPr>
        <w:spacing w:line="360" w:lineRule="auto"/>
        <w:ind w:right="20"/>
        <w:jc w:val="both"/>
        <w:rPr>
          <w:b/>
          <w:color w:val="0000FF"/>
          <w:sz w:val="26"/>
          <w:szCs w:val="26"/>
        </w:rPr>
      </w:pPr>
      <w:r>
        <w:rPr>
          <w:b/>
          <w:color w:val="000000"/>
          <w:sz w:val="26"/>
          <w:szCs w:val="26"/>
        </w:rPr>
        <w:br w:type="column"/>
      </w:r>
      <w:r w:rsidRPr="00E313B7">
        <w:rPr>
          <w:b/>
          <w:color w:val="0000FF"/>
          <w:sz w:val="26"/>
          <w:szCs w:val="26"/>
        </w:rPr>
        <w:lastRenderedPageBreak/>
        <w:t>Crecimiento Mensual Nominal de ANTAD</w:t>
      </w:r>
    </w:p>
    <w:p w:rsidR="007D229E" w:rsidRPr="001F1CE3" w:rsidRDefault="007D229E" w:rsidP="007D229E">
      <w:pPr>
        <w:autoSpaceDE w:val="0"/>
        <w:autoSpaceDN w:val="0"/>
        <w:adjustRightInd w:val="0"/>
        <w:spacing w:before="360" w:after="360" w:line="360" w:lineRule="auto"/>
        <w:jc w:val="both"/>
        <w:rPr>
          <w:color w:val="000000"/>
          <w:sz w:val="26"/>
          <w:szCs w:val="26"/>
        </w:rPr>
      </w:pPr>
      <w:r w:rsidRPr="001F1CE3">
        <w:rPr>
          <w:color w:val="000000"/>
          <w:sz w:val="26"/>
          <w:szCs w:val="26"/>
        </w:rPr>
        <w:t xml:space="preserve">Respecto al crecimiento mensual nominal de las ventas de las Cadenas Asociadas a la ANTAD a unidades iguales, sin incluir nuevas tiendas, la ANTAD publicó que éste presentó un incremento de 5.1%, lo cual se debió al desempeño de </w:t>
      </w:r>
      <w:r>
        <w:rPr>
          <w:color w:val="000000"/>
          <w:sz w:val="26"/>
          <w:szCs w:val="26"/>
        </w:rPr>
        <w:t>mercancías generales (6.7%)</w:t>
      </w:r>
      <w:r w:rsidRPr="001F1CE3">
        <w:rPr>
          <w:color w:val="000000"/>
          <w:sz w:val="26"/>
          <w:szCs w:val="26"/>
        </w:rPr>
        <w:t xml:space="preserve">. Asimismo, por tipo de tienda, sobresalen las tiendas departamentales con </w:t>
      </w:r>
      <w:r>
        <w:rPr>
          <w:color w:val="000000"/>
          <w:sz w:val="26"/>
          <w:szCs w:val="26"/>
        </w:rPr>
        <w:t>7.7</w:t>
      </w:r>
      <w:r w:rsidRPr="001F1CE3">
        <w:rPr>
          <w:color w:val="000000"/>
          <w:sz w:val="26"/>
          <w:szCs w:val="26"/>
        </w:rPr>
        <w:t xml:space="preserve">%. Por su parte, el alza de 8.7% a unidades totales se debió, principalmente, al desempeño de </w:t>
      </w:r>
      <w:r>
        <w:rPr>
          <w:color w:val="000000"/>
          <w:sz w:val="26"/>
          <w:szCs w:val="26"/>
        </w:rPr>
        <w:t xml:space="preserve">mercancías generales </w:t>
      </w:r>
      <w:r w:rsidR="00DF19A7">
        <w:rPr>
          <w:color w:val="000000"/>
          <w:sz w:val="26"/>
          <w:szCs w:val="26"/>
        </w:rPr>
        <w:t xml:space="preserve">con </w:t>
      </w:r>
      <w:r w:rsidR="00DF19A7" w:rsidRPr="001F1CE3">
        <w:rPr>
          <w:color w:val="000000"/>
          <w:sz w:val="26"/>
          <w:szCs w:val="26"/>
        </w:rPr>
        <w:t>10.1</w:t>
      </w:r>
      <w:r w:rsidRPr="001F1CE3">
        <w:rPr>
          <w:color w:val="000000"/>
          <w:sz w:val="26"/>
          <w:szCs w:val="26"/>
        </w:rPr>
        <w:t xml:space="preserve">%; además de ello, por tipo de tienda, resaltaron las tiendas departamentales </w:t>
      </w:r>
      <w:r>
        <w:rPr>
          <w:color w:val="000000"/>
          <w:sz w:val="26"/>
          <w:szCs w:val="26"/>
        </w:rPr>
        <w:t xml:space="preserve">y especializadas </w:t>
      </w:r>
      <w:r w:rsidRPr="001F1CE3">
        <w:rPr>
          <w:color w:val="000000"/>
          <w:sz w:val="26"/>
          <w:szCs w:val="26"/>
        </w:rPr>
        <w:t xml:space="preserve">con </w:t>
      </w:r>
      <w:r>
        <w:rPr>
          <w:color w:val="000000"/>
          <w:sz w:val="26"/>
          <w:szCs w:val="26"/>
        </w:rPr>
        <w:t>11.9%, cada una</w:t>
      </w:r>
      <w:r w:rsidRPr="001F1CE3">
        <w:rPr>
          <w:color w:val="000000"/>
          <w:sz w:val="26"/>
          <w:szCs w:val="26"/>
        </w:rPr>
        <w:t>.</w:t>
      </w:r>
    </w:p>
    <w:tbl>
      <w:tblPr>
        <w:tblW w:w="5990" w:type="dxa"/>
        <w:jc w:val="center"/>
        <w:tblCellMar>
          <w:left w:w="70" w:type="dxa"/>
          <w:right w:w="70" w:type="dxa"/>
        </w:tblCellMar>
        <w:tblLook w:val="04A0" w:firstRow="1" w:lastRow="0" w:firstColumn="1" w:lastColumn="0" w:noHBand="0" w:noVBand="1"/>
      </w:tblPr>
      <w:tblGrid>
        <w:gridCol w:w="3101"/>
        <w:gridCol w:w="1416"/>
        <w:gridCol w:w="1473"/>
      </w:tblGrid>
      <w:tr w:rsidR="007D229E" w:rsidRPr="00B92F14" w:rsidTr="004B3C2F">
        <w:trPr>
          <w:trHeight w:val="300"/>
          <w:jc w:val="center"/>
        </w:trPr>
        <w:tc>
          <w:tcPr>
            <w:tcW w:w="5990" w:type="dxa"/>
            <w:gridSpan w:val="3"/>
            <w:tcBorders>
              <w:top w:val="nil"/>
              <w:left w:val="nil"/>
              <w:bottom w:val="single" w:sz="4" w:space="0" w:color="auto"/>
              <w:right w:val="nil"/>
            </w:tcBorders>
            <w:shd w:val="clear" w:color="auto" w:fill="auto"/>
            <w:noWrap/>
            <w:vAlign w:val="bottom"/>
            <w:hideMark/>
          </w:tcPr>
          <w:p w:rsidR="007D229E" w:rsidRPr="00B92F14" w:rsidRDefault="007D229E" w:rsidP="004B3C2F">
            <w:pPr>
              <w:autoSpaceDE w:val="0"/>
              <w:autoSpaceDN w:val="0"/>
              <w:adjustRightInd w:val="0"/>
              <w:jc w:val="center"/>
              <w:rPr>
                <w:b/>
                <w:color w:val="000000"/>
                <w:sz w:val="22"/>
                <w:szCs w:val="22"/>
              </w:rPr>
            </w:pPr>
            <w:r w:rsidRPr="00B92F14">
              <w:rPr>
                <w:b/>
                <w:color w:val="000000"/>
                <w:sz w:val="22"/>
                <w:szCs w:val="22"/>
              </w:rPr>
              <w:t>DESEMPEÑO EN VENTAS DE LAS TIENDAS ASOCIADAS A LA ANTAD</w:t>
            </w:r>
          </w:p>
          <w:p w:rsidR="007D229E" w:rsidRPr="00B92F14" w:rsidRDefault="007D229E" w:rsidP="004B3C2F">
            <w:pPr>
              <w:autoSpaceDE w:val="0"/>
              <w:autoSpaceDN w:val="0"/>
              <w:adjustRightInd w:val="0"/>
              <w:jc w:val="center"/>
              <w:rPr>
                <w:color w:val="000000"/>
              </w:rPr>
            </w:pPr>
            <w:r w:rsidRPr="00B92F14">
              <w:rPr>
                <w:color w:val="000000"/>
                <w:sz w:val="22"/>
                <w:szCs w:val="22"/>
              </w:rPr>
              <w:t>- Crecimiento Mensual Nominal -</w:t>
            </w:r>
          </w:p>
        </w:tc>
      </w:tr>
      <w:tr w:rsidR="007D229E" w:rsidRPr="00B92F14" w:rsidTr="004B3C2F">
        <w:trPr>
          <w:trHeight w:val="300"/>
          <w:jc w:val="center"/>
        </w:trPr>
        <w:tc>
          <w:tcPr>
            <w:tcW w:w="4517" w:type="dxa"/>
            <w:gridSpan w:val="2"/>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bottom"/>
            <w:hideMark/>
          </w:tcPr>
          <w:p w:rsidR="007D229E" w:rsidRPr="00B92F14" w:rsidRDefault="007D229E" w:rsidP="004B3C2F">
            <w:pPr>
              <w:jc w:val="center"/>
              <w:rPr>
                <w:color w:val="000000" w:themeColor="text1"/>
                <w:sz w:val="20"/>
                <w:szCs w:val="20"/>
              </w:rPr>
            </w:pPr>
            <w:r w:rsidRPr="00B92F14">
              <w:rPr>
                <w:color w:val="000000" w:themeColor="text1"/>
                <w:sz w:val="20"/>
                <w:szCs w:val="20"/>
              </w:rPr>
              <w:t> </w:t>
            </w:r>
          </w:p>
        </w:tc>
        <w:tc>
          <w:tcPr>
            <w:tcW w:w="1473" w:type="dxa"/>
            <w:tcBorders>
              <w:top w:val="nil"/>
              <w:left w:val="nil"/>
              <w:bottom w:val="single" w:sz="4" w:space="0" w:color="auto"/>
              <w:right w:val="single" w:sz="4" w:space="0" w:color="auto"/>
            </w:tcBorders>
            <w:shd w:val="clear" w:color="auto" w:fill="7B7B7B" w:themeFill="accent3" w:themeFillShade="BF"/>
            <w:noWrap/>
            <w:vAlign w:val="center"/>
          </w:tcPr>
          <w:p w:rsidR="007D229E" w:rsidRPr="00B92F14" w:rsidRDefault="007D229E" w:rsidP="004B3C2F">
            <w:pPr>
              <w:jc w:val="center"/>
              <w:rPr>
                <w:b/>
                <w:color w:val="FFFFFF" w:themeColor="background1"/>
                <w:sz w:val="20"/>
                <w:szCs w:val="20"/>
              </w:rPr>
            </w:pPr>
            <w:r>
              <w:rPr>
                <w:b/>
                <w:color w:val="FFFFFF" w:themeColor="background1"/>
                <w:sz w:val="20"/>
                <w:szCs w:val="20"/>
              </w:rPr>
              <w:t>Feb</w:t>
            </w:r>
          </w:p>
          <w:p w:rsidR="007D229E" w:rsidRPr="00B92F14" w:rsidRDefault="007D229E" w:rsidP="004B3C2F">
            <w:pPr>
              <w:jc w:val="center"/>
              <w:rPr>
                <w:b/>
                <w:color w:val="000000" w:themeColor="text1"/>
                <w:sz w:val="20"/>
                <w:szCs w:val="20"/>
              </w:rPr>
            </w:pPr>
            <w:r w:rsidRPr="00B92F14">
              <w:rPr>
                <w:b/>
                <w:color w:val="FFFFFF" w:themeColor="background1"/>
                <w:sz w:val="20"/>
                <w:szCs w:val="20"/>
              </w:rPr>
              <w:t>201</w:t>
            </w:r>
            <w:r>
              <w:rPr>
                <w:b/>
                <w:color w:val="FFFFFF" w:themeColor="background1"/>
                <w:sz w:val="20"/>
                <w:szCs w:val="20"/>
              </w:rPr>
              <w:t>5</w:t>
            </w:r>
          </w:p>
        </w:tc>
      </w:tr>
      <w:tr w:rsidR="007D229E" w:rsidRPr="00B92F14" w:rsidTr="004B3C2F">
        <w:trPr>
          <w:trHeight w:val="204"/>
          <w:jc w:val="center"/>
        </w:trPr>
        <w:tc>
          <w:tcPr>
            <w:tcW w:w="31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 xml:space="preserve">TOTAL ANTAD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5.1</w:t>
            </w:r>
          </w:p>
        </w:tc>
      </w:tr>
      <w:tr w:rsidR="007D229E" w:rsidRPr="00B92F14" w:rsidTr="004B3C2F">
        <w:trPr>
          <w:trHeight w:val="122"/>
          <w:jc w:val="center"/>
        </w:trPr>
        <w:tc>
          <w:tcPr>
            <w:tcW w:w="3101" w:type="dxa"/>
            <w:vMerge/>
            <w:tcBorders>
              <w:top w:val="nil"/>
              <w:left w:val="single" w:sz="4" w:space="0" w:color="auto"/>
              <w:bottom w:val="single" w:sz="4" w:space="0" w:color="000000"/>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8.7</w:t>
            </w:r>
          </w:p>
        </w:tc>
      </w:tr>
      <w:tr w:rsidR="007D229E" w:rsidRPr="00B92F14" w:rsidTr="004B3C2F">
        <w:trPr>
          <w:trHeight w:val="196"/>
          <w:jc w:val="center"/>
        </w:trPr>
        <w:tc>
          <w:tcPr>
            <w:tcW w:w="5990" w:type="dxa"/>
            <w:gridSpan w:val="3"/>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bottom"/>
            <w:hideMark/>
          </w:tcPr>
          <w:p w:rsidR="007D229E" w:rsidRPr="00B92F14" w:rsidRDefault="007D229E" w:rsidP="004B3C2F">
            <w:pPr>
              <w:rPr>
                <w:b/>
                <w:color w:val="000000"/>
                <w:sz w:val="18"/>
                <w:szCs w:val="20"/>
              </w:rPr>
            </w:pPr>
            <w:r w:rsidRPr="00B92F14">
              <w:rPr>
                <w:b/>
                <w:color w:val="FFFFFF" w:themeColor="background1"/>
                <w:sz w:val="18"/>
                <w:szCs w:val="20"/>
              </w:rPr>
              <w:t>Por Línea de Mercancía</w:t>
            </w:r>
          </w:p>
        </w:tc>
      </w:tr>
      <w:tr w:rsidR="007D229E" w:rsidRPr="00B92F14" w:rsidTr="004B3C2F">
        <w:trPr>
          <w:trHeight w:val="237"/>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 xml:space="preserve">SUPERMERCADO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4.0</w:t>
            </w:r>
          </w:p>
        </w:tc>
      </w:tr>
      <w:tr w:rsidR="007D229E" w:rsidRPr="00B92F14" w:rsidTr="004B3C2F">
        <w:trPr>
          <w:trHeight w:val="250"/>
          <w:jc w:val="center"/>
        </w:trPr>
        <w:tc>
          <w:tcPr>
            <w:tcW w:w="3101" w:type="dxa"/>
            <w:vMerge/>
            <w:tcBorders>
              <w:top w:val="nil"/>
              <w:left w:val="single" w:sz="4" w:space="0" w:color="auto"/>
              <w:bottom w:val="single" w:sz="4" w:space="0" w:color="auto"/>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7.8</w:t>
            </w:r>
          </w:p>
        </w:tc>
      </w:tr>
      <w:tr w:rsidR="007D229E" w:rsidRPr="00B92F14" w:rsidTr="004B3C2F">
        <w:trPr>
          <w:trHeight w:val="264"/>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ROPA Y CALZADO</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4.7</w:t>
            </w:r>
          </w:p>
        </w:tc>
      </w:tr>
      <w:tr w:rsidR="007D229E" w:rsidRPr="00B92F14" w:rsidTr="004B3C2F">
        <w:trPr>
          <w:trHeight w:val="236"/>
          <w:jc w:val="center"/>
        </w:trPr>
        <w:tc>
          <w:tcPr>
            <w:tcW w:w="3101" w:type="dxa"/>
            <w:vMerge/>
            <w:tcBorders>
              <w:top w:val="nil"/>
              <w:left w:val="single" w:sz="4" w:space="0" w:color="auto"/>
              <w:bottom w:val="single" w:sz="4" w:space="0" w:color="auto"/>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8.4</w:t>
            </w:r>
          </w:p>
        </w:tc>
      </w:tr>
      <w:tr w:rsidR="007D229E" w:rsidRPr="00B92F14" w:rsidTr="004B3C2F">
        <w:trPr>
          <w:trHeight w:val="222"/>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MERCANCÍAS GENERALES</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6.7</w:t>
            </w:r>
          </w:p>
        </w:tc>
      </w:tr>
      <w:tr w:rsidR="007D229E" w:rsidRPr="00B92F14" w:rsidTr="004B3C2F">
        <w:trPr>
          <w:trHeight w:val="208"/>
          <w:jc w:val="center"/>
        </w:trPr>
        <w:tc>
          <w:tcPr>
            <w:tcW w:w="3101" w:type="dxa"/>
            <w:vMerge/>
            <w:tcBorders>
              <w:top w:val="nil"/>
              <w:left w:val="single" w:sz="4" w:space="0" w:color="auto"/>
              <w:bottom w:val="single" w:sz="4" w:space="0" w:color="auto"/>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10.1</w:t>
            </w:r>
          </w:p>
        </w:tc>
      </w:tr>
      <w:tr w:rsidR="007D229E" w:rsidRPr="00B92F14" w:rsidTr="004B3C2F">
        <w:trPr>
          <w:trHeight w:val="178"/>
          <w:jc w:val="center"/>
        </w:trPr>
        <w:tc>
          <w:tcPr>
            <w:tcW w:w="5990" w:type="dxa"/>
            <w:gridSpan w:val="3"/>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center"/>
            <w:hideMark/>
          </w:tcPr>
          <w:p w:rsidR="007D229E" w:rsidRPr="00B92F14" w:rsidRDefault="007D229E" w:rsidP="004B3C2F">
            <w:pPr>
              <w:rPr>
                <w:b/>
                <w:color w:val="000000"/>
                <w:sz w:val="18"/>
                <w:szCs w:val="20"/>
              </w:rPr>
            </w:pPr>
            <w:r w:rsidRPr="00B92F14">
              <w:rPr>
                <w:b/>
                <w:color w:val="FFFFFF" w:themeColor="background1"/>
                <w:sz w:val="18"/>
                <w:szCs w:val="20"/>
              </w:rPr>
              <w:t>Por Tipo de Tienda</w:t>
            </w:r>
            <w:r w:rsidRPr="00B92F14">
              <w:rPr>
                <w:b/>
                <w:color w:val="FFFFFF" w:themeColor="background1"/>
                <w:sz w:val="20"/>
                <w:szCs w:val="20"/>
                <w:u w:val="single"/>
                <w:vertAlign w:val="superscript"/>
              </w:rPr>
              <w:t>3</w:t>
            </w:r>
            <w:r w:rsidRPr="00B92F14">
              <w:rPr>
                <w:b/>
                <w:color w:val="FFFFFF" w:themeColor="background1"/>
                <w:sz w:val="20"/>
                <w:szCs w:val="20"/>
                <w:vertAlign w:val="superscript"/>
              </w:rPr>
              <w:t>/</w:t>
            </w:r>
          </w:p>
        </w:tc>
      </w:tr>
      <w:tr w:rsidR="007D229E" w:rsidRPr="00B92F14" w:rsidTr="004B3C2F">
        <w:trPr>
          <w:trHeight w:val="208"/>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AUTOSERVICIOS</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4.3</w:t>
            </w:r>
          </w:p>
        </w:tc>
      </w:tr>
      <w:tr w:rsidR="007D229E" w:rsidRPr="00B92F14" w:rsidTr="004B3C2F">
        <w:trPr>
          <w:trHeight w:val="222"/>
          <w:jc w:val="center"/>
        </w:trPr>
        <w:tc>
          <w:tcPr>
            <w:tcW w:w="3101" w:type="dxa"/>
            <w:vMerge/>
            <w:tcBorders>
              <w:top w:val="nil"/>
              <w:left w:val="single" w:sz="4" w:space="0" w:color="auto"/>
              <w:bottom w:val="single" w:sz="4" w:space="0" w:color="auto"/>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6.7</w:t>
            </w:r>
          </w:p>
        </w:tc>
      </w:tr>
      <w:tr w:rsidR="007D229E" w:rsidRPr="00B92F14" w:rsidTr="004B3C2F">
        <w:trPr>
          <w:trHeight w:val="209"/>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 xml:space="preserve">DEPARTAMENTALES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7.7</w:t>
            </w:r>
          </w:p>
        </w:tc>
      </w:tr>
      <w:tr w:rsidR="007D229E" w:rsidRPr="00B92F14" w:rsidTr="004B3C2F">
        <w:trPr>
          <w:trHeight w:val="208"/>
          <w:jc w:val="center"/>
        </w:trPr>
        <w:tc>
          <w:tcPr>
            <w:tcW w:w="3101" w:type="dxa"/>
            <w:vMerge/>
            <w:tcBorders>
              <w:top w:val="nil"/>
              <w:left w:val="single" w:sz="4" w:space="0" w:color="auto"/>
              <w:bottom w:val="single" w:sz="4" w:space="0" w:color="auto"/>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11.9</w:t>
            </w:r>
          </w:p>
        </w:tc>
      </w:tr>
      <w:tr w:rsidR="007D229E" w:rsidRPr="00B92F14" w:rsidTr="004B3C2F">
        <w:trPr>
          <w:trHeight w:val="194"/>
          <w:jc w:val="center"/>
        </w:trPr>
        <w:tc>
          <w:tcPr>
            <w:tcW w:w="31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229E" w:rsidRPr="00B92F14" w:rsidRDefault="007D229E" w:rsidP="004B3C2F">
            <w:pPr>
              <w:rPr>
                <w:color w:val="000000"/>
                <w:sz w:val="18"/>
                <w:szCs w:val="20"/>
              </w:rPr>
            </w:pPr>
            <w:r w:rsidRPr="00B92F14">
              <w:rPr>
                <w:color w:val="000000"/>
                <w:sz w:val="18"/>
                <w:szCs w:val="20"/>
              </w:rPr>
              <w:t>ESPECIALIZADAS</w:t>
            </w:r>
          </w:p>
        </w:tc>
        <w:tc>
          <w:tcPr>
            <w:tcW w:w="1416" w:type="dxa"/>
            <w:tcBorders>
              <w:top w:val="single" w:sz="4" w:space="0" w:color="auto"/>
              <w:left w:val="nil"/>
              <w:bottom w:val="single" w:sz="4" w:space="0" w:color="auto"/>
              <w:right w:val="single" w:sz="4" w:space="0" w:color="auto"/>
            </w:tcBorders>
            <w:shd w:val="clear" w:color="auto" w:fill="DBDBDB" w:themeFill="accent3" w:themeFillTint="66"/>
            <w:noWrap/>
            <w:vAlign w:val="bottom"/>
            <w:hideMark/>
          </w:tcPr>
          <w:p w:rsidR="007D229E" w:rsidRPr="00B92F14" w:rsidRDefault="007D229E" w:rsidP="004B3C2F">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single" w:sz="4" w:space="0" w:color="auto"/>
              <w:left w:val="nil"/>
              <w:bottom w:val="single" w:sz="4" w:space="0" w:color="auto"/>
              <w:right w:val="single" w:sz="4" w:space="0" w:color="auto"/>
            </w:tcBorders>
            <w:shd w:val="clear" w:color="auto" w:fill="DBDBDB" w:themeFill="accent3" w:themeFillTint="66"/>
            <w:noWrap/>
            <w:vAlign w:val="bottom"/>
          </w:tcPr>
          <w:p w:rsidR="007D229E" w:rsidRPr="00B92F14" w:rsidRDefault="007D229E" w:rsidP="004B3C2F">
            <w:pPr>
              <w:ind w:right="547"/>
              <w:jc w:val="right"/>
              <w:rPr>
                <w:color w:val="000000"/>
                <w:sz w:val="18"/>
                <w:szCs w:val="20"/>
              </w:rPr>
            </w:pPr>
            <w:r>
              <w:rPr>
                <w:color w:val="000000"/>
                <w:sz w:val="18"/>
                <w:szCs w:val="20"/>
              </w:rPr>
              <w:t>5.2</w:t>
            </w:r>
          </w:p>
        </w:tc>
      </w:tr>
      <w:tr w:rsidR="007D229E" w:rsidRPr="00B92F14" w:rsidTr="004B3C2F">
        <w:trPr>
          <w:trHeight w:val="222"/>
          <w:jc w:val="center"/>
        </w:trPr>
        <w:tc>
          <w:tcPr>
            <w:tcW w:w="3101" w:type="dxa"/>
            <w:vMerge/>
            <w:tcBorders>
              <w:top w:val="single" w:sz="4" w:space="0" w:color="auto"/>
              <w:left w:val="single" w:sz="4" w:space="0" w:color="auto"/>
              <w:bottom w:val="single" w:sz="4" w:space="0" w:color="auto"/>
              <w:right w:val="single" w:sz="4" w:space="0" w:color="auto"/>
            </w:tcBorders>
            <w:vAlign w:val="center"/>
            <w:hideMark/>
          </w:tcPr>
          <w:p w:rsidR="007D229E" w:rsidRPr="00B92F14" w:rsidRDefault="007D229E" w:rsidP="004B3C2F">
            <w:pPr>
              <w:rPr>
                <w:color w:val="000000"/>
                <w:sz w:val="18"/>
                <w:szCs w:val="20"/>
              </w:rPr>
            </w:pPr>
          </w:p>
        </w:tc>
        <w:tc>
          <w:tcPr>
            <w:tcW w:w="1416" w:type="dxa"/>
            <w:tcBorders>
              <w:top w:val="single" w:sz="4" w:space="0" w:color="auto"/>
              <w:left w:val="nil"/>
              <w:bottom w:val="single" w:sz="4" w:space="0" w:color="auto"/>
              <w:right w:val="single" w:sz="4" w:space="0" w:color="auto"/>
            </w:tcBorders>
            <w:shd w:val="clear" w:color="auto" w:fill="auto"/>
            <w:noWrap/>
            <w:vAlign w:val="bottom"/>
            <w:hideMark/>
          </w:tcPr>
          <w:p w:rsidR="007D229E" w:rsidRPr="00B92F14" w:rsidRDefault="007D229E" w:rsidP="004B3C2F">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single" w:sz="4" w:space="0" w:color="auto"/>
              <w:left w:val="nil"/>
              <w:bottom w:val="single" w:sz="4" w:space="0" w:color="auto"/>
              <w:right w:val="single" w:sz="4" w:space="0" w:color="auto"/>
            </w:tcBorders>
            <w:shd w:val="clear" w:color="auto" w:fill="auto"/>
            <w:noWrap/>
            <w:vAlign w:val="bottom"/>
          </w:tcPr>
          <w:p w:rsidR="007D229E" w:rsidRPr="00B92F14" w:rsidRDefault="007D229E" w:rsidP="004B3C2F">
            <w:pPr>
              <w:ind w:right="547"/>
              <w:jc w:val="right"/>
              <w:rPr>
                <w:color w:val="000000"/>
                <w:sz w:val="18"/>
                <w:szCs w:val="20"/>
              </w:rPr>
            </w:pPr>
            <w:r>
              <w:rPr>
                <w:color w:val="000000"/>
                <w:sz w:val="18"/>
                <w:szCs w:val="20"/>
              </w:rPr>
              <w:t>11.9</w:t>
            </w:r>
          </w:p>
        </w:tc>
      </w:tr>
      <w:tr w:rsidR="007D229E" w:rsidRPr="00B92F14" w:rsidTr="004B3C2F">
        <w:trPr>
          <w:trHeight w:val="1748"/>
          <w:jc w:val="center"/>
        </w:trPr>
        <w:tc>
          <w:tcPr>
            <w:tcW w:w="5990" w:type="dxa"/>
            <w:gridSpan w:val="3"/>
            <w:tcBorders>
              <w:top w:val="single" w:sz="4" w:space="0" w:color="auto"/>
              <w:left w:val="nil"/>
              <w:bottom w:val="nil"/>
              <w:right w:val="nil"/>
            </w:tcBorders>
            <w:shd w:val="clear" w:color="auto" w:fill="auto"/>
            <w:noWrap/>
            <w:vAlign w:val="bottom"/>
            <w:hideMark/>
          </w:tcPr>
          <w:p w:rsidR="007D229E" w:rsidRPr="00B92F14" w:rsidRDefault="007D229E" w:rsidP="004B3C2F">
            <w:pPr>
              <w:ind w:left="868" w:right="-104" w:hanging="210"/>
              <w:rPr>
                <w:sz w:val="20"/>
                <w:szCs w:val="20"/>
              </w:rPr>
            </w:pPr>
            <w:r w:rsidRPr="00B92F14">
              <w:rPr>
                <w:sz w:val="20"/>
                <w:szCs w:val="20"/>
                <w:u w:val="single"/>
                <w:vertAlign w:val="superscript"/>
              </w:rPr>
              <w:t>1</w:t>
            </w:r>
            <w:r w:rsidRPr="00B92F14">
              <w:rPr>
                <w:sz w:val="20"/>
                <w:szCs w:val="20"/>
                <w:vertAlign w:val="superscript"/>
              </w:rPr>
              <w:t>/</w:t>
            </w:r>
            <w:r w:rsidRPr="00B92F14">
              <w:rPr>
                <w:sz w:val="20"/>
                <w:szCs w:val="20"/>
              </w:rPr>
              <w:t xml:space="preserve"> Tiendas Iguales. Se consideran las ventas para la misma tienda en el lapso de un año, no incluye nuevas tiendas.</w:t>
            </w:r>
          </w:p>
          <w:p w:rsidR="007D229E" w:rsidRPr="00B92F14" w:rsidRDefault="007D229E" w:rsidP="004B3C2F">
            <w:pPr>
              <w:tabs>
                <w:tab w:val="left" w:pos="5850"/>
              </w:tabs>
              <w:ind w:left="868" w:right="-71" w:hanging="210"/>
              <w:jc w:val="both"/>
              <w:rPr>
                <w:sz w:val="20"/>
                <w:szCs w:val="20"/>
              </w:rPr>
            </w:pPr>
            <w:r w:rsidRPr="00B92F14">
              <w:rPr>
                <w:sz w:val="20"/>
                <w:szCs w:val="20"/>
                <w:u w:val="single"/>
                <w:vertAlign w:val="superscript"/>
              </w:rPr>
              <w:t>2</w:t>
            </w:r>
            <w:r w:rsidRPr="00B92F14">
              <w:rPr>
                <w:sz w:val="20"/>
                <w:szCs w:val="20"/>
                <w:vertAlign w:val="superscript"/>
              </w:rPr>
              <w:t>/</w:t>
            </w:r>
            <w:r w:rsidRPr="00B92F14">
              <w:rPr>
                <w:sz w:val="20"/>
                <w:szCs w:val="20"/>
              </w:rPr>
              <w:t xml:space="preserve"> Tiendas Totales. Incluye a todas las tiendas sin importar si son o no de reciente creación.</w:t>
            </w:r>
          </w:p>
          <w:p w:rsidR="007D229E" w:rsidRPr="00B92F14" w:rsidRDefault="007D229E" w:rsidP="004B3C2F">
            <w:pPr>
              <w:tabs>
                <w:tab w:val="left" w:pos="0"/>
              </w:tabs>
              <w:ind w:left="882" w:right="-71" w:hanging="224"/>
              <w:jc w:val="both"/>
              <w:rPr>
                <w:sz w:val="20"/>
                <w:szCs w:val="20"/>
              </w:rPr>
            </w:pPr>
            <w:r w:rsidRPr="00B92F14">
              <w:rPr>
                <w:sz w:val="20"/>
                <w:szCs w:val="20"/>
                <w:u w:val="single"/>
                <w:vertAlign w:val="superscript"/>
              </w:rPr>
              <w:t>3</w:t>
            </w:r>
            <w:r w:rsidRPr="00B92F14">
              <w:rPr>
                <w:sz w:val="20"/>
                <w:szCs w:val="20"/>
                <w:vertAlign w:val="superscript"/>
              </w:rPr>
              <w:t>/</w:t>
            </w:r>
            <w:r w:rsidRPr="00B92F14">
              <w:rPr>
                <w:sz w:val="20"/>
                <w:szCs w:val="20"/>
              </w:rPr>
              <w:t xml:space="preserve"> </w:t>
            </w:r>
            <w:r w:rsidRPr="00B92F14">
              <w:rPr>
                <w:bCs/>
                <w:sz w:val="20"/>
                <w:szCs w:val="20"/>
              </w:rPr>
              <w:t>La superficie total de venta suma 24.</w:t>
            </w:r>
            <w:r>
              <w:rPr>
                <w:bCs/>
                <w:sz w:val="20"/>
                <w:szCs w:val="20"/>
              </w:rPr>
              <w:t>9</w:t>
            </w:r>
            <w:r w:rsidRPr="00B92F14">
              <w:rPr>
                <w:bCs/>
                <w:sz w:val="20"/>
                <w:szCs w:val="20"/>
              </w:rPr>
              <w:t xml:space="preserve"> millones de metros cuadrados.</w:t>
            </w:r>
          </w:p>
          <w:p w:rsidR="007D229E" w:rsidRPr="00B92F14" w:rsidRDefault="007D229E" w:rsidP="004B3C2F">
            <w:pPr>
              <w:rPr>
                <w:rFonts w:ascii="Calibri" w:hAnsi="Calibri" w:cs="Calibri"/>
                <w:color w:val="000000"/>
              </w:rPr>
            </w:pPr>
            <w:r w:rsidRPr="00B92F14">
              <w:rPr>
                <w:sz w:val="20"/>
                <w:szCs w:val="20"/>
              </w:rPr>
              <w:t>FUENTE: ANTAD.</w:t>
            </w:r>
            <w:r w:rsidRPr="00B92F14">
              <w:rPr>
                <w:rFonts w:ascii="Calibri" w:hAnsi="Calibri" w:cs="Calibri"/>
                <w:color w:val="000000"/>
              </w:rPr>
              <w:t> </w:t>
            </w:r>
          </w:p>
        </w:tc>
      </w:tr>
    </w:tbl>
    <w:p w:rsidR="00DF19A7" w:rsidRDefault="00DF19A7" w:rsidP="00DF19A7"/>
    <w:p w:rsidR="007D229E" w:rsidRPr="00E313B7" w:rsidRDefault="00DF19A7" w:rsidP="00DF19A7">
      <w:pPr>
        <w:spacing w:before="360" w:after="360"/>
        <w:rPr>
          <w:bCs/>
          <w:color w:val="0000FF"/>
          <w:sz w:val="26"/>
          <w:szCs w:val="26"/>
        </w:rPr>
      </w:pPr>
      <w:r>
        <w:rPr>
          <w:b/>
          <w:color w:val="000000"/>
          <w:sz w:val="26"/>
          <w:szCs w:val="26"/>
        </w:rPr>
        <w:br w:type="column"/>
      </w:r>
      <w:r w:rsidR="007D229E" w:rsidRPr="00E313B7">
        <w:rPr>
          <w:b/>
          <w:color w:val="0000FF"/>
          <w:sz w:val="26"/>
          <w:szCs w:val="26"/>
        </w:rPr>
        <w:lastRenderedPageBreak/>
        <w:t xml:space="preserve">Crecimiento Acumulado Nominal de Ventas </w:t>
      </w:r>
    </w:p>
    <w:p w:rsidR="007D229E" w:rsidRPr="0038780C" w:rsidRDefault="007D229E" w:rsidP="007D229E">
      <w:pPr>
        <w:autoSpaceDE w:val="0"/>
        <w:autoSpaceDN w:val="0"/>
        <w:adjustRightInd w:val="0"/>
        <w:spacing w:line="360" w:lineRule="auto"/>
        <w:jc w:val="both"/>
        <w:rPr>
          <w:bCs/>
          <w:color w:val="000000"/>
          <w:sz w:val="26"/>
          <w:szCs w:val="26"/>
        </w:rPr>
      </w:pPr>
      <w:r w:rsidRPr="0038780C">
        <w:rPr>
          <w:bCs/>
          <w:color w:val="000000"/>
          <w:sz w:val="26"/>
          <w:szCs w:val="26"/>
          <w:lang w:val="es-MX"/>
        </w:rPr>
        <w:t xml:space="preserve">Asimismo, en el Boletín de la ANTAD, se menciona que al mes de febrero del 2015, las ventas sumaron 193.2 </w:t>
      </w:r>
      <w:r w:rsidR="00DF19A7" w:rsidRPr="0038780C">
        <w:rPr>
          <w:bCs/>
          <w:color w:val="000000"/>
          <w:sz w:val="26"/>
          <w:szCs w:val="26"/>
          <w:lang w:val="es-MX"/>
        </w:rPr>
        <w:t>mil millones</w:t>
      </w:r>
      <w:r w:rsidRPr="0038780C">
        <w:rPr>
          <w:bCs/>
          <w:color w:val="000000"/>
          <w:sz w:val="26"/>
          <w:szCs w:val="26"/>
          <w:lang w:val="es-MX"/>
        </w:rPr>
        <w:t xml:space="preserve"> de pesos. El crecimiento acumulado por línea de mercancía</w:t>
      </w:r>
      <w:r>
        <w:rPr>
          <w:bCs/>
          <w:color w:val="000000"/>
          <w:sz w:val="26"/>
          <w:szCs w:val="26"/>
          <w:lang w:val="es-MX"/>
        </w:rPr>
        <w:t xml:space="preserve"> a tiendas totales</w:t>
      </w:r>
      <w:r w:rsidRPr="0038780C">
        <w:rPr>
          <w:bCs/>
          <w:color w:val="000000"/>
          <w:sz w:val="26"/>
          <w:szCs w:val="26"/>
          <w:lang w:val="es-MX"/>
        </w:rPr>
        <w:t xml:space="preserve"> fue el siguiente:</w:t>
      </w:r>
      <w:r w:rsidRPr="0038780C">
        <w:rPr>
          <w:bCs/>
          <w:color w:val="000000"/>
          <w:sz w:val="26"/>
          <w:szCs w:val="26"/>
        </w:rPr>
        <w:t xml:space="preserve"> ropa y calzado, 10.0%; mercancías generales, 10.3%; y supermercado (abarrotes y perecederos), 8.1%.</w:t>
      </w:r>
      <w:r w:rsidRPr="0038780C">
        <w:rPr>
          <w:color w:val="000000"/>
          <w:sz w:val="26"/>
          <w:szCs w:val="26"/>
        </w:rPr>
        <w:t xml:space="preserve"> Por tipo de tienda, las ventas se comportaron de la siguiente manera: las ocurridas </w:t>
      </w:r>
      <w:r w:rsidR="00DF19A7" w:rsidRPr="0038780C">
        <w:rPr>
          <w:color w:val="000000"/>
          <w:sz w:val="26"/>
          <w:szCs w:val="26"/>
        </w:rPr>
        <w:t>en autoservicios</w:t>
      </w:r>
      <w:r w:rsidRPr="0038780C">
        <w:rPr>
          <w:bCs/>
          <w:color w:val="000000"/>
          <w:sz w:val="26"/>
          <w:szCs w:val="26"/>
        </w:rPr>
        <w:t xml:space="preserve"> crecieron 7.0</w:t>
      </w:r>
      <w:r w:rsidR="00DF19A7" w:rsidRPr="0038780C">
        <w:rPr>
          <w:bCs/>
          <w:color w:val="000000"/>
          <w:sz w:val="26"/>
          <w:szCs w:val="26"/>
        </w:rPr>
        <w:t xml:space="preserve">% </w:t>
      </w:r>
      <w:r w:rsidR="00DF19A7">
        <w:rPr>
          <w:bCs/>
          <w:color w:val="000000"/>
          <w:sz w:val="26"/>
          <w:szCs w:val="26"/>
        </w:rPr>
        <w:t>(</w:t>
      </w:r>
      <w:r w:rsidRPr="0038780C">
        <w:rPr>
          <w:bCs/>
          <w:color w:val="000000"/>
          <w:sz w:val="26"/>
          <w:szCs w:val="26"/>
        </w:rPr>
        <w:t>5 mil 428 tiendas); departamentales, 1</w:t>
      </w:r>
      <w:r>
        <w:rPr>
          <w:bCs/>
          <w:color w:val="000000"/>
          <w:sz w:val="26"/>
          <w:szCs w:val="26"/>
        </w:rPr>
        <w:t>3</w:t>
      </w:r>
      <w:r w:rsidR="00901565">
        <w:rPr>
          <w:bCs/>
          <w:color w:val="000000"/>
          <w:sz w:val="26"/>
          <w:szCs w:val="26"/>
        </w:rPr>
        <w:t xml:space="preserve">.8% (2 mil </w:t>
      </w:r>
      <w:r w:rsidRPr="0038780C">
        <w:rPr>
          <w:bCs/>
          <w:color w:val="000000"/>
          <w:sz w:val="26"/>
          <w:szCs w:val="26"/>
        </w:rPr>
        <w:t xml:space="preserve">55 tiendas); y especializadas, </w:t>
      </w:r>
      <w:r>
        <w:rPr>
          <w:bCs/>
          <w:color w:val="000000"/>
          <w:sz w:val="26"/>
          <w:szCs w:val="26"/>
        </w:rPr>
        <w:t>11.</w:t>
      </w:r>
      <w:r w:rsidRPr="0038780C">
        <w:rPr>
          <w:bCs/>
          <w:color w:val="000000"/>
          <w:sz w:val="26"/>
          <w:szCs w:val="26"/>
        </w:rPr>
        <w:t>4% (32 mil 573 tiendas)</w:t>
      </w:r>
      <w:r w:rsidRPr="0038780C">
        <w:rPr>
          <w:bCs/>
          <w:color w:val="000000"/>
          <w:sz w:val="26"/>
          <w:szCs w:val="26"/>
          <w:lang w:val="es-MX"/>
        </w:rPr>
        <w:t>.</w:t>
      </w:r>
      <w:r w:rsidRPr="0038780C">
        <w:rPr>
          <w:bCs/>
          <w:color w:val="000000"/>
          <w:sz w:val="26"/>
          <w:szCs w:val="26"/>
        </w:rPr>
        <w:t xml:space="preserve"> </w:t>
      </w:r>
    </w:p>
    <w:p w:rsidR="007D229E" w:rsidRPr="00EC6F78" w:rsidRDefault="007D229E" w:rsidP="007D229E">
      <w:pPr>
        <w:autoSpaceDE w:val="0"/>
        <w:autoSpaceDN w:val="0"/>
        <w:adjustRightInd w:val="0"/>
        <w:spacing w:line="360" w:lineRule="auto"/>
        <w:jc w:val="both"/>
        <w:rPr>
          <w:bCs/>
          <w:color w:val="000000"/>
          <w:sz w:val="16"/>
          <w:szCs w:val="26"/>
        </w:rPr>
      </w:pPr>
    </w:p>
    <w:tbl>
      <w:tblPr>
        <w:tblW w:w="5986" w:type="dxa"/>
        <w:jc w:val="center"/>
        <w:tblCellMar>
          <w:left w:w="70" w:type="dxa"/>
          <w:right w:w="70" w:type="dxa"/>
        </w:tblCellMar>
        <w:tblLook w:val="04A0" w:firstRow="1" w:lastRow="0" w:firstColumn="1" w:lastColumn="0" w:noHBand="0" w:noVBand="1"/>
      </w:tblPr>
      <w:tblGrid>
        <w:gridCol w:w="3158"/>
        <w:gridCol w:w="1511"/>
        <w:gridCol w:w="1317"/>
      </w:tblGrid>
      <w:tr w:rsidR="007D229E" w:rsidRPr="004141F3" w:rsidTr="004B3C2F">
        <w:trPr>
          <w:trHeight w:val="300"/>
          <w:jc w:val="center"/>
        </w:trPr>
        <w:tc>
          <w:tcPr>
            <w:tcW w:w="5986" w:type="dxa"/>
            <w:gridSpan w:val="3"/>
            <w:tcBorders>
              <w:top w:val="nil"/>
              <w:left w:val="nil"/>
              <w:bottom w:val="single" w:sz="4" w:space="0" w:color="auto"/>
              <w:right w:val="nil"/>
            </w:tcBorders>
            <w:shd w:val="clear" w:color="auto" w:fill="auto"/>
            <w:noWrap/>
            <w:vAlign w:val="bottom"/>
            <w:hideMark/>
          </w:tcPr>
          <w:p w:rsidR="007D229E" w:rsidRPr="00780694" w:rsidRDefault="007D229E" w:rsidP="004B3C2F">
            <w:pPr>
              <w:autoSpaceDE w:val="0"/>
              <w:autoSpaceDN w:val="0"/>
              <w:adjustRightInd w:val="0"/>
              <w:jc w:val="center"/>
              <w:rPr>
                <w:b/>
                <w:color w:val="000000"/>
                <w:sz w:val="22"/>
                <w:szCs w:val="22"/>
              </w:rPr>
            </w:pPr>
            <w:r w:rsidRPr="00780694">
              <w:rPr>
                <w:b/>
                <w:color w:val="000000"/>
                <w:sz w:val="22"/>
                <w:szCs w:val="22"/>
              </w:rPr>
              <w:t>DESEMPEÑO EN VENTAS DE LAS TIENDAS ASOCIADAS A LA ANTAD</w:t>
            </w:r>
          </w:p>
          <w:p w:rsidR="007D229E" w:rsidRPr="00107D07" w:rsidRDefault="007D229E" w:rsidP="004B3C2F">
            <w:pPr>
              <w:autoSpaceDE w:val="0"/>
              <w:autoSpaceDN w:val="0"/>
              <w:adjustRightInd w:val="0"/>
              <w:jc w:val="center"/>
              <w:rPr>
                <w:color w:val="000000"/>
                <w:sz w:val="22"/>
                <w:szCs w:val="22"/>
              </w:rPr>
            </w:pPr>
            <w:r>
              <w:rPr>
                <w:color w:val="000000"/>
                <w:sz w:val="22"/>
                <w:szCs w:val="22"/>
              </w:rPr>
              <w:t xml:space="preserve">- </w:t>
            </w:r>
            <w:r w:rsidRPr="00780694">
              <w:rPr>
                <w:color w:val="000000"/>
                <w:sz w:val="22"/>
                <w:szCs w:val="22"/>
              </w:rPr>
              <w:t xml:space="preserve">Crecimiento </w:t>
            </w:r>
            <w:r>
              <w:rPr>
                <w:color w:val="000000"/>
                <w:sz w:val="22"/>
                <w:szCs w:val="22"/>
              </w:rPr>
              <w:t>Acumulado</w:t>
            </w:r>
            <w:r w:rsidRPr="00780694">
              <w:rPr>
                <w:color w:val="000000"/>
                <w:sz w:val="22"/>
                <w:szCs w:val="22"/>
              </w:rPr>
              <w:t xml:space="preserve"> Nominal</w:t>
            </w:r>
            <w:r>
              <w:rPr>
                <w:color w:val="000000"/>
                <w:sz w:val="22"/>
                <w:szCs w:val="22"/>
              </w:rPr>
              <w:t xml:space="preserve"> -</w:t>
            </w:r>
          </w:p>
        </w:tc>
      </w:tr>
      <w:tr w:rsidR="007D229E" w:rsidRPr="004141F3" w:rsidTr="004B3C2F">
        <w:trPr>
          <w:trHeight w:val="300"/>
          <w:jc w:val="center"/>
        </w:trPr>
        <w:tc>
          <w:tcPr>
            <w:tcW w:w="4669" w:type="dxa"/>
            <w:gridSpan w:val="2"/>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bottom"/>
            <w:hideMark/>
          </w:tcPr>
          <w:p w:rsidR="007D229E" w:rsidRPr="00472B4C" w:rsidRDefault="007D229E" w:rsidP="004B3C2F">
            <w:pPr>
              <w:jc w:val="center"/>
              <w:rPr>
                <w:color w:val="000000" w:themeColor="text1"/>
                <w:sz w:val="20"/>
                <w:szCs w:val="20"/>
              </w:rPr>
            </w:pPr>
            <w:r w:rsidRPr="00472B4C">
              <w:rPr>
                <w:color w:val="000000" w:themeColor="text1"/>
                <w:sz w:val="20"/>
                <w:szCs w:val="20"/>
              </w:rPr>
              <w:t> </w:t>
            </w:r>
          </w:p>
        </w:tc>
        <w:tc>
          <w:tcPr>
            <w:tcW w:w="1317" w:type="dxa"/>
            <w:tcBorders>
              <w:top w:val="nil"/>
              <w:left w:val="nil"/>
              <w:bottom w:val="single" w:sz="4" w:space="0" w:color="auto"/>
              <w:right w:val="single" w:sz="4" w:space="0" w:color="auto"/>
            </w:tcBorders>
            <w:shd w:val="clear" w:color="auto" w:fill="BDD6EE" w:themeFill="accent1" w:themeFillTint="66"/>
            <w:noWrap/>
            <w:vAlign w:val="center"/>
          </w:tcPr>
          <w:p w:rsidR="007D229E" w:rsidRPr="00472B4C" w:rsidRDefault="007D229E" w:rsidP="004B3C2F">
            <w:pPr>
              <w:jc w:val="center"/>
              <w:rPr>
                <w:b/>
                <w:color w:val="000000" w:themeColor="text1"/>
                <w:sz w:val="20"/>
                <w:szCs w:val="20"/>
              </w:rPr>
            </w:pPr>
            <w:r w:rsidRPr="00472B4C">
              <w:rPr>
                <w:b/>
                <w:color w:val="000000" w:themeColor="text1"/>
                <w:sz w:val="20"/>
                <w:szCs w:val="20"/>
              </w:rPr>
              <w:t>Ene-</w:t>
            </w:r>
            <w:r>
              <w:rPr>
                <w:b/>
                <w:color w:val="000000" w:themeColor="text1"/>
                <w:sz w:val="20"/>
                <w:szCs w:val="20"/>
              </w:rPr>
              <w:t>feb</w:t>
            </w:r>
          </w:p>
          <w:p w:rsidR="007D229E" w:rsidRPr="00472B4C" w:rsidRDefault="007D229E" w:rsidP="004B3C2F">
            <w:pPr>
              <w:jc w:val="center"/>
              <w:rPr>
                <w:b/>
                <w:color w:val="000000" w:themeColor="text1"/>
                <w:sz w:val="20"/>
                <w:szCs w:val="20"/>
              </w:rPr>
            </w:pPr>
            <w:r w:rsidRPr="00472B4C">
              <w:rPr>
                <w:b/>
                <w:color w:val="000000" w:themeColor="text1"/>
                <w:sz w:val="20"/>
                <w:szCs w:val="20"/>
              </w:rPr>
              <w:t>201</w:t>
            </w:r>
            <w:r>
              <w:rPr>
                <w:b/>
                <w:color w:val="000000" w:themeColor="text1"/>
                <w:sz w:val="20"/>
                <w:szCs w:val="20"/>
              </w:rPr>
              <w:t>5</w:t>
            </w:r>
          </w:p>
        </w:tc>
      </w:tr>
      <w:tr w:rsidR="007D229E" w:rsidRPr="004141F3" w:rsidTr="004B3C2F">
        <w:trPr>
          <w:trHeight w:val="170"/>
          <w:jc w:val="center"/>
        </w:trPr>
        <w:tc>
          <w:tcPr>
            <w:tcW w:w="3158"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 xml:space="preserve">TOTAL ANTAD </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5.3</w:t>
            </w:r>
          </w:p>
        </w:tc>
      </w:tr>
      <w:tr w:rsidR="007D229E" w:rsidRPr="004141F3" w:rsidTr="004B3C2F">
        <w:trPr>
          <w:trHeight w:val="170"/>
          <w:jc w:val="center"/>
        </w:trPr>
        <w:tc>
          <w:tcPr>
            <w:tcW w:w="3158" w:type="dxa"/>
            <w:vMerge/>
            <w:tcBorders>
              <w:top w:val="nil"/>
              <w:left w:val="single" w:sz="4" w:space="0" w:color="auto"/>
              <w:bottom w:val="single" w:sz="4" w:space="0" w:color="000000"/>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9.1</w:t>
            </w:r>
          </w:p>
        </w:tc>
      </w:tr>
      <w:tr w:rsidR="007D229E" w:rsidRPr="004141F3" w:rsidTr="004B3C2F">
        <w:trPr>
          <w:trHeight w:val="163"/>
          <w:jc w:val="center"/>
        </w:trPr>
        <w:tc>
          <w:tcPr>
            <w:tcW w:w="5986" w:type="dxa"/>
            <w:gridSpan w:val="3"/>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center"/>
            <w:hideMark/>
          </w:tcPr>
          <w:p w:rsidR="007D229E" w:rsidRPr="00472B4C" w:rsidRDefault="007D229E" w:rsidP="004B3C2F">
            <w:pPr>
              <w:rPr>
                <w:b/>
                <w:color w:val="000000"/>
                <w:sz w:val="18"/>
                <w:szCs w:val="20"/>
              </w:rPr>
            </w:pPr>
            <w:r w:rsidRPr="00472B4C">
              <w:rPr>
                <w:b/>
                <w:color w:val="000000" w:themeColor="text1"/>
                <w:sz w:val="18"/>
                <w:szCs w:val="20"/>
              </w:rPr>
              <w:t>Por Línea de Mercancía</w:t>
            </w:r>
          </w:p>
        </w:tc>
      </w:tr>
      <w:tr w:rsidR="007D229E" w:rsidRPr="004141F3" w:rsidTr="004B3C2F">
        <w:trPr>
          <w:trHeight w:val="80"/>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 xml:space="preserve">SUPERMERCADO </w:t>
            </w:r>
          </w:p>
        </w:tc>
        <w:tc>
          <w:tcPr>
            <w:tcW w:w="1511" w:type="dxa"/>
            <w:tcBorders>
              <w:top w:val="nil"/>
              <w:left w:val="nil"/>
              <w:bottom w:val="single" w:sz="4" w:space="0" w:color="auto"/>
              <w:right w:val="single" w:sz="4" w:space="0" w:color="auto"/>
            </w:tcBorders>
            <w:shd w:val="clear" w:color="auto" w:fill="DEEAF6" w:themeFill="accent1" w:themeFillTint="33"/>
            <w:noWrap/>
            <w:vAlign w:val="center"/>
            <w:hideMark/>
          </w:tcPr>
          <w:p w:rsidR="007D229E" w:rsidRPr="004141F3" w:rsidRDefault="007D229E" w:rsidP="004B3C2F">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4.3</w:t>
            </w:r>
          </w:p>
        </w:tc>
      </w:tr>
      <w:tr w:rsidR="007D229E" w:rsidRPr="004141F3" w:rsidTr="004B3C2F">
        <w:trPr>
          <w:trHeight w:val="154"/>
          <w:jc w:val="center"/>
        </w:trPr>
        <w:tc>
          <w:tcPr>
            <w:tcW w:w="3158" w:type="dxa"/>
            <w:vMerge/>
            <w:tcBorders>
              <w:top w:val="nil"/>
              <w:left w:val="single" w:sz="4" w:space="0" w:color="auto"/>
              <w:bottom w:val="single" w:sz="4" w:space="0" w:color="auto"/>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center"/>
            <w:hideMark/>
          </w:tcPr>
          <w:p w:rsidR="007D229E" w:rsidRPr="004141F3" w:rsidRDefault="007D229E" w:rsidP="004B3C2F">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8.1</w:t>
            </w:r>
          </w:p>
        </w:tc>
      </w:tr>
      <w:tr w:rsidR="007D229E" w:rsidRPr="004141F3" w:rsidTr="004B3C2F">
        <w:trPr>
          <w:trHeight w:val="214"/>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ROPA Y CALZADO</w:t>
            </w:r>
          </w:p>
        </w:tc>
        <w:tc>
          <w:tcPr>
            <w:tcW w:w="1511" w:type="dxa"/>
            <w:tcBorders>
              <w:top w:val="nil"/>
              <w:left w:val="nil"/>
              <w:bottom w:val="single" w:sz="4" w:space="0" w:color="auto"/>
              <w:right w:val="single" w:sz="4" w:space="0" w:color="auto"/>
            </w:tcBorders>
            <w:shd w:val="clear" w:color="auto" w:fill="DEEAF6" w:themeFill="accent1" w:themeFillTint="33"/>
            <w:noWrap/>
            <w:vAlign w:val="center"/>
            <w:hideMark/>
          </w:tcPr>
          <w:p w:rsidR="007D229E" w:rsidRPr="004141F3" w:rsidRDefault="007D229E" w:rsidP="004B3C2F">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5.9</w:t>
            </w:r>
          </w:p>
        </w:tc>
      </w:tr>
      <w:tr w:rsidR="007D229E" w:rsidRPr="004141F3" w:rsidTr="004B3C2F">
        <w:trPr>
          <w:trHeight w:val="118"/>
          <w:jc w:val="center"/>
        </w:trPr>
        <w:tc>
          <w:tcPr>
            <w:tcW w:w="3158" w:type="dxa"/>
            <w:vMerge/>
            <w:tcBorders>
              <w:top w:val="nil"/>
              <w:left w:val="single" w:sz="4" w:space="0" w:color="auto"/>
              <w:bottom w:val="single" w:sz="4" w:space="0" w:color="auto"/>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center"/>
            <w:hideMark/>
          </w:tcPr>
          <w:p w:rsidR="007D229E" w:rsidRPr="004141F3" w:rsidRDefault="007D229E" w:rsidP="004B3C2F">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10.0</w:t>
            </w:r>
          </w:p>
        </w:tc>
      </w:tr>
      <w:tr w:rsidR="007D229E" w:rsidRPr="004141F3" w:rsidTr="004B3C2F">
        <w:trPr>
          <w:trHeight w:val="208"/>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MERCANCÍAS GENERALES</w:t>
            </w:r>
          </w:p>
        </w:tc>
        <w:tc>
          <w:tcPr>
            <w:tcW w:w="1511" w:type="dxa"/>
            <w:tcBorders>
              <w:top w:val="nil"/>
              <w:left w:val="nil"/>
              <w:bottom w:val="single" w:sz="4" w:space="0" w:color="auto"/>
              <w:right w:val="single" w:sz="4" w:space="0" w:color="auto"/>
            </w:tcBorders>
            <w:shd w:val="clear" w:color="auto" w:fill="DEEAF6" w:themeFill="accent1" w:themeFillTint="33"/>
            <w:noWrap/>
            <w:vAlign w:val="center"/>
            <w:hideMark/>
          </w:tcPr>
          <w:p w:rsidR="007D229E" w:rsidRPr="004141F3" w:rsidRDefault="007D229E" w:rsidP="004B3C2F">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6.4</w:t>
            </w:r>
          </w:p>
        </w:tc>
      </w:tr>
      <w:tr w:rsidR="007D229E" w:rsidRPr="004141F3" w:rsidTr="004B3C2F">
        <w:trPr>
          <w:trHeight w:val="280"/>
          <w:jc w:val="center"/>
        </w:trPr>
        <w:tc>
          <w:tcPr>
            <w:tcW w:w="3158" w:type="dxa"/>
            <w:vMerge/>
            <w:tcBorders>
              <w:top w:val="nil"/>
              <w:left w:val="single" w:sz="4" w:space="0" w:color="auto"/>
              <w:bottom w:val="single" w:sz="4" w:space="0" w:color="auto"/>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center"/>
            <w:hideMark/>
          </w:tcPr>
          <w:p w:rsidR="007D229E" w:rsidRPr="004141F3" w:rsidRDefault="007D229E" w:rsidP="004B3C2F">
            <w:pPr>
              <w:ind w:right="61"/>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10.3</w:t>
            </w:r>
          </w:p>
        </w:tc>
      </w:tr>
      <w:tr w:rsidR="007D229E" w:rsidRPr="004141F3" w:rsidTr="004B3C2F">
        <w:trPr>
          <w:trHeight w:val="238"/>
          <w:jc w:val="center"/>
        </w:trPr>
        <w:tc>
          <w:tcPr>
            <w:tcW w:w="5986" w:type="dxa"/>
            <w:gridSpan w:val="3"/>
            <w:tcBorders>
              <w:top w:val="single" w:sz="4" w:space="0" w:color="auto"/>
              <w:left w:val="single" w:sz="4" w:space="0" w:color="auto"/>
              <w:bottom w:val="single" w:sz="4" w:space="0" w:color="auto"/>
              <w:right w:val="single" w:sz="4" w:space="0" w:color="000000"/>
            </w:tcBorders>
            <w:shd w:val="clear" w:color="auto" w:fill="BDD6EE" w:themeFill="accent1" w:themeFillTint="66"/>
            <w:noWrap/>
            <w:vAlign w:val="center"/>
            <w:hideMark/>
          </w:tcPr>
          <w:p w:rsidR="007D229E" w:rsidRPr="00472B4C" w:rsidRDefault="007D229E" w:rsidP="004B3C2F">
            <w:pPr>
              <w:rPr>
                <w:b/>
                <w:color w:val="000000"/>
                <w:sz w:val="18"/>
                <w:szCs w:val="20"/>
              </w:rPr>
            </w:pPr>
            <w:r w:rsidRPr="00472B4C">
              <w:rPr>
                <w:b/>
                <w:color w:val="000000" w:themeColor="text1"/>
                <w:sz w:val="18"/>
                <w:szCs w:val="20"/>
              </w:rPr>
              <w:t>Por Tipo de Tienda</w:t>
            </w:r>
            <w:r w:rsidRPr="00472B4C">
              <w:rPr>
                <w:b/>
                <w:color w:val="000000" w:themeColor="text1"/>
                <w:sz w:val="20"/>
                <w:szCs w:val="20"/>
                <w:u w:val="single"/>
                <w:vertAlign w:val="superscript"/>
              </w:rPr>
              <w:t>3</w:t>
            </w:r>
            <w:r w:rsidRPr="00472B4C">
              <w:rPr>
                <w:b/>
                <w:color w:val="000000" w:themeColor="text1"/>
                <w:sz w:val="20"/>
                <w:szCs w:val="20"/>
                <w:vertAlign w:val="superscript"/>
              </w:rPr>
              <w:t>/</w:t>
            </w:r>
          </w:p>
        </w:tc>
      </w:tr>
      <w:tr w:rsidR="007D229E" w:rsidRPr="004141F3" w:rsidTr="004B3C2F">
        <w:trPr>
          <w:trHeight w:val="174"/>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AUTOSERVICIOS</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4.5</w:t>
            </w:r>
          </w:p>
        </w:tc>
      </w:tr>
      <w:tr w:rsidR="007D229E" w:rsidRPr="004141F3" w:rsidTr="004B3C2F">
        <w:trPr>
          <w:trHeight w:val="248"/>
          <w:jc w:val="center"/>
        </w:trPr>
        <w:tc>
          <w:tcPr>
            <w:tcW w:w="3158" w:type="dxa"/>
            <w:vMerge/>
            <w:tcBorders>
              <w:top w:val="nil"/>
              <w:left w:val="single" w:sz="4" w:space="0" w:color="auto"/>
              <w:bottom w:val="single" w:sz="4" w:space="0" w:color="auto"/>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7.0</w:t>
            </w:r>
          </w:p>
        </w:tc>
      </w:tr>
      <w:tr w:rsidR="007D229E" w:rsidRPr="004141F3" w:rsidTr="004B3C2F">
        <w:trPr>
          <w:trHeight w:val="250"/>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 xml:space="preserve">DEPARTAMENTALES </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8.4</w:t>
            </w:r>
          </w:p>
        </w:tc>
      </w:tr>
      <w:tr w:rsidR="007D229E" w:rsidRPr="004141F3" w:rsidTr="004B3C2F">
        <w:trPr>
          <w:trHeight w:val="236"/>
          <w:jc w:val="center"/>
        </w:trPr>
        <w:tc>
          <w:tcPr>
            <w:tcW w:w="3158" w:type="dxa"/>
            <w:vMerge/>
            <w:tcBorders>
              <w:top w:val="nil"/>
              <w:left w:val="single" w:sz="4" w:space="0" w:color="auto"/>
              <w:bottom w:val="single" w:sz="4" w:space="0" w:color="auto"/>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13.8</w:t>
            </w:r>
          </w:p>
        </w:tc>
      </w:tr>
      <w:tr w:rsidR="007D229E" w:rsidRPr="004141F3" w:rsidTr="004B3C2F">
        <w:trPr>
          <w:trHeight w:val="264"/>
          <w:jc w:val="center"/>
        </w:trPr>
        <w:tc>
          <w:tcPr>
            <w:tcW w:w="31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7D229E" w:rsidRPr="004141F3" w:rsidRDefault="007D229E" w:rsidP="004B3C2F">
            <w:pPr>
              <w:rPr>
                <w:color w:val="000000"/>
                <w:sz w:val="18"/>
                <w:szCs w:val="20"/>
              </w:rPr>
            </w:pPr>
            <w:r w:rsidRPr="004141F3">
              <w:rPr>
                <w:color w:val="000000"/>
                <w:sz w:val="18"/>
                <w:szCs w:val="20"/>
              </w:rPr>
              <w:t>ESPECIALIZADAS</w:t>
            </w:r>
          </w:p>
        </w:tc>
        <w:tc>
          <w:tcPr>
            <w:tcW w:w="1511" w:type="dxa"/>
            <w:tcBorders>
              <w:top w:val="nil"/>
              <w:left w:val="nil"/>
              <w:bottom w:val="single" w:sz="4" w:space="0" w:color="auto"/>
              <w:right w:val="single" w:sz="4" w:space="0" w:color="auto"/>
            </w:tcBorders>
            <w:shd w:val="clear" w:color="auto" w:fill="DEEAF6" w:themeFill="accent1" w:themeFillTint="33"/>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IGUALES</w:t>
            </w:r>
            <w:r w:rsidRPr="004141F3">
              <w:rPr>
                <w:sz w:val="18"/>
                <w:szCs w:val="20"/>
                <w:u w:val="single"/>
                <w:vertAlign w:val="superscript"/>
              </w:rPr>
              <w:t>1</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DEEAF6" w:themeFill="accent1" w:themeFillTint="33"/>
            <w:noWrap/>
            <w:vAlign w:val="center"/>
          </w:tcPr>
          <w:p w:rsidR="007D229E" w:rsidRPr="004141F3" w:rsidRDefault="007D229E" w:rsidP="004B3C2F">
            <w:pPr>
              <w:ind w:left="-2197" w:right="484"/>
              <w:jc w:val="right"/>
              <w:rPr>
                <w:color w:val="000000"/>
                <w:sz w:val="18"/>
                <w:szCs w:val="20"/>
              </w:rPr>
            </w:pPr>
            <w:r>
              <w:rPr>
                <w:color w:val="000000"/>
                <w:sz w:val="18"/>
                <w:szCs w:val="20"/>
              </w:rPr>
              <w:t>4.8</w:t>
            </w:r>
          </w:p>
        </w:tc>
      </w:tr>
      <w:tr w:rsidR="007D229E" w:rsidRPr="004141F3" w:rsidTr="004B3C2F">
        <w:trPr>
          <w:trHeight w:val="236"/>
          <w:jc w:val="center"/>
        </w:trPr>
        <w:tc>
          <w:tcPr>
            <w:tcW w:w="3158" w:type="dxa"/>
            <w:vMerge/>
            <w:tcBorders>
              <w:top w:val="nil"/>
              <w:left w:val="single" w:sz="4" w:space="0" w:color="auto"/>
              <w:bottom w:val="single" w:sz="4" w:space="0" w:color="auto"/>
              <w:right w:val="single" w:sz="4" w:space="0" w:color="auto"/>
            </w:tcBorders>
            <w:vAlign w:val="center"/>
            <w:hideMark/>
          </w:tcPr>
          <w:p w:rsidR="007D229E" w:rsidRPr="004141F3" w:rsidRDefault="007D229E" w:rsidP="004B3C2F">
            <w:pPr>
              <w:rPr>
                <w:color w:val="000000"/>
                <w:sz w:val="18"/>
                <w:szCs w:val="20"/>
              </w:rPr>
            </w:pPr>
          </w:p>
        </w:tc>
        <w:tc>
          <w:tcPr>
            <w:tcW w:w="1511" w:type="dxa"/>
            <w:tcBorders>
              <w:top w:val="nil"/>
              <w:left w:val="nil"/>
              <w:bottom w:val="single" w:sz="4" w:space="0" w:color="auto"/>
              <w:right w:val="single" w:sz="4" w:space="0" w:color="auto"/>
            </w:tcBorders>
            <w:shd w:val="clear" w:color="auto" w:fill="auto"/>
            <w:noWrap/>
            <w:vAlign w:val="bottom"/>
            <w:hideMark/>
          </w:tcPr>
          <w:p w:rsidR="007D229E" w:rsidRPr="004141F3" w:rsidRDefault="007D229E" w:rsidP="004B3C2F">
            <w:pPr>
              <w:rPr>
                <w:color w:val="000000"/>
                <w:sz w:val="18"/>
                <w:szCs w:val="20"/>
              </w:rPr>
            </w:pPr>
            <w:r w:rsidRPr="004141F3">
              <w:rPr>
                <w:color w:val="000000"/>
                <w:sz w:val="18"/>
                <w:szCs w:val="20"/>
              </w:rPr>
              <w:t>T.</w:t>
            </w:r>
            <w:r>
              <w:rPr>
                <w:color w:val="000000"/>
                <w:sz w:val="18"/>
                <w:szCs w:val="20"/>
              </w:rPr>
              <w:t xml:space="preserve"> </w:t>
            </w:r>
            <w:r w:rsidRPr="004141F3">
              <w:rPr>
                <w:color w:val="000000"/>
                <w:sz w:val="18"/>
                <w:szCs w:val="20"/>
              </w:rPr>
              <w:t>TOTALES</w:t>
            </w:r>
            <w:r w:rsidRPr="004141F3">
              <w:rPr>
                <w:sz w:val="18"/>
                <w:szCs w:val="20"/>
                <w:u w:val="single"/>
                <w:vertAlign w:val="superscript"/>
              </w:rPr>
              <w:t>2</w:t>
            </w:r>
            <w:r w:rsidRPr="004141F3">
              <w:rPr>
                <w:sz w:val="18"/>
                <w:szCs w:val="20"/>
                <w:vertAlign w:val="superscript"/>
              </w:rPr>
              <w:t>/</w:t>
            </w:r>
          </w:p>
        </w:tc>
        <w:tc>
          <w:tcPr>
            <w:tcW w:w="1317" w:type="dxa"/>
            <w:tcBorders>
              <w:top w:val="nil"/>
              <w:left w:val="nil"/>
              <w:bottom w:val="single" w:sz="4" w:space="0" w:color="auto"/>
              <w:right w:val="single" w:sz="4" w:space="0" w:color="auto"/>
            </w:tcBorders>
            <w:shd w:val="clear" w:color="auto" w:fill="auto"/>
            <w:noWrap/>
            <w:vAlign w:val="center"/>
          </w:tcPr>
          <w:p w:rsidR="007D229E" w:rsidRPr="004141F3" w:rsidRDefault="007D229E" w:rsidP="004B3C2F">
            <w:pPr>
              <w:ind w:left="-2197" w:right="484"/>
              <w:jc w:val="right"/>
              <w:rPr>
                <w:color w:val="000000"/>
                <w:sz w:val="18"/>
                <w:szCs w:val="20"/>
              </w:rPr>
            </w:pPr>
            <w:r>
              <w:rPr>
                <w:color w:val="000000"/>
                <w:sz w:val="18"/>
                <w:szCs w:val="20"/>
              </w:rPr>
              <w:t>11.4</w:t>
            </w:r>
          </w:p>
        </w:tc>
      </w:tr>
      <w:tr w:rsidR="007D229E" w:rsidRPr="004141F3" w:rsidTr="004B3C2F">
        <w:trPr>
          <w:trHeight w:val="1734"/>
          <w:jc w:val="center"/>
        </w:trPr>
        <w:tc>
          <w:tcPr>
            <w:tcW w:w="5986" w:type="dxa"/>
            <w:gridSpan w:val="3"/>
            <w:tcBorders>
              <w:top w:val="single" w:sz="4" w:space="0" w:color="auto"/>
              <w:left w:val="nil"/>
              <w:bottom w:val="nil"/>
              <w:right w:val="nil"/>
            </w:tcBorders>
            <w:shd w:val="clear" w:color="auto" w:fill="auto"/>
            <w:noWrap/>
            <w:vAlign w:val="bottom"/>
            <w:hideMark/>
          </w:tcPr>
          <w:p w:rsidR="007D229E" w:rsidRPr="004141F3" w:rsidRDefault="007D229E" w:rsidP="004B3C2F">
            <w:pPr>
              <w:ind w:left="855" w:right="-62" w:hanging="204"/>
              <w:rPr>
                <w:sz w:val="20"/>
                <w:szCs w:val="20"/>
              </w:rPr>
            </w:pPr>
            <w:r w:rsidRPr="004141F3">
              <w:rPr>
                <w:sz w:val="20"/>
                <w:szCs w:val="20"/>
                <w:u w:val="single"/>
                <w:vertAlign w:val="superscript"/>
              </w:rPr>
              <w:t>1</w:t>
            </w:r>
            <w:r w:rsidRPr="004141F3">
              <w:rPr>
                <w:sz w:val="20"/>
                <w:szCs w:val="20"/>
                <w:vertAlign w:val="superscript"/>
              </w:rPr>
              <w:t>/</w:t>
            </w:r>
            <w:r w:rsidRPr="004141F3">
              <w:rPr>
                <w:sz w:val="20"/>
                <w:szCs w:val="20"/>
              </w:rPr>
              <w:t xml:space="preserve">  Tiendas Iguales. Se consideran las ventas para la misma tienda en el lapso de un año, no incluye nuevas tiendas.</w:t>
            </w:r>
          </w:p>
          <w:p w:rsidR="007D229E" w:rsidRDefault="007D229E" w:rsidP="004B3C2F">
            <w:pPr>
              <w:tabs>
                <w:tab w:val="left" w:pos="5846"/>
              </w:tabs>
              <w:ind w:left="855" w:right="-48" w:hanging="204"/>
              <w:jc w:val="both"/>
              <w:rPr>
                <w:sz w:val="20"/>
                <w:szCs w:val="20"/>
              </w:rPr>
            </w:pPr>
            <w:r w:rsidRPr="004141F3">
              <w:rPr>
                <w:sz w:val="20"/>
                <w:szCs w:val="20"/>
                <w:u w:val="single"/>
                <w:vertAlign w:val="superscript"/>
              </w:rPr>
              <w:t>2</w:t>
            </w:r>
            <w:r w:rsidRPr="004141F3">
              <w:rPr>
                <w:sz w:val="20"/>
                <w:szCs w:val="20"/>
                <w:vertAlign w:val="superscript"/>
              </w:rPr>
              <w:t>/</w:t>
            </w:r>
            <w:r w:rsidRPr="004141F3">
              <w:rPr>
                <w:sz w:val="20"/>
                <w:szCs w:val="20"/>
              </w:rPr>
              <w:t xml:space="preserve">  Tiendas Totales. Incluye a todas las tiendas sin importar si son o no de reciente creación.</w:t>
            </w:r>
          </w:p>
          <w:p w:rsidR="007D229E" w:rsidRPr="004141F3" w:rsidRDefault="007D229E" w:rsidP="004B3C2F">
            <w:pPr>
              <w:ind w:left="855" w:right="-48" w:hanging="204"/>
              <w:jc w:val="both"/>
              <w:rPr>
                <w:sz w:val="20"/>
                <w:szCs w:val="20"/>
              </w:rPr>
            </w:pPr>
            <w:r>
              <w:rPr>
                <w:sz w:val="20"/>
                <w:szCs w:val="20"/>
                <w:u w:val="single"/>
                <w:vertAlign w:val="superscript"/>
              </w:rPr>
              <w:t>3</w:t>
            </w:r>
            <w:r w:rsidRPr="004141F3">
              <w:rPr>
                <w:sz w:val="20"/>
                <w:szCs w:val="20"/>
                <w:vertAlign w:val="superscript"/>
              </w:rPr>
              <w:t>/</w:t>
            </w:r>
            <w:r w:rsidRPr="004141F3">
              <w:rPr>
                <w:sz w:val="20"/>
                <w:szCs w:val="20"/>
              </w:rPr>
              <w:t xml:space="preserve"> </w:t>
            </w:r>
            <w:r>
              <w:rPr>
                <w:bCs/>
                <w:sz w:val="20"/>
                <w:szCs w:val="20"/>
              </w:rPr>
              <w:t>L</w:t>
            </w:r>
            <w:r w:rsidRPr="00806FE9">
              <w:rPr>
                <w:bCs/>
                <w:sz w:val="20"/>
                <w:szCs w:val="20"/>
              </w:rPr>
              <w:t xml:space="preserve">a superficie total de venta suma </w:t>
            </w:r>
            <w:r>
              <w:rPr>
                <w:bCs/>
                <w:sz w:val="20"/>
                <w:szCs w:val="20"/>
              </w:rPr>
              <w:t>24.9</w:t>
            </w:r>
            <w:r w:rsidRPr="00806FE9">
              <w:rPr>
                <w:bCs/>
                <w:sz w:val="20"/>
                <w:szCs w:val="20"/>
              </w:rPr>
              <w:t xml:space="preserve"> millones de metros cuadrados</w:t>
            </w:r>
            <w:r>
              <w:rPr>
                <w:bCs/>
                <w:sz w:val="20"/>
                <w:szCs w:val="20"/>
              </w:rPr>
              <w:t>.</w:t>
            </w:r>
          </w:p>
          <w:p w:rsidR="007D229E" w:rsidRPr="004141F3" w:rsidRDefault="007D229E" w:rsidP="004B3C2F">
            <w:pPr>
              <w:rPr>
                <w:rFonts w:ascii="Calibri" w:hAnsi="Calibri" w:cs="Calibri"/>
                <w:color w:val="000000"/>
              </w:rPr>
            </w:pPr>
            <w:r w:rsidRPr="004141F3">
              <w:rPr>
                <w:sz w:val="20"/>
                <w:szCs w:val="20"/>
              </w:rPr>
              <w:t>FUENTE: ANTAD.</w:t>
            </w:r>
            <w:r w:rsidRPr="004141F3">
              <w:rPr>
                <w:rFonts w:ascii="Calibri" w:hAnsi="Calibri" w:cs="Calibri"/>
                <w:color w:val="000000"/>
              </w:rPr>
              <w:t> </w:t>
            </w:r>
          </w:p>
        </w:tc>
      </w:tr>
    </w:tbl>
    <w:p w:rsidR="007D229E" w:rsidRDefault="007D229E" w:rsidP="007D229E">
      <w:pPr>
        <w:autoSpaceDE w:val="0"/>
        <w:autoSpaceDN w:val="0"/>
        <w:adjustRightInd w:val="0"/>
        <w:jc w:val="both"/>
      </w:pPr>
    </w:p>
    <w:p w:rsidR="007D229E" w:rsidRPr="004141F3" w:rsidRDefault="007D229E" w:rsidP="007D229E">
      <w:pPr>
        <w:autoSpaceDE w:val="0"/>
        <w:autoSpaceDN w:val="0"/>
        <w:adjustRightInd w:val="0"/>
        <w:jc w:val="both"/>
      </w:pPr>
    </w:p>
    <w:p w:rsidR="007D229E" w:rsidRPr="001F182C" w:rsidRDefault="007D229E" w:rsidP="007D229E">
      <w:pPr>
        <w:autoSpaceDE w:val="0"/>
        <w:autoSpaceDN w:val="0"/>
        <w:adjustRightInd w:val="0"/>
        <w:jc w:val="both"/>
        <w:rPr>
          <w:sz w:val="20"/>
          <w:szCs w:val="20"/>
          <w:u w:val="single"/>
        </w:rPr>
      </w:pPr>
      <w:r w:rsidRPr="004141F3">
        <w:rPr>
          <w:b/>
          <w:sz w:val="20"/>
          <w:szCs w:val="20"/>
        </w:rPr>
        <w:t>Fuente de información:</w:t>
      </w:r>
      <w:r w:rsidRPr="004141F3">
        <w:rPr>
          <w:sz w:val="20"/>
          <w:szCs w:val="20"/>
        </w:rPr>
        <w:t xml:space="preserve"> ANTAD, </w:t>
      </w:r>
      <w:r w:rsidRPr="001D4B99">
        <w:rPr>
          <w:sz w:val="20"/>
          <w:szCs w:val="20"/>
        </w:rPr>
        <w:t>comunicados de prensa del 10 de marzo de 2015</w:t>
      </w:r>
      <w:r w:rsidRPr="001F182C">
        <w:rPr>
          <w:sz w:val="20"/>
          <w:szCs w:val="20"/>
          <w:u w:val="single"/>
        </w:rPr>
        <w:t>.</w:t>
      </w:r>
    </w:p>
    <w:p w:rsidR="00901565" w:rsidRPr="00901565" w:rsidRDefault="00935135" w:rsidP="00DF19A7">
      <w:pPr>
        <w:spacing w:after="200" w:line="276" w:lineRule="auto"/>
        <w:rPr>
          <w:sz w:val="20"/>
          <w:szCs w:val="20"/>
        </w:rPr>
      </w:pPr>
      <w:hyperlink r:id="rId29" w:history="1">
        <w:r w:rsidR="00901565" w:rsidRPr="00901565">
          <w:rPr>
            <w:rStyle w:val="Hipervnculo"/>
            <w:sz w:val="20"/>
            <w:szCs w:val="20"/>
          </w:rPr>
          <w:t>http://www.antad.net/documentos/ComPrensa/2015/FEBRERO2015.pdf</w:t>
        </w:r>
      </w:hyperlink>
      <w:r w:rsidR="00901565" w:rsidRPr="00901565">
        <w:rPr>
          <w:sz w:val="20"/>
          <w:szCs w:val="20"/>
        </w:rPr>
        <w:t xml:space="preserve"> </w:t>
      </w:r>
    </w:p>
    <w:p w:rsidR="007D229E" w:rsidRPr="00E313B7" w:rsidRDefault="00DF19A7" w:rsidP="00DF19A7">
      <w:pPr>
        <w:spacing w:after="200" w:line="276" w:lineRule="auto"/>
        <w:rPr>
          <w:b/>
          <w:color w:val="0000FF"/>
          <w:sz w:val="20"/>
          <w:szCs w:val="20"/>
        </w:rPr>
      </w:pPr>
      <w:r>
        <w:rPr>
          <w:b/>
          <w:sz w:val="20"/>
          <w:szCs w:val="20"/>
        </w:rPr>
        <w:br w:type="column"/>
      </w:r>
      <w:r w:rsidR="007D229E" w:rsidRPr="00E313B7">
        <w:rPr>
          <w:b/>
          <w:color w:val="0000FF"/>
          <w:sz w:val="26"/>
          <w:szCs w:val="26"/>
        </w:rPr>
        <w:lastRenderedPageBreak/>
        <w:t>Índice a Tiendas Totales por Línea de Mercancía (ANTAD)</w:t>
      </w:r>
    </w:p>
    <w:p w:rsidR="007D229E" w:rsidRDefault="007D229E" w:rsidP="007D229E">
      <w:pPr>
        <w:autoSpaceDE w:val="0"/>
        <w:autoSpaceDN w:val="0"/>
        <w:adjustRightInd w:val="0"/>
        <w:spacing w:before="360" w:after="360" w:line="360" w:lineRule="auto"/>
        <w:jc w:val="both"/>
        <w:rPr>
          <w:sz w:val="26"/>
          <w:szCs w:val="26"/>
        </w:rPr>
      </w:pPr>
      <w:r w:rsidRPr="008B4313">
        <w:rPr>
          <w:sz w:val="26"/>
          <w:szCs w:val="26"/>
        </w:rPr>
        <w:t xml:space="preserve">En febrero de 2015, la línea de mercancía correspondiente a supermercados (7.8%) se colocaron por abajo del Índice de Ventas a Tiendas Totales (8.7%) en </w:t>
      </w:r>
      <w:r>
        <w:rPr>
          <w:sz w:val="26"/>
          <w:szCs w:val="26"/>
        </w:rPr>
        <w:t>0.9</w:t>
      </w:r>
      <w:r w:rsidRPr="008B4313">
        <w:rPr>
          <w:sz w:val="26"/>
          <w:szCs w:val="26"/>
        </w:rPr>
        <w:t xml:space="preserve"> puntos porcentuales</w:t>
      </w:r>
      <w:r>
        <w:rPr>
          <w:sz w:val="26"/>
          <w:szCs w:val="26"/>
        </w:rPr>
        <w:t>. E</w:t>
      </w:r>
      <w:r w:rsidRPr="008B4313">
        <w:rPr>
          <w:sz w:val="26"/>
          <w:szCs w:val="26"/>
        </w:rPr>
        <w:t xml:space="preserve">n febrero de 2014, </w:t>
      </w:r>
      <w:r>
        <w:rPr>
          <w:sz w:val="26"/>
          <w:szCs w:val="26"/>
        </w:rPr>
        <w:t xml:space="preserve">la diferencia en la variación de estas dos </w:t>
      </w:r>
      <w:r w:rsidR="00D92561">
        <w:rPr>
          <w:sz w:val="26"/>
          <w:szCs w:val="26"/>
        </w:rPr>
        <w:t xml:space="preserve">variables </w:t>
      </w:r>
      <w:r w:rsidR="00D92561" w:rsidRPr="008B4313">
        <w:rPr>
          <w:sz w:val="26"/>
          <w:szCs w:val="26"/>
        </w:rPr>
        <w:t>fue</w:t>
      </w:r>
      <w:r>
        <w:rPr>
          <w:sz w:val="26"/>
          <w:szCs w:val="26"/>
        </w:rPr>
        <w:t xml:space="preserve"> de 0.6</w:t>
      </w:r>
      <w:r w:rsidRPr="008B4313">
        <w:rPr>
          <w:sz w:val="26"/>
          <w:szCs w:val="26"/>
        </w:rPr>
        <w:t xml:space="preserve"> puntos porcentuales.</w:t>
      </w:r>
    </w:p>
    <w:tbl>
      <w:tblPr>
        <w:tblStyle w:val="Tablaconcuadrcula17"/>
        <w:tblpPr w:leftFromText="141" w:rightFromText="141" w:vertAnchor="page" w:horzAnchor="margin" w:tblpY="4098"/>
        <w:tblOverlap w:val="never"/>
        <w:tblW w:w="89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1"/>
      </w:tblGrid>
      <w:tr w:rsidR="0057096D" w:rsidRPr="00B92F14" w:rsidTr="0057096D">
        <w:tc>
          <w:tcPr>
            <w:tcW w:w="8901" w:type="dxa"/>
          </w:tcPr>
          <w:p w:rsidR="0057096D" w:rsidRPr="00B92F14" w:rsidRDefault="0057096D" w:rsidP="0057096D">
            <w:pPr>
              <w:jc w:val="center"/>
              <w:rPr>
                <w:b/>
                <w:bCs/>
                <w:kern w:val="24"/>
                <w:sz w:val="22"/>
                <w:szCs w:val="22"/>
                <w:lang w:val="es-ES_tradnl"/>
              </w:rPr>
            </w:pPr>
            <w:r w:rsidRPr="00B92F14">
              <w:rPr>
                <w:b/>
                <w:bCs/>
                <w:kern w:val="24"/>
                <w:sz w:val="22"/>
                <w:szCs w:val="22"/>
                <w:lang w:val="es-ES_tradnl"/>
              </w:rPr>
              <w:t xml:space="preserve">ÍNDICE NACIONAL DE PRECIOS AL CONSUMIDOR </w:t>
            </w:r>
          </w:p>
          <w:p w:rsidR="0057096D" w:rsidRPr="00B92F14" w:rsidRDefault="0057096D" w:rsidP="0057096D">
            <w:pPr>
              <w:jc w:val="center"/>
              <w:rPr>
                <w:sz w:val="22"/>
                <w:szCs w:val="22"/>
                <w:vertAlign w:val="superscript"/>
              </w:rPr>
            </w:pPr>
            <w:r w:rsidRPr="00B92F14">
              <w:rPr>
                <w:b/>
                <w:bCs/>
                <w:kern w:val="24"/>
                <w:sz w:val="22"/>
                <w:szCs w:val="22"/>
                <w:lang w:val="es-ES_tradnl"/>
              </w:rPr>
              <w:t>A TIENDAS TOTALES POR LÍNEA DE MERCANCÍA</w:t>
            </w:r>
          </w:p>
          <w:p w:rsidR="0057096D" w:rsidRPr="00B92F14" w:rsidRDefault="0057096D" w:rsidP="0057096D">
            <w:pPr>
              <w:jc w:val="center"/>
              <w:rPr>
                <w:b/>
                <w:sz w:val="22"/>
                <w:szCs w:val="22"/>
              </w:rPr>
            </w:pPr>
            <w:r w:rsidRPr="00B92F14">
              <w:rPr>
                <w:b/>
                <w:bCs/>
                <w:kern w:val="24"/>
                <w:sz w:val="22"/>
                <w:szCs w:val="22"/>
                <w:lang w:val="es-ES_tradnl"/>
              </w:rPr>
              <w:t xml:space="preserve">- Variaciones mensuales </w:t>
            </w:r>
            <w:r w:rsidRPr="00B92F14">
              <w:rPr>
                <w:b/>
                <w:bCs/>
                <w:kern w:val="24"/>
                <w:sz w:val="22"/>
                <w:szCs w:val="22"/>
                <w:lang w:val="es-MX"/>
              </w:rPr>
              <w:t>-</w:t>
            </w:r>
            <w:r w:rsidRPr="00B92F14">
              <w:rPr>
                <w:b/>
                <w:bCs/>
                <w:kern w:val="24"/>
                <w:sz w:val="22"/>
                <w:szCs w:val="22"/>
                <w:lang w:val="es-ES_tradnl"/>
              </w:rPr>
              <w:t xml:space="preserve"> </w:t>
            </w:r>
          </w:p>
          <w:p w:rsidR="0057096D" w:rsidRPr="00B92F14" w:rsidRDefault="0057096D" w:rsidP="0057096D">
            <w:pPr>
              <w:jc w:val="center"/>
              <w:rPr>
                <w:b/>
                <w:bCs/>
                <w:kern w:val="24"/>
                <w:sz w:val="22"/>
                <w:szCs w:val="22"/>
                <w:lang w:val="es-MX"/>
              </w:rPr>
            </w:pPr>
            <w:r>
              <w:rPr>
                <w:b/>
                <w:bCs/>
                <w:kern w:val="24"/>
                <w:sz w:val="22"/>
                <w:szCs w:val="22"/>
                <w:lang w:val="es-MX"/>
              </w:rPr>
              <w:t>Febrero</w:t>
            </w:r>
            <w:r w:rsidRPr="00B92F14">
              <w:rPr>
                <w:b/>
                <w:bCs/>
                <w:kern w:val="24"/>
                <w:sz w:val="22"/>
                <w:szCs w:val="22"/>
                <w:lang w:val="es-MX"/>
              </w:rPr>
              <w:t xml:space="preserve"> 2013 – </w:t>
            </w:r>
            <w:r>
              <w:rPr>
                <w:b/>
                <w:bCs/>
                <w:kern w:val="24"/>
                <w:sz w:val="22"/>
                <w:szCs w:val="22"/>
                <w:lang w:val="es-MX"/>
              </w:rPr>
              <w:t xml:space="preserve">febrero </w:t>
            </w:r>
            <w:r w:rsidRPr="00B92F14">
              <w:rPr>
                <w:b/>
                <w:bCs/>
                <w:kern w:val="24"/>
                <w:sz w:val="22"/>
                <w:szCs w:val="22"/>
                <w:lang w:val="es-MX"/>
              </w:rPr>
              <w:t>201</w:t>
            </w:r>
            <w:r>
              <w:rPr>
                <w:b/>
                <w:bCs/>
                <w:kern w:val="24"/>
                <w:sz w:val="22"/>
                <w:szCs w:val="22"/>
                <w:lang w:val="es-MX"/>
              </w:rPr>
              <w:t>5</w:t>
            </w:r>
          </w:p>
          <w:p w:rsidR="0057096D" w:rsidRPr="00B92F14" w:rsidRDefault="0057096D" w:rsidP="0057096D">
            <w:pPr>
              <w:jc w:val="center"/>
              <w:rPr>
                <w:b/>
                <w:sz w:val="22"/>
                <w:szCs w:val="22"/>
              </w:rPr>
            </w:pPr>
            <w:r w:rsidRPr="00B92F14">
              <w:rPr>
                <w:b/>
                <w:sz w:val="22"/>
                <w:szCs w:val="22"/>
              </w:rPr>
              <w:t>- Por ciento -</w:t>
            </w:r>
          </w:p>
        </w:tc>
      </w:tr>
      <w:tr w:rsidR="0057096D" w:rsidRPr="00B92F14" w:rsidTr="0057096D">
        <w:tc>
          <w:tcPr>
            <w:tcW w:w="8901" w:type="dxa"/>
          </w:tcPr>
          <w:p w:rsidR="0057096D" w:rsidRPr="00171D51" w:rsidRDefault="0057096D" w:rsidP="0057096D">
            <w:pPr>
              <w:tabs>
                <w:tab w:val="left" w:pos="5080"/>
              </w:tabs>
              <w:spacing w:line="360" w:lineRule="auto"/>
              <w:ind w:right="20"/>
              <w:jc w:val="both"/>
              <w:rPr>
                <w:color w:val="262626" w:themeColor="text1" w:themeTint="D9"/>
                <w:sz w:val="40"/>
                <w:szCs w:val="40"/>
                <w:highlight w:val="lightGray"/>
              </w:rPr>
            </w:pPr>
            <w:r w:rsidRPr="00AD4573">
              <w:rPr>
                <w:noProof/>
                <w:color w:val="0D0D0D" w:themeColor="text1" w:themeTint="F2"/>
                <w:sz w:val="40"/>
                <w:szCs w:val="40"/>
                <w:lang w:val="es-MX" w:eastAsia="es-MX"/>
              </w:rPr>
              <w:drawing>
                <wp:inline distT="0" distB="0" distL="0" distR="0" wp14:anchorId="418689AE" wp14:editId="615CB412">
                  <wp:extent cx="5486400" cy="3200400"/>
                  <wp:effectExtent l="0" t="0" r="0" b="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57096D" w:rsidRPr="00B92F14" w:rsidTr="0057096D">
        <w:tc>
          <w:tcPr>
            <w:tcW w:w="8901" w:type="dxa"/>
          </w:tcPr>
          <w:p w:rsidR="0057096D" w:rsidRPr="00B92F14" w:rsidRDefault="0057096D" w:rsidP="0057096D">
            <w:pPr>
              <w:tabs>
                <w:tab w:val="left" w:pos="378"/>
              </w:tabs>
              <w:ind w:left="1274" w:right="-17" w:hanging="882"/>
              <w:jc w:val="both"/>
              <w:rPr>
                <w:color w:val="000000"/>
                <w:kern w:val="24"/>
                <w:sz w:val="20"/>
                <w:szCs w:val="20"/>
                <w:highlight w:val="lightGray"/>
              </w:rPr>
            </w:pPr>
            <w:r w:rsidRPr="00B92F14">
              <w:rPr>
                <w:sz w:val="20"/>
                <w:szCs w:val="20"/>
              </w:rPr>
              <w:t>FUENTE: Elaborado por la Comisión Nacional de los Salarios Mínimos con información de la Asociación Nacional de Tiendas de Autoservicio y Departamentales.</w:t>
            </w:r>
          </w:p>
        </w:tc>
      </w:tr>
    </w:tbl>
    <w:p w:rsidR="007D229E" w:rsidRPr="0049548C" w:rsidRDefault="007D229E" w:rsidP="007D229E">
      <w:pPr>
        <w:autoSpaceDE w:val="0"/>
        <w:autoSpaceDN w:val="0"/>
        <w:adjustRightInd w:val="0"/>
        <w:jc w:val="both"/>
        <w:rPr>
          <w:rFonts w:eastAsiaTheme="minorHAnsi"/>
          <w:sz w:val="20"/>
          <w:szCs w:val="20"/>
          <w:lang w:val="es-MX" w:eastAsia="en-US"/>
        </w:rPr>
      </w:pPr>
    </w:p>
    <w:p w:rsidR="007D229E" w:rsidRPr="0049548C" w:rsidRDefault="007D229E" w:rsidP="007D229E">
      <w:pPr>
        <w:autoSpaceDE w:val="0"/>
        <w:autoSpaceDN w:val="0"/>
        <w:adjustRightInd w:val="0"/>
        <w:jc w:val="both"/>
        <w:rPr>
          <w:sz w:val="20"/>
          <w:szCs w:val="20"/>
          <w:u w:val="single"/>
        </w:rPr>
      </w:pPr>
      <w:r w:rsidRPr="0049548C">
        <w:rPr>
          <w:b/>
          <w:sz w:val="20"/>
          <w:szCs w:val="20"/>
        </w:rPr>
        <w:t>Fuente de información:</w:t>
      </w:r>
      <w:r w:rsidRPr="0049548C">
        <w:rPr>
          <w:sz w:val="20"/>
          <w:szCs w:val="20"/>
        </w:rPr>
        <w:t xml:space="preserve"> ANTAD, comunicados de prensa del </w:t>
      </w:r>
      <w:r>
        <w:rPr>
          <w:sz w:val="20"/>
          <w:szCs w:val="20"/>
        </w:rPr>
        <w:t>10</w:t>
      </w:r>
      <w:r w:rsidRPr="00307E77">
        <w:rPr>
          <w:sz w:val="20"/>
          <w:szCs w:val="20"/>
        </w:rPr>
        <w:t xml:space="preserve"> de </w:t>
      </w:r>
      <w:r>
        <w:rPr>
          <w:sz w:val="20"/>
          <w:szCs w:val="20"/>
        </w:rPr>
        <w:t xml:space="preserve">marzo </w:t>
      </w:r>
      <w:r w:rsidRPr="0049548C">
        <w:rPr>
          <w:sz w:val="20"/>
          <w:szCs w:val="20"/>
        </w:rPr>
        <w:t>de 201</w:t>
      </w:r>
      <w:r>
        <w:rPr>
          <w:sz w:val="20"/>
          <w:szCs w:val="20"/>
        </w:rPr>
        <w:t>5</w:t>
      </w:r>
      <w:r w:rsidRPr="0049548C">
        <w:rPr>
          <w:sz w:val="20"/>
          <w:szCs w:val="20"/>
        </w:rPr>
        <w:t>.</w:t>
      </w:r>
    </w:p>
    <w:p w:rsidR="00364D4D" w:rsidRPr="0057096D" w:rsidRDefault="00935135" w:rsidP="00364D4D">
      <w:pPr>
        <w:jc w:val="both"/>
        <w:rPr>
          <w:color w:val="000000"/>
          <w:sz w:val="20"/>
          <w:szCs w:val="20"/>
        </w:rPr>
      </w:pPr>
      <w:hyperlink r:id="rId31" w:history="1">
        <w:r w:rsidR="0057096D" w:rsidRPr="0057096D">
          <w:rPr>
            <w:rStyle w:val="Hipervnculo"/>
            <w:sz w:val="20"/>
            <w:szCs w:val="20"/>
          </w:rPr>
          <w:t>http://www.antad.net/documentos/ComPrensa/2015/FEBRERO2015.pdf</w:t>
        </w:r>
      </w:hyperlink>
      <w:r w:rsidR="0057096D" w:rsidRPr="0057096D">
        <w:rPr>
          <w:sz w:val="20"/>
          <w:szCs w:val="20"/>
        </w:rPr>
        <w:t xml:space="preserve"> </w:t>
      </w:r>
    </w:p>
    <w:p w:rsidR="00364D4D" w:rsidRPr="00E313B7" w:rsidRDefault="00364D4D" w:rsidP="00364D4D">
      <w:pPr>
        <w:pStyle w:val="Ttulo1"/>
        <w:spacing w:after="360"/>
        <w:jc w:val="left"/>
        <w:rPr>
          <w:color w:val="0000FF"/>
          <w:sz w:val="26"/>
          <w:szCs w:val="26"/>
        </w:rPr>
      </w:pPr>
      <w:r>
        <w:rPr>
          <w:rFonts w:eastAsiaTheme="minorHAnsi"/>
          <w:sz w:val="20"/>
          <w:szCs w:val="20"/>
          <w:lang w:val="es-MX" w:eastAsia="en-US"/>
        </w:rPr>
        <w:br w:type="column"/>
      </w:r>
      <w:r w:rsidRPr="00E313B7">
        <w:rPr>
          <w:color w:val="0000FF"/>
          <w:sz w:val="26"/>
          <w:szCs w:val="26"/>
        </w:rPr>
        <w:lastRenderedPageBreak/>
        <w:t>Índice Nacional de Precios Productor</w:t>
      </w:r>
    </w:p>
    <w:p w:rsidR="00364D4D" w:rsidRPr="001251BA" w:rsidRDefault="00364D4D" w:rsidP="00364D4D">
      <w:pPr>
        <w:spacing w:line="360" w:lineRule="auto"/>
        <w:ind w:right="20"/>
        <w:jc w:val="both"/>
        <w:rPr>
          <w:sz w:val="26"/>
          <w:szCs w:val="26"/>
          <w:lang w:val="es-MX"/>
        </w:rPr>
      </w:pPr>
      <w:r w:rsidRPr="001251BA">
        <w:rPr>
          <w:sz w:val="26"/>
          <w:szCs w:val="26"/>
          <w:lang w:val="es-MX"/>
        </w:rPr>
        <w:t>El Índice Nacional de Precios Productor sin incluir el efecto del petróleo crudo de</w:t>
      </w:r>
      <w:r>
        <w:rPr>
          <w:sz w:val="26"/>
          <w:szCs w:val="26"/>
          <w:lang w:val="es-MX"/>
        </w:rPr>
        <w:t xml:space="preserve"> </w:t>
      </w:r>
      <w:r w:rsidRPr="001251BA">
        <w:rPr>
          <w:sz w:val="26"/>
          <w:szCs w:val="26"/>
          <w:lang w:val="es-MX"/>
        </w:rPr>
        <w:t xml:space="preserve">exportación y sin servicios, en </w:t>
      </w:r>
      <w:r w:rsidR="001244B5">
        <w:rPr>
          <w:sz w:val="26"/>
          <w:szCs w:val="26"/>
          <w:lang w:val="es-MX"/>
        </w:rPr>
        <w:t>febrero</w:t>
      </w:r>
      <w:r w:rsidRPr="001251BA">
        <w:rPr>
          <w:sz w:val="26"/>
          <w:szCs w:val="26"/>
          <w:lang w:val="es-MX"/>
        </w:rPr>
        <w:t xml:space="preserve"> de </w:t>
      </w:r>
      <w:r w:rsidR="00A209C7">
        <w:rPr>
          <w:sz w:val="26"/>
          <w:szCs w:val="26"/>
          <w:lang w:val="es-MX"/>
        </w:rPr>
        <w:t>2015</w:t>
      </w:r>
      <w:r w:rsidRPr="001251BA">
        <w:rPr>
          <w:sz w:val="26"/>
          <w:szCs w:val="26"/>
          <w:lang w:val="es-MX"/>
        </w:rPr>
        <w:t xml:space="preserve">, mostró una variación de </w:t>
      </w:r>
      <w:r w:rsidR="00491440">
        <w:rPr>
          <w:sz w:val="26"/>
          <w:szCs w:val="26"/>
          <w:lang w:val="es-MX"/>
        </w:rPr>
        <w:t>0.33</w:t>
      </w:r>
      <w:r w:rsidRPr="001251BA">
        <w:rPr>
          <w:sz w:val="26"/>
          <w:szCs w:val="26"/>
          <w:lang w:val="es-MX"/>
        </w:rPr>
        <w:t>%</w:t>
      </w:r>
      <w:r>
        <w:rPr>
          <w:sz w:val="26"/>
          <w:szCs w:val="26"/>
          <w:lang w:val="es-MX"/>
        </w:rPr>
        <w:t>, no obstante</w:t>
      </w:r>
      <w:r w:rsidRPr="001251BA">
        <w:rPr>
          <w:sz w:val="26"/>
          <w:szCs w:val="26"/>
          <w:lang w:val="es-MX"/>
        </w:rPr>
        <w:t>,</w:t>
      </w:r>
      <w:r>
        <w:rPr>
          <w:sz w:val="26"/>
          <w:szCs w:val="26"/>
          <w:lang w:val="es-MX"/>
        </w:rPr>
        <w:t xml:space="preserve"> acumuló una variación de </w:t>
      </w:r>
      <w:r w:rsidR="00491440">
        <w:rPr>
          <w:sz w:val="26"/>
          <w:szCs w:val="26"/>
          <w:lang w:val="es-MX"/>
        </w:rPr>
        <w:t>1.02</w:t>
      </w:r>
      <w:r>
        <w:rPr>
          <w:sz w:val="26"/>
          <w:szCs w:val="26"/>
          <w:lang w:val="es-MX"/>
        </w:rPr>
        <w:t>%,</w:t>
      </w:r>
      <w:r w:rsidRPr="001251BA">
        <w:rPr>
          <w:sz w:val="26"/>
          <w:szCs w:val="26"/>
          <w:lang w:val="es-MX"/>
        </w:rPr>
        <w:t xml:space="preserve"> cifra </w:t>
      </w:r>
      <w:r w:rsidR="00491440">
        <w:rPr>
          <w:sz w:val="26"/>
          <w:szCs w:val="26"/>
          <w:lang w:val="es-MX"/>
        </w:rPr>
        <w:t>inferior</w:t>
      </w:r>
      <w:r w:rsidRPr="001251BA">
        <w:rPr>
          <w:sz w:val="26"/>
          <w:szCs w:val="26"/>
          <w:lang w:val="es-MX"/>
        </w:rPr>
        <w:t xml:space="preserve"> en </w:t>
      </w:r>
      <w:r w:rsidR="00491440">
        <w:rPr>
          <w:sz w:val="26"/>
          <w:szCs w:val="26"/>
          <w:lang w:val="es-MX"/>
        </w:rPr>
        <w:t>0.24</w:t>
      </w:r>
      <w:r w:rsidRPr="001251BA">
        <w:rPr>
          <w:sz w:val="26"/>
          <w:szCs w:val="26"/>
          <w:lang w:val="es-MX"/>
        </w:rPr>
        <w:t xml:space="preserve"> puntos porcentuales a la de igual </w:t>
      </w:r>
      <w:r>
        <w:rPr>
          <w:sz w:val="26"/>
          <w:szCs w:val="26"/>
          <w:lang w:val="es-MX"/>
        </w:rPr>
        <w:t>lapso</w:t>
      </w:r>
      <w:r w:rsidRPr="001251BA">
        <w:rPr>
          <w:sz w:val="26"/>
          <w:szCs w:val="26"/>
          <w:lang w:val="es-MX"/>
        </w:rPr>
        <w:t xml:space="preserve"> de </w:t>
      </w:r>
      <w:r w:rsidR="00A209C7">
        <w:rPr>
          <w:sz w:val="26"/>
          <w:szCs w:val="26"/>
          <w:lang w:val="es-MX"/>
        </w:rPr>
        <w:t>2014</w:t>
      </w:r>
      <w:r w:rsidRPr="001251BA">
        <w:rPr>
          <w:sz w:val="26"/>
          <w:szCs w:val="26"/>
          <w:lang w:val="es-MX"/>
        </w:rPr>
        <w:t>, cuando</w:t>
      </w:r>
      <w:r>
        <w:rPr>
          <w:sz w:val="26"/>
          <w:szCs w:val="26"/>
          <w:lang w:val="es-MX"/>
        </w:rPr>
        <w:t xml:space="preserve"> </w:t>
      </w:r>
      <w:r w:rsidRPr="001251BA">
        <w:rPr>
          <w:sz w:val="26"/>
          <w:szCs w:val="26"/>
          <w:lang w:val="es-MX"/>
        </w:rPr>
        <w:t xml:space="preserve">fue de </w:t>
      </w:r>
      <w:r w:rsidR="00491440">
        <w:rPr>
          <w:sz w:val="26"/>
          <w:szCs w:val="26"/>
          <w:lang w:val="es-MX"/>
        </w:rPr>
        <w:t>1.26</w:t>
      </w:r>
      <w:r w:rsidRPr="001251BA">
        <w:rPr>
          <w:sz w:val="26"/>
          <w:szCs w:val="26"/>
          <w:lang w:val="es-MX"/>
        </w:rPr>
        <w:t xml:space="preserve"> por ciento.</w:t>
      </w:r>
    </w:p>
    <w:p w:rsidR="00364D4D" w:rsidRDefault="00364D4D" w:rsidP="00364D4D">
      <w:pPr>
        <w:spacing w:line="360" w:lineRule="auto"/>
        <w:ind w:right="20"/>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64D4D" w:rsidTr="00B17B53">
        <w:tc>
          <w:tcPr>
            <w:tcW w:w="8980" w:type="dxa"/>
          </w:tcPr>
          <w:p w:rsidR="00364D4D" w:rsidRPr="00914270" w:rsidRDefault="00364D4D" w:rsidP="00B17B53">
            <w:pPr>
              <w:pStyle w:val="NormalWeb"/>
              <w:spacing w:before="0" w:beforeAutospacing="0" w:after="0" w:afterAutospacing="0"/>
              <w:jc w:val="center"/>
              <w:rPr>
                <w:sz w:val="22"/>
                <w:szCs w:val="22"/>
              </w:rPr>
            </w:pPr>
            <w:r w:rsidRPr="00914270">
              <w:rPr>
                <w:b/>
                <w:bCs/>
                <w:color w:val="000000"/>
                <w:kern w:val="24"/>
                <w:sz w:val="22"/>
                <w:szCs w:val="22"/>
              </w:rPr>
              <w:t xml:space="preserve">ÍNDICE NACIONAL DE PRECIOS PRODUCTOR </w:t>
            </w:r>
          </w:p>
          <w:p w:rsidR="00364D4D" w:rsidRPr="00914270" w:rsidRDefault="00364D4D" w:rsidP="00B17B53">
            <w:pPr>
              <w:pStyle w:val="NormalWeb"/>
              <w:spacing w:before="0" w:beforeAutospacing="0" w:after="0" w:afterAutospacing="0"/>
              <w:jc w:val="center"/>
              <w:rPr>
                <w:sz w:val="22"/>
                <w:szCs w:val="22"/>
              </w:rPr>
            </w:pPr>
            <w:r w:rsidRPr="00914270">
              <w:rPr>
                <w:b/>
                <w:bCs/>
                <w:color w:val="000000"/>
                <w:kern w:val="24"/>
                <w:sz w:val="22"/>
                <w:szCs w:val="22"/>
              </w:rPr>
              <w:t>SIN PETRÓLEO Y SIN SERVICIOS</w:t>
            </w:r>
          </w:p>
          <w:p w:rsidR="00364D4D" w:rsidRPr="00E60661" w:rsidRDefault="00364D4D" w:rsidP="00B17B53">
            <w:pPr>
              <w:pStyle w:val="NormalWeb"/>
              <w:spacing w:before="0" w:beforeAutospacing="0" w:after="0" w:afterAutospacing="0"/>
              <w:jc w:val="center"/>
              <w:rPr>
                <w:b/>
                <w:sz w:val="22"/>
                <w:szCs w:val="22"/>
              </w:rPr>
            </w:pPr>
            <w:r w:rsidRPr="00E60661">
              <w:rPr>
                <w:b/>
                <w:bCs/>
                <w:color w:val="000000"/>
                <w:kern w:val="24"/>
                <w:sz w:val="22"/>
                <w:szCs w:val="22"/>
                <w:lang w:val="es-ES_tradnl"/>
              </w:rPr>
              <w:t xml:space="preserve">- Variaciones </w:t>
            </w:r>
            <w:r>
              <w:rPr>
                <w:b/>
                <w:bCs/>
                <w:color w:val="000000"/>
                <w:kern w:val="24"/>
                <w:sz w:val="22"/>
                <w:szCs w:val="22"/>
                <w:lang w:val="es-ES_tradnl"/>
              </w:rPr>
              <w:t>acumuladas</w:t>
            </w:r>
            <w:r w:rsidRPr="00E60661">
              <w:rPr>
                <w:b/>
                <w:bCs/>
                <w:color w:val="000000"/>
                <w:kern w:val="24"/>
                <w:sz w:val="22"/>
                <w:szCs w:val="22"/>
                <w:lang w:val="es-ES_tradnl"/>
              </w:rPr>
              <w:t xml:space="preserve"> -</w:t>
            </w:r>
          </w:p>
          <w:p w:rsidR="00364D4D" w:rsidRPr="00E60661" w:rsidRDefault="00364D4D" w:rsidP="00B17B53">
            <w:pPr>
              <w:pStyle w:val="NormalWeb"/>
              <w:spacing w:before="0" w:beforeAutospacing="0" w:after="0" w:afterAutospacing="0"/>
              <w:jc w:val="center"/>
              <w:rPr>
                <w:b/>
                <w:sz w:val="22"/>
                <w:szCs w:val="22"/>
              </w:rPr>
            </w:pPr>
            <w:r>
              <w:rPr>
                <w:b/>
                <w:bCs/>
                <w:color w:val="000000"/>
                <w:kern w:val="24"/>
                <w:sz w:val="22"/>
                <w:szCs w:val="22"/>
                <w:lang w:val="es-MX"/>
              </w:rPr>
              <w:t xml:space="preserve">Enero - </w:t>
            </w:r>
            <w:r w:rsidR="001244B5">
              <w:rPr>
                <w:b/>
                <w:bCs/>
                <w:color w:val="000000"/>
                <w:kern w:val="24"/>
                <w:sz w:val="22"/>
                <w:szCs w:val="22"/>
                <w:lang w:val="es-MX"/>
              </w:rPr>
              <w:t>febrero</w:t>
            </w:r>
          </w:p>
          <w:p w:rsidR="00364D4D" w:rsidRPr="00F735D5" w:rsidRDefault="00364D4D" w:rsidP="00B17B53">
            <w:pPr>
              <w:pStyle w:val="NormalWeb"/>
              <w:spacing w:before="0" w:beforeAutospacing="0" w:after="0" w:afterAutospacing="0"/>
              <w:jc w:val="center"/>
              <w:rPr>
                <w:b/>
                <w:bCs/>
                <w:color w:val="000000"/>
                <w:kern w:val="24"/>
                <w:sz w:val="22"/>
                <w:szCs w:val="22"/>
                <w:lang w:val="es-MX"/>
              </w:rPr>
            </w:pPr>
            <w:r w:rsidRPr="00F735D5">
              <w:rPr>
                <w:b/>
                <w:bCs/>
                <w:color w:val="000000"/>
                <w:kern w:val="24"/>
                <w:sz w:val="22"/>
                <w:szCs w:val="22"/>
                <w:lang w:val="es-MX"/>
              </w:rPr>
              <w:t>200</w:t>
            </w:r>
            <w:r w:rsidR="00491440">
              <w:rPr>
                <w:b/>
                <w:bCs/>
                <w:color w:val="000000"/>
                <w:kern w:val="24"/>
                <w:sz w:val="22"/>
                <w:szCs w:val="22"/>
                <w:lang w:val="es-MX"/>
              </w:rPr>
              <w:t>6</w:t>
            </w:r>
            <w:r w:rsidRPr="00F735D5">
              <w:rPr>
                <w:b/>
                <w:bCs/>
                <w:color w:val="000000"/>
                <w:kern w:val="24"/>
                <w:sz w:val="22"/>
                <w:szCs w:val="22"/>
                <w:lang w:val="es-MX"/>
              </w:rPr>
              <w:t xml:space="preserve"> – </w:t>
            </w:r>
            <w:r w:rsidR="00A209C7">
              <w:rPr>
                <w:b/>
                <w:bCs/>
                <w:color w:val="000000"/>
                <w:kern w:val="24"/>
                <w:sz w:val="22"/>
                <w:szCs w:val="22"/>
                <w:lang w:val="es-MX"/>
              </w:rPr>
              <w:t>2015</w:t>
            </w:r>
          </w:p>
          <w:p w:rsidR="00364D4D" w:rsidRPr="005E33DB" w:rsidRDefault="00364D4D" w:rsidP="00B17B53">
            <w:pPr>
              <w:pStyle w:val="NormalWeb"/>
              <w:spacing w:before="0" w:beforeAutospacing="0" w:after="0" w:afterAutospacing="0"/>
              <w:jc w:val="center"/>
              <w:rPr>
                <w:b/>
                <w:sz w:val="22"/>
                <w:szCs w:val="22"/>
              </w:rPr>
            </w:pPr>
            <w:r>
              <w:rPr>
                <w:b/>
                <w:sz w:val="22"/>
                <w:szCs w:val="22"/>
              </w:rPr>
              <w:t>- Por ciento -</w:t>
            </w:r>
          </w:p>
        </w:tc>
      </w:tr>
      <w:tr w:rsidR="00364D4D" w:rsidTr="00B17B53">
        <w:tc>
          <w:tcPr>
            <w:tcW w:w="8980" w:type="dxa"/>
          </w:tcPr>
          <w:p w:rsidR="00364D4D" w:rsidRDefault="00364D4D" w:rsidP="00B17B53">
            <w:pPr>
              <w:spacing w:line="360" w:lineRule="auto"/>
              <w:ind w:right="20"/>
              <w:jc w:val="center"/>
              <w:rPr>
                <w:sz w:val="26"/>
                <w:szCs w:val="26"/>
              </w:rPr>
            </w:pPr>
            <w:r>
              <w:rPr>
                <w:noProof/>
                <w:lang w:val="es-MX" w:eastAsia="es-MX"/>
              </w:rPr>
              <w:drawing>
                <wp:inline distT="0" distB="0" distL="0" distR="0" wp14:anchorId="7A9303B9" wp14:editId="7502B91B">
                  <wp:extent cx="5497033" cy="3062176"/>
                  <wp:effectExtent l="0" t="0" r="8890" b="5080"/>
                  <wp:docPr id="3159" name="Objeto 29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364D4D" w:rsidTr="00B17B53">
        <w:tc>
          <w:tcPr>
            <w:tcW w:w="8980" w:type="dxa"/>
          </w:tcPr>
          <w:p w:rsidR="00364D4D" w:rsidRPr="005E33DB" w:rsidRDefault="00364D4D" w:rsidP="00B17B53">
            <w:pPr>
              <w:pStyle w:val="NormalWeb"/>
              <w:spacing w:before="0" w:beforeAutospacing="0" w:after="0" w:afterAutospacing="0"/>
              <w:ind w:left="1334" w:right="407" w:hanging="872"/>
              <w:jc w:val="both"/>
              <w:rPr>
                <w:color w:val="000000"/>
                <w:kern w:val="24"/>
                <w:sz w:val="20"/>
                <w:szCs w:val="20"/>
              </w:rPr>
            </w:pPr>
            <w:r w:rsidRPr="00A42751">
              <w:rPr>
                <w:color w:val="000000"/>
                <w:kern w:val="24"/>
                <w:sz w:val="20"/>
                <w:szCs w:val="20"/>
              </w:rPr>
              <w:t>FUENTE:</w:t>
            </w:r>
            <w:r w:rsidRPr="00154826">
              <w:rPr>
                <w:color w:val="000000"/>
                <w:kern w:val="24"/>
                <w:sz w:val="12"/>
                <w:szCs w:val="20"/>
              </w:rPr>
              <w:t xml:space="preserve"> </w:t>
            </w:r>
            <w:r w:rsidRPr="00A42751">
              <w:rPr>
                <w:color w:val="000000"/>
                <w:kern w:val="24"/>
                <w:sz w:val="20"/>
                <w:szCs w:val="20"/>
              </w:rPr>
              <w:t>Elaborado por la Comisión Nacional de los Salarios Mínimos con información</w:t>
            </w:r>
            <w:r>
              <w:rPr>
                <w:color w:val="000000"/>
                <w:kern w:val="24"/>
                <w:sz w:val="20"/>
                <w:szCs w:val="20"/>
              </w:rPr>
              <w:t xml:space="preserve"> d</w:t>
            </w:r>
            <w:r w:rsidRPr="00A42751">
              <w:rPr>
                <w:color w:val="000000"/>
                <w:kern w:val="24"/>
                <w:sz w:val="20"/>
                <w:szCs w:val="20"/>
              </w:rPr>
              <w:t>el</w:t>
            </w:r>
            <w:r>
              <w:rPr>
                <w:color w:val="000000"/>
                <w:kern w:val="24"/>
                <w:sz w:val="20"/>
                <w:szCs w:val="20"/>
              </w:rPr>
              <w:t xml:space="preserve"> </w:t>
            </w:r>
            <w:r w:rsidRPr="00A42751">
              <w:rPr>
                <w:color w:val="000000"/>
                <w:kern w:val="24"/>
                <w:sz w:val="20"/>
                <w:szCs w:val="20"/>
              </w:rPr>
              <w:t>Instituto Nacional</w:t>
            </w:r>
            <w:r>
              <w:rPr>
                <w:sz w:val="20"/>
                <w:szCs w:val="20"/>
              </w:rPr>
              <w:t xml:space="preserve"> </w:t>
            </w:r>
            <w:r w:rsidRPr="00A42751">
              <w:rPr>
                <w:color w:val="000000"/>
                <w:kern w:val="24"/>
                <w:sz w:val="20"/>
                <w:szCs w:val="20"/>
              </w:rPr>
              <w:t>de Estadística y Geografía.</w:t>
            </w:r>
          </w:p>
        </w:tc>
      </w:tr>
    </w:tbl>
    <w:p w:rsidR="00364D4D" w:rsidRDefault="00364D4D" w:rsidP="00364D4D">
      <w:pPr>
        <w:spacing w:line="360" w:lineRule="auto"/>
        <w:ind w:right="20"/>
        <w:jc w:val="both"/>
        <w:rPr>
          <w:sz w:val="26"/>
          <w:szCs w:val="26"/>
        </w:rPr>
      </w:pPr>
    </w:p>
    <w:p w:rsidR="00364D4D" w:rsidRPr="001251BA" w:rsidRDefault="00364D4D" w:rsidP="00364D4D">
      <w:pPr>
        <w:spacing w:line="360" w:lineRule="auto"/>
        <w:ind w:right="20"/>
        <w:jc w:val="both"/>
        <w:rPr>
          <w:sz w:val="26"/>
          <w:szCs w:val="26"/>
          <w:lang w:val="es-MX"/>
        </w:rPr>
      </w:pPr>
      <w:r>
        <w:rPr>
          <w:sz w:val="26"/>
          <w:szCs w:val="26"/>
        </w:rPr>
        <w:br w:type="page"/>
      </w:r>
      <w:r w:rsidRPr="001251BA">
        <w:rPr>
          <w:sz w:val="26"/>
          <w:szCs w:val="26"/>
          <w:lang w:val="es-MX"/>
        </w:rPr>
        <w:lastRenderedPageBreak/>
        <w:t>Se presentan a continuación los genéri</w:t>
      </w:r>
      <w:r>
        <w:rPr>
          <w:sz w:val="26"/>
          <w:szCs w:val="26"/>
          <w:lang w:val="es-MX"/>
        </w:rPr>
        <w:t xml:space="preserve">cos con las </w:t>
      </w:r>
      <w:r w:rsidR="00B97BB5">
        <w:rPr>
          <w:sz w:val="26"/>
          <w:szCs w:val="26"/>
          <w:lang w:val="es-MX"/>
        </w:rPr>
        <w:t>bajas</w:t>
      </w:r>
      <w:r>
        <w:rPr>
          <w:sz w:val="26"/>
          <w:szCs w:val="26"/>
          <w:lang w:val="es-MX"/>
        </w:rPr>
        <w:t xml:space="preserve"> más sobresalientes en puntos porcentuales, en comparación con los de </w:t>
      </w:r>
      <w:r w:rsidRPr="001251BA">
        <w:rPr>
          <w:sz w:val="26"/>
          <w:szCs w:val="26"/>
          <w:lang w:val="es-MX"/>
        </w:rPr>
        <w:t>hace un año.</w:t>
      </w:r>
    </w:p>
    <w:p w:rsidR="00364D4D" w:rsidRPr="00917741" w:rsidRDefault="00364D4D" w:rsidP="00364D4D">
      <w:pPr>
        <w:spacing w:line="360" w:lineRule="auto"/>
        <w:ind w:right="20"/>
        <w:jc w:val="both"/>
        <w:rPr>
          <w:b/>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5"/>
        <w:gridCol w:w="3208"/>
        <w:gridCol w:w="1318"/>
        <w:gridCol w:w="1286"/>
        <w:gridCol w:w="2063"/>
      </w:tblGrid>
      <w:tr w:rsidR="00364D4D" w:rsidRPr="00BA7A08" w:rsidTr="00B17B53">
        <w:trPr>
          <w:jc w:val="center"/>
        </w:trPr>
        <w:tc>
          <w:tcPr>
            <w:tcW w:w="8840" w:type="dxa"/>
            <w:gridSpan w:val="5"/>
            <w:tcBorders>
              <w:top w:val="nil"/>
              <w:left w:val="nil"/>
              <w:bottom w:val="single" w:sz="4" w:space="0" w:color="auto"/>
              <w:right w:val="nil"/>
            </w:tcBorders>
            <w:shd w:val="clear" w:color="auto" w:fill="auto"/>
            <w:vAlign w:val="center"/>
          </w:tcPr>
          <w:p w:rsidR="00364D4D" w:rsidRPr="009F3719" w:rsidRDefault="00364D4D" w:rsidP="00B17B53">
            <w:pPr>
              <w:spacing w:before="60"/>
              <w:jc w:val="center"/>
              <w:rPr>
                <w:b/>
                <w:sz w:val="22"/>
                <w:szCs w:val="22"/>
              </w:rPr>
            </w:pPr>
            <w:r w:rsidRPr="009F3719">
              <w:rPr>
                <w:b/>
                <w:sz w:val="22"/>
                <w:szCs w:val="22"/>
              </w:rPr>
              <w:t>ÍNDICE NACIONAL DE PRECIOS PRODUCTOR</w:t>
            </w:r>
          </w:p>
          <w:p w:rsidR="00364D4D" w:rsidRPr="009F3719" w:rsidRDefault="00364D4D" w:rsidP="00B17B53">
            <w:pPr>
              <w:jc w:val="center"/>
              <w:rPr>
                <w:b/>
                <w:sz w:val="22"/>
                <w:szCs w:val="22"/>
              </w:rPr>
            </w:pPr>
            <w:r w:rsidRPr="009F3719">
              <w:rPr>
                <w:b/>
                <w:sz w:val="22"/>
                <w:szCs w:val="22"/>
              </w:rPr>
              <w:t>SIN PETRÓLEO Y SIN SERVICIOS</w:t>
            </w:r>
          </w:p>
          <w:p w:rsidR="00364D4D" w:rsidRPr="009F3719" w:rsidRDefault="00364D4D" w:rsidP="00B17B53">
            <w:pPr>
              <w:jc w:val="center"/>
              <w:rPr>
                <w:b/>
                <w:sz w:val="22"/>
                <w:szCs w:val="22"/>
              </w:rPr>
            </w:pPr>
            <w:r w:rsidRPr="009F3719">
              <w:rPr>
                <w:b/>
                <w:sz w:val="22"/>
                <w:szCs w:val="22"/>
              </w:rPr>
              <w:t xml:space="preserve">- Variaciones </w:t>
            </w:r>
            <w:r>
              <w:rPr>
                <w:b/>
                <w:sz w:val="22"/>
                <w:szCs w:val="22"/>
              </w:rPr>
              <w:t>acumuladas</w:t>
            </w:r>
            <w:r w:rsidRPr="009F3719">
              <w:rPr>
                <w:b/>
                <w:sz w:val="22"/>
                <w:szCs w:val="22"/>
              </w:rPr>
              <w:t xml:space="preserve"> -</w:t>
            </w:r>
          </w:p>
          <w:p w:rsidR="00364D4D" w:rsidRDefault="00364D4D" w:rsidP="00B17B53">
            <w:pPr>
              <w:jc w:val="center"/>
              <w:rPr>
                <w:b/>
                <w:sz w:val="22"/>
                <w:szCs w:val="22"/>
              </w:rPr>
            </w:pPr>
            <w:r>
              <w:rPr>
                <w:b/>
                <w:sz w:val="22"/>
                <w:szCs w:val="22"/>
              </w:rPr>
              <w:t xml:space="preserve">Enero - </w:t>
            </w:r>
            <w:r w:rsidR="001244B5">
              <w:rPr>
                <w:b/>
                <w:sz w:val="22"/>
                <w:szCs w:val="22"/>
              </w:rPr>
              <w:t>febrero</w:t>
            </w:r>
          </w:p>
          <w:p w:rsidR="00364D4D" w:rsidRPr="00BA7A08" w:rsidRDefault="00364D4D" w:rsidP="00B17B53">
            <w:pPr>
              <w:jc w:val="center"/>
              <w:rPr>
                <w:b/>
                <w:sz w:val="22"/>
                <w:szCs w:val="22"/>
              </w:rPr>
            </w:pPr>
            <w:r w:rsidRPr="009F3719">
              <w:rPr>
                <w:b/>
                <w:sz w:val="22"/>
                <w:szCs w:val="22"/>
              </w:rPr>
              <w:t>- Por ciento -</w:t>
            </w:r>
          </w:p>
          <w:p w:rsidR="00364D4D" w:rsidRPr="00BA7A08" w:rsidRDefault="00364D4D" w:rsidP="00B17B53">
            <w:pPr>
              <w:ind w:right="20"/>
              <w:jc w:val="center"/>
              <w:rPr>
                <w:b/>
                <w:sz w:val="16"/>
                <w:szCs w:val="22"/>
              </w:rPr>
            </w:pPr>
          </w:p>
        </w:tc>
      </w:tr>
      <w:tr w:rsidR="00364D4D" w:rsidRPr="00BA7A08" w:rsidTr="001D205D">
        <w:trPr>
          <w:jc w:val="center"/>
        </w:trPr>
        <w:tc>
          <w:tcPr>
            <w:tcW w:w="4173" w:type="dxa"/>
            <w:gridSpan w:val="2"/>
            <w:tcBorders>
              <w:top w:val="single" w:sz="4" w:space="0" w:color="auto"/>
              <w:left w:val="single" w:sz="4" w:space="0" w:color="auto"/>
              <w:bottom w:val="single" w:sz="4" w:space="0" w:color="auto"/>
              <w:right w:val="single" w:sz="4" w:space="0" w:color="FFFFFF" w:themeColor="background1"/>
            </w:tcBorders>
            <w:shd w:val="clear" w:color="auto" w:fill="2E74B5" w:themeFill="accent1" w:themeFillShade="BF"/>
            <w:vAlign w:val="center"/>
          </w:tcPr>
          <w:p w:rsidR="00364D4D" w:rsidRPr="00D5635F" w:rsidRDefault="00364D4D" w:rsidP="00B17B53">
            <w:pPr>
              <w:jc w:val="center"/>
              <w:rPr>
                <w:b/>
                <w:color w:val="FFFFFF" w:themeColor="background1"/>
                <w:sz w:val="21"/>
                <w:szCs w:val="21"/>
              </w:rPr>
            </w:pPr>
            <w:r w:rsidRPr="00D5635F">
              <w:rPr>
                <w:b/>
                <w:color w:val="FFFFFF" w:themeColor="background1"/>
                <w:sz w:val="21"/>
                <w:szCs w:val="21"/>
              </w:rPr>
              <w:t>CONCEPTO</w:t>
            </w:r>
          </w:p>
        </w:tc>
        <w:tc>
          <w:tcPr>
            <w:tcW w:w="1318"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D5635F" w:rsidRDefault="00A209C7" w:rsidP="00B17B53">
            <w:pPr>
              <w:jc w:val="center"/>
              <w:rPr>
                <w:b/>
                <w:color w:val="FFFFFF" w:themeColor="background1"/>
                <w:sz w:val="21"/>
                <w:szCs w:val="21"/>
              </w:rPr>
            </w:pPr>
            <w:r>
              <w:rPr>
                <w:b/>
                <w:color w:val="FFFFFF" w:themeColor="background1"/>
                <w:sz w:val="21"/>
                <w:szCs w:val="21"/>
              </w:rPr>
              <w:t>2014</w:t>
            </w:r>
          </w:p>
        </w:tc>
        <w:tc>
          <w:tcPr>
            <w:tcW w:w="1286"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D5635F" w:rsidRDefault="00A209C7" w:rsidP="00B17B53">
            <w:pPr>
              <w:jc w:val="center"/>
              <w:rPr>
                <w:b/>
                <w:color w:val="FFFFFF" w:themeColor="background1"/>
                <w:sz w:val="21"/>
                <w:szCs w:val="21"/>
              </w:rPr>
            </w:pPr>
            <w:r>
              <w:rPr>
                <w:b/>
                <w:color w:val="FFFFFF" w:themeColor="background1"/>
                <w:sz w:val="21"/>
                <w:szCs w:val="21"/>
              </w:rPr>
              <w:t>2015</w:t>
            </w:r>
          </w:p>
        </w:tc>
        <w:tc>
          <w:tcPr>
            <w:tcW w:w="2063" w:type="dxa"/>
            <w:tcBorders>
              <w:top w:val="single" w:sz="4" w:space="0" w:color="auto"/>
              <w:left w:val="single" w:sz="4" w:space="0" w:color="FFFFFF" w:themeColor="background1"/>
              <w:bottom w:val="single" w:sz="4" w:space="0" w:color="auto"/>
              <w:right w:val="single" w:sz="4" w:space="0" w:color="auto"/>
            </w:tcBorders>
            <w:shd w:val="clear" w:color="auto" w:fill="2E74B5" w:themeFill="accent1" w:themeFillShade="BF"/>
            <w:vAlign w:val="center"/>
          </w:tcPr>
          <w:p w:rsidR="00364D4D" w:rsidRPr="00D5635F" w:rsidRDefault="00364D4D" w:rsidP="00B17B53">
            <w:pPr>
              <w:spacing w:before="60"/>
              <w:ind w:right="14"/>
              <w:jc w:val="center"/>
              <w:rPr>
                <w:b/>
                <w:color w:val="FFFFFF" w:themeColor="background1"/>
                <w:sz w:val="21"/>
                <w:szCs w:val="21"/>
              </w:rPr>
            </w:pPr>
            <w:r w:rsidRPr="00D5635F">
              <w:rPr>
                <w:b/>
                <w:color w:val="FFFFFF" w:themeColor="background1"/>
                <w:sz w:val="21"/>
                <w:szCs w:val="21"/>
              </w:rPr>
              <w:t>DIFERENCIA EN</w:t>
            </w:r>
          </w:p>
          <w:p w:rsidR="00364D4D" w:rsidRPr="00D5635F" w:rsidRDefault="00364D4D" w:rsidP="00B17B53">
            <w:pPr>
              <w:ind w:right="14"/>
              <w:jc w:val="center"/>
              <w:rPr>
                <w:b/>
                <w:color w:val="FFFFFF" w:themeColor="background1"/>
                <w:sz w:val="21"/>
                <w:szCs w:val="21"/>
              </w:rPr>
            </w:pPr>
            <w:r w:rsidRPr="00D5635F">
              <w:rPr>
                <w:b/>
                <w:color w:val="FFFFFF" w:themeColor="background1"/>
                <w:sz w:val="21"/>
                <w:szCs w:val="21"/>
              </w:rPr>
              <w:t>PUNTOS</w:t>
            </w:r>
          </w:p>
          <w:p w:rsidR="00364D4D" w:rsidRPr="00D5635F" w:rsidRDefault="00364D4D" w:rsidP="00B17B53">
            <w:pPr>
              <w:spacing w:after="60"/>
              <w:ind w:right="14"/>
              <w:jc w:val="center"/>
              <w:rPr>
                <w:b/>
                <w:color w:val="FFFFFF" w:themeColor="background1"/>
                <w:sz w:val="21"/>
                <w:szCs w:val="21"/>
              </w:rPr>
            </w:pPr>
            <w:r w:rsidRPr="00D5635F">
              <w:rPr>
                <w:b/>
                <w:color w:val="FFFFFF" w:themeColor="background1"/>
                <w:sz w:val="21"/>
                <w:szCs w:val="21"/>
              </w:rPr>
              <w:t>PORCENTUALES</w:t>
            </w:r>
          </w:p>
        </w:tc>
      </w:tr>
      <w:tr w:rsidR="001D205D" w:rsidRPr="00BA7A08" w:rsidTr="001D205D">
        <w:trPr>
          <w:trHeight w:val="460"/>
          <w:jc w:val="center"/>
        </w:trPr>
        <w:tc>
          <w:tcPr>
            <w:tcW w:w="4173" w:type="dxa"/>
            <w:gridSpan w:val="2"/>
            <w:tcBorders>
              <w:top w:val="single" w:sz="4" w:space="0" w:color="auto"/>
              <w:left w:val="single" w:sz="4" w:space="0" w:color="auto"/>
              <w:bottom w:val="single" w:sz="4" w:space="0" w:color="auto"/>
              <w:right w:val="single" w:sz="4" w:space="0" w:color="auto"/>
            </w:tcBorders>
            <w:vAlign w:val="center"/>
          </w:tcPr>
          <w:p w:rsidR="001D205D" w:rsidRPr="00D5635F" w:rsidRDefault="001D205D" w:rsidP="001D205D">
            <w:pPr>
              <w:rPr>
                <w:b/>
                <w:bCs/>
                <w:sz w:val="21"/>
                <w:szCs w:val="21"/>
              </w:rPr>
            </w:pPr>
            <w:r w:rsidRPr="00D5635F">
              <w:rPr>
                <w:b/>
                <w:bCs/>
                <w:sz w:val="21"/>
                <w:szCs w:val="21"/>
              </w:rPr>
              <w:t>INPP sin Petróleo y sin Servicios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
                <w:bCs/>
                <w:color w:val="000000"/>
                <w:sz w:val="21"/>
                <w:szCs w:val="21"/>
                <w:lang w:val="es-MX" w:eastAsia="es-MX"/>
              </w:rPr>
            </w:pPr>
            <w:r w:rsidRPr="001D205D">
              <w:rPr>
                <w:b/>
                <w:bCs/>
                <w:color w:val="000000"/>
                <w:sz w:val="21"/>
                <w:szCs w:val="21"/>
              </w:rPr>
              <w:t>1.26</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
                <w:bCs/>
                <w:color w:val="000000"/>
                <w:sz w:val="21"/>
                <w:szCs w:val="21"/>
              </w:rPr>
            </w:pPr>
            <w:r w:rsidRPr="001D205D">
              <w:rPr>
                <w:b/>
                <w:bCs/>
                <w:color w:val="000000"/>
                <w:sz w:val="21"/>
                <w:szCs w:val="21"/>
              </w:rPr>
              <w:t>1.02</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
                <w:bCs/>
                <w:color w:val="000000"/>
                <w:sz w:val="21"/>
                <w:szCs w:val="21"/>
              </w:rPr>
            </w:pPr>
            <w:r w:rsidRPr="001D205D">
              <w:rPr>
                <w:b/>
                <w:bCs/>
                <w:color w:val="000000"/>
                <w:sz w:val="21"/>
                <w:szCs w:val="21"/>
              </w:rPr>
              <w:t>-0.24</w:t>
            </w:r>
          </w:p>
        </w:tc>
      </w:tr>
      <w:tr w:rsidR="001D205D" w:rsidRPr="00BA7A08" w:rsidTr="001D205D">
        <w:trPr>
          <w:trHeight w:val="392"/>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lang w:val="es-MX" w:eastAsia="es-MX"/>
              </w:rPr>
            </w:pPr>
            <w:r w:rsidRPr="001D205D">
              <w:rPr>
                <w:sz w:val="21"/>
                <w:szCs w:val="21"/>
              </w:rPr>
              <w:t>Cultivo de limón</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145.72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-6.06</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-151.78</w:t>
            </w:r>
          </w:p>
        </w:tc>
      </w:tr>
      <w:tr w:rsidR="001D205D" w:rsidRPr="00BA7A08" w:rsidTr="001D205D">
        <w:trPr>
          <w:trHeight w:val="420"/>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Cultivo de café</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48.95</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1.15</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-47.80</w:t>
            </w:r>
          </w:p>
        </w:tc>
      </w:tr>
      <w:tr w:rsidR="001D205D" w:rsidRPr="00BA7A08" w:rsidTr="001D205D">
        <w:trPr>
          <w:trHeight w:val="406"/>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Cultivo de cebolla</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26.52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-10.97</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-37.49</w:t>
            </w:r>
          </w:p>
        </w:tc>
      </w:tr>
      <w:tr w:rsidR="001D205D" w:rsidRPr="00BA7A08" w:rsidTr="001D205D">
        <w:trPr>
          <w:trHeight w:val="420"/>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Cultivo de plátano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47.24</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12.59</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-34.65</w:t>
            </w:r>
          </w:p>
        </w:tc>
      </w:tr>
      <w:tr w:rsidR="001D205D" w:rsidRPr="002213F3" w:rsidTr="001D205D">
        <w:trPr>
          <w:trHeight w:val="410"/>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Fabricación de petroquímicos básicos del gas natural y del petróleo refinado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12.74</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-18.79</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-31.53</w:t>
            </w:r>
          </w:p>
        </w:tc>
      </w:tr>
      <w:tr w:rsidR="001D205D" w:rsidRPr="00BA7A08" w:rsidTr="001D205D">
        <w:trPr>
          <w:trHeight w:val="416"/>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Operadores de telecomunicaciones alámbricas, excepto por suscripción</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-0.02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-30.55</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-30.53</w:t>
            </w:r>
          </w:p>
        </w:tc>
      </w:tr>
      <w:tr w:rsidR="001D205D" w:rsidRPr="00BA7A08" w:rsidTr="001D205D">
        <w:trPr>
          <w:trHeight w:val="392"/>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Transporte aéreo regular en líneas aéreas nacionales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-12.46</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-32.88</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-20.42</w:t>
            </w:r>
          </w:p>
        </w:tc>
      </w:tr>
      <w:tr w:rsidR="001D205D" w:rsidRPr="00BA7A08" w:rsidTr="001D205D">
        <w:trPr>
          <w:trHeight w:val="402"/>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Explotación de pollos para la producción de carne</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7.30</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-10.74</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-18.04</w:t>
            </w:r>
          </w:p>
        </w:tc>
      </w:tr>
      <w:tr w:rsidR="001D205D" w:rsidRPr="00BA7A08" w:rsidTr="001D205D">
        <w:trPr>
          <w:trHeight w:val="476"/>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Administración de aeropuertos y helipuertos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22.85</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5.95</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-16.90</w:t>
            </w:r>
          </w:p>
        </w:tc>
      </w:tr>
      <w:tr w:rsidR="001D205D" w:rsidRPr="00BA7A08" w:rsidTr="001D205D">
        <w:trPr>
          <w:trHeight w:val="656"/>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318"/>
              <w:rPr>
                <w:sz w:val="21"/>
                <w:szCs w:val="21"/>
              </w:rPr>
            </w:pPr>
            <w:r w:rsidRPr="001D205D">
              <w:rPr>
                <w:sz w:val="21"/>
                <w:szCs w:val="21"/>
              </w:rPr>
              <w:t>Transporte colectivo urbano y suburbano de pasajeros en metro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15.45</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ind w:left="-1446" w:right="357"/>
              <w:jc w:val="right"/>
              <w:rPr>
                <w:bCs/>
                <w:color w:val="000000"/>
                <w:sz w:val="21"/>
                <w:szCs w:val="21"/>
              </w:rPr>
            </w:pPr>
            <w:r w:rsidRPr="001D205D">
              <w:rPr>
                <w:bCs/>
                <w:color w:val="000000"/>
                <w:sz w:val="21"/>
                <w:szCs w:val="21"/>
              </w:rPr>
              <w:t>0.00</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1D205D" w:rsidRPr="001D205D" w:rsidRDefault="001D205D" w:rsidP="001D205D">
            <w:pPr>
              <w:tabs>
                <w:tab w:val="left" w:pos="1206"/>
              </w:tabs>
              <w:ind w:left="-1446" w:right="739"/>
              <w:jc w:val="right"/>
              <w:rPr>
                <w:bCs/>
                <w:color w:val="000000"/>
                <w:sz w:val="21"/>
                <w:szCs w:val="21"/>
              </w:rPr>
            </w:pPr>
            <w:r w:rsidRPr="001D205D">
              <w:rPr>
                <w:bCs/>
                <w:color w:val="000000"/>
                <w:sz w:val="21"/>
                <w:szCs w:val="21"/>
              </w:rPr>
              <w:t>-15.45</w:t>
            </w:r>
          </w:p>
        </w:tc>
      </w:tr>
      <w:tr w:rsidR="00364D4D" w:rsidRPr="00BA7A08" w:rsidTr="001D205D">
        <w:trPr>
          <w:jc w:val="center"/>
        </w:trPr>
        <w:tc>
          <w:tcPr>
            <w:tcW w:w="965" w:type="dxa"/>
            <w:tcBorders>
              <w:top w:val="single" w:sz="4" w:space="0" w:color="auto"/>
              <w:left w:val="nil"/>
              <w:bottom w:val="nil"/>
              <w:right w:val="nil"/>
            </w:tcBorders>
          </w:tcPr>
          <w:p w:rsidR="00364D4D" w:rsidRPr="00BA7A08" w:rsidRDefault="00364D4D" w:rsidP="00B17B53">
            <w:pPr>
              <w:spacing w:before="120"/>
              <w:ind w:left="858" w:right="-113" w:hanging="952"/>
              <w:jc w:val="both"/>
              <w:rPr>
                <w:sz w:val="20"/>
                <w:szCs w:val="20"/>
              </w:rPr>
            </w:pPr>
            <w:r w:rsidRPr="00342B87">
              <w:rPr>
                <w:sz w:val="20"/>
                <w:szCs w:val="20"/>
              </w:rPr>
              <w:t>FUENTE:</w:t>
            </w:r>
          </w:p>
        </w:tc>
        <w:tc>
          <w:tcPr>
            <w:tcW w:w="7875" w:type="dxa"/>
            <w:gridSpan w:val="4"/>
            <w:tcBorders>
              <w:top w:val="single" w:sz="4" w:space="0" w:color="auto"/>
              <w:left w:val="nil"/>
              <w:bottom w:val="nil"/>
              <w:right w:val="nil"/>
            </w:tcBorders>
          </w:tcPr>
          <w:p w:rsidR="00364D4D" w:rsidRPr="00BA7A08" w:rsidRDefault="00364D4D" w:rsidP="00B17B53">
            <w:pPr>
              <w:spacing w:before="120"/>
              <w:ind w:left="-107" w:right="-113"/>
              <w:jc w:val="both"/>
              <w:rPr>
                <w:sz w:val="20"/>
                <w:szCs w:val="20"/>
              </w:rPr>
            </w:pPr>
            <w:r w:rsidRPr="00342B87">
              <w:rPr>
                <w:sz w:val="20"/>
                <w:szCs w:val="20"/>
              </w:rPr>
              <w:t>Elaborado por la Comisión Nacional de los Salarios Mínimos con información del Instituto Nacional de Estadística y Geografía.</w:t>
            </w:r>
          </w:p>
        </w:tc>
      </w:tr>
    </w:tbl>
    <w:p w:rsidR="00364D4D" w:rsidRPr="009A330F" w:rsidRDefault="00364D4D" w:rsidP="00364D4D">
      <w:pPr>
        <w:ind w:right="20"/>
        <w:jc w:val="both"/>
        <w:rPr>
          <w:sz w:val="26"/>
          <w:szCs w:val="26"/>
          <w:highlight w:val="yellow"/>
        </w:rPr>
      </w:pPr>
    </w:p>
    <w:p w:rsidR="00364D4D" w:rsidRPr="00E313B7" w:rsidRDefault="00364D4D" w:rsidP="00364D4D">
      <w:pPr>
        <w:pStyle w:val="Ttulo1"/>
        <w:spacing w:before="240"/>
        <w:jc w:val="left"/>
        <w:rPr>
          <w:color w:val="0000FF"/>
          <w:sz w:val="26"/>
          <w:szCs w:val="26"/>
        </w:rPr>
      </w:pPr>
      <w:r w:rsidRPr="009A330F">
        <w:rPr>
          <w:highlight w:val="yellow"/>
        </w:rPr>
        <w:br w:type="page"/>
      </w:r>
      <w:r w:rsidRPr="00E313B7">
        <w:rPr>
          <w:color w:val="0000FF"/>
          <w:sz w:val="26"/>
          <w:szCs w:val="26"/>
        </w:rPr>
        <w:lastRenderedPageBreak/>
        <w:t>Evolución de los precios de insumos agropecuarios seleccionados</w:t>
      </w:r>
    </w:p>
    <w:p w:rsidR="00364D4D" w:rsidRPr="001F6E1F" w:rsidRDefault="00364D4D" w:rsidP="00364D4D">
      <w:pPr>
        <w:spacing w:line="360" w:lineRule="auto"/>
        <w:ind w:right="20"/>
        <w:jc w:val="both"/>
        <w:rPr>
          <w:sz w:val="22"/>
          <w:szCs w:val="16"/>
        </w:rPr>
      </w:pPr>
    </w:p>
    <w:p w:rsidR="00364D4D" w:rsidRDefault="00364D4D" w:rsidP="00364D4D">
      <w:pPr>
        <w:spacing w:line="336" w:lineRule="auto"/>
        <w:ind w:right="11"/>
        <w:jc w:val="both"/>
        <w:rPr>
          <w:sz w:val="26"/>
          <w:szCs w:val="26"/>
        </w:rPr>
      </w:pPr>
      <w:r>
        <w:rPr>
          <w:sz w:val="26"/>
          <w:szCs w:val="26"/>
          <w:lang w:val="es-MX"/>
        </w:rPr>
        <w:t xml:space="preserve">Durante el </w:t>
      </w:r>
      <w:r w:rsidR="00052493">
        <w:rPr>
          <w:sz w:val="26"/>
          <w:szCs w:val="26"/>
          <w:lang w:val="es-MX"/>
        </w:rPr>
        <w:t>primer bimestre</w:t>
      </w:r>
      <w:r>
        <w:rPr>
          <w:sz w:val="26"/>
          <w:szCs w:val="26"/>
          <w:lang w:val="es-MX"/>
        </w:rPr>
        <w:t xml:space="preserve"> de </w:t>
      </w:r>
      <w:r w:rsidR="00A209C7">
        <w:rPr>
          <w:sz w:val="26"/>
          <w:szCs w:val="26"/>
          <w:lang w:val="es-MX"/>
        </w:rPr>
        <w:t>2015</w:t>
      </w:r>
      <w:r w:rsidRPr="001251BA">
        <w:rPr>
          <w:sz w:val="26"/>
          <w:szCs w:val="26"/>
          <w:lang w:val="es-MX"/>
        </w:rPr>
        <w:t xml:space="preserve">, </w:t>
      </w:r>
      <w:r>
        <w:rPr>
          <w:sz w:val="26"/>
          <w:szCs w:val="26"/>
          <w:lang w:val="es-MX"/>
        </w:rPr>
        <w:t xml:space="preserve">de </w:t>
      </w:r>
      <w:r w:rsidRPr="001251BA">
        <w:rPr>
          <w:sz w:val="26"/>
          <w:szCs w:val="26"/>
          <w:lang w:val="es-MX"/>
        </w:rPr>
        <w:t>los insumos agropecuarios contemplados</w:t>
      </w:r>
      <w:r>
        <w:rPr>
          <w:sz w:val="26"/>
          <w:szCs w:val="26"/>
          <w:lang w:val="es-MX"/>
        </w:rPr>
        <w:t xml:space="preserve"> </w:t>
      </w:r>
      <w:r w:rsidRPr="001251BA">
        <w:rPr>
          <w:sz w:val="26"/>
          <w:szCs w:val="26"/>
          <w:lang w:val="es-MX"/>
        </w:rPr>
        <w:t xml:space="preserve">en el Índice Nacional de Precios Productor (INPP), </w:t>
      </w:r>
      <w:r w:rsidR="002C1FB6">
        <w:rPr>
          <w:sz w:val="26"/>
          <w:szCs w:val="26"/>
          <w:lang w:val="es-MX"/>
        </w:rPr>
        <w:t xml:space="preserve">el </w:t>
      </w:r>
      <w:r w:rsidR="00052493">
        <w:rPr>
          <w:sz w:val="26"/>
          <w:szCs w:val="26"/>
        </w:rPr>
        <w:t>cultivo de alfalfa</w:t>
      </w:r>
      <w:r>
        <w:rPr>
          <w:sz w:val="26"/>
          <w:szCs w:val="26"/>
        </w:rPr>
        <w:t xml:space="preserve"> </w:t>
      </w:r>
      <w:r w:rsidRPr="00B15938">
        <w:rPr>
          <w:sz w:val="26"/>
          <w:szCs w:val="26"/>
        </w:rPr>
        <w:t xml:space="preserve">fue el que </w:t>
      </w:r>
      <w:r>
        <w:rPr>
          <w:sz w:val="26"/>
          <w:szCs w:val="26"/>
        </w:rPr>
        <w:t>observó</w:t>
      </w:r>
      <w:r w:rsidRPr="00B15938">
        <w:rPr>
          <w:sz w:val="26"/>
          <w:szCs w:val="26"/>
        </w:rPr>
        <w:t xml:space="preserve"> </w:t>
      </w:r>
      <w:r>
        <w:rPr>
          <w:sz w:val="26"/>
          <w:szCs w:val="26"/>
        </w:rPr>
        <w:t xml:space="preserve">el mayor </w:t>
      </w:r>
      <w:r w:rsidR="00052493">
        <w:rPr>
          <w:sz w:val="26"/>
          <w:szCs w:val="26"/>
        </w:rPr>
        <w:t>decremento</w:t>
      </w:r>
      <w:r>
        <w:rPr>
          <w:sz w:val="26"/>
          <w:szCs w:val="26"/>
        </w:rPr>
        <w:t xml:space="preserve"> de precios en </w:t>
      </w:r>
      <w:r w:rsidRPr="000D0727">
        <w:rPr>
          <w:sz w:val="26"/>
          <w:szCs w:val="26"/>
        </w:rPr>
        <w:t>términos de puntos porcentuales</w:t>
      </w:r>
      <w:r>
        <w:rPr>
          <w:sz w:val="26"/>
          <w:szCs w:val="26"/>
        </w:rPr>
        <w:t xml:space="preserve"> (</w:t>
      </w:r>
      <w:r w:rsidR="00052493">
        <w:rPr>
          <w:sz w:val="26"/>
          <w:szCs w:val="26"/>
        </w:rPr>
        <w:t>1.07</w:t>
      </w:r>
      <w:r w:rsidRPr="00E118B3">
        <w:rPr>
          <w:sz w:val="26"/>
          <w:szCs w:val="26"/>
        </w:rPr>
        <w:t xml:space="preserve"> puntos</w:t>
      </w:r>
      <w:r>
        <w:rPr>
          <w:sz w:val="26"/>
          <w:szCs w:val="26"/>
        </w:rPr>
        <w:t>).</w:t>
      </w:r>
    </w:p>
    <w:p w:rsidR="00364D4D" w:rsidRPr="00422BD4" w:rsidRDefault="00364D4D" w:rsidP="00364D4D">
      <w:pPr>
        <w:spacing w:line="336" w:lineRule="auto"/>
        <w:ind w:right="11"/>
        <w:jc w:val="both"/>
        <w:rPr>
          <w:sz w:val="10"/>
          <w:szCs w:val="26"/>
        </w:rPr>
      </w:pPr>
    </w:p>
    <w:tbl>
      <w:tblPr>
        <w:tblpPr w:leftFromText="142" w:rightFromText="142" w:vertAnchor="text" w:horzAnchor="margin" w:tblpXSpec="center"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
        <w:gridCol w:w="3208"/>
        <w:gridCol w:w="1260"/>
        <w:gridCol w:w="1260"/>
        <w:gridCol w:w="1980"/>
      </w:tblGrid>
      <w:tr w:rsidR="00364D4D" w:rsidRPr="00BA7A08" w:rsidTr="00B17B53">
        <w:tc>
          <w:tcPr>
            <w:tcW w:w="8702" w:type="dxa"/>
            <w:gridSpan w:val="5"/>
            <w:tcBorders>
              <w:top w:val="nil"/>
              <w:left w:val="nil"/>
              <w:bottom w:val="single" w:sz="4" w:space="0" w:color="auto"/>
              <w:right w:val="nil"/>
            </w:tcBorders>
            <w:shd w:val="clear" w:color="auto" w:fill="auto"/>
            <w:vAlign w:val="center"/>
          </w:tcPr>
          <w:p w:rsidR="00364D4D" w:rsidRPr="00BA7A08" w:rsidRDefault="00364D4D" w:rsidP="00B17B53">
            <w:pPr>
              <w:spacing w:before="60"/>
              <w:jc w:val="center"/>
              <w:rPr>
                <w:b/>
                <w:sz w:val="22"/>
                <w:szCs w:val="22"/>
              </w:rPr>
            </w:pPr>
            <w:r w:rsidRPr="00BA7A08">
              <w:rPr>
                <w:b/>
                <w:sz w:val="22"/>
                <w:szCs w:val="22"/>
              </w:rPr>
              <w:t>ÍNDICE  NACIONAL  DE  PRECIOS  PRODUCTOR</w:t>
            </w:r>
          </w:p>
          <w:p w:rsidR="00364D4D" w:rsidRPr="00BA7A08" w:rsidRDefault="00364D4D" w:rsidP="00B17B53">
            <w:pPr>
              <w:jc w:val="center"/>
              <w:rPr>
                <w:b/>
                <w:sz w:val="22"/>
                <w:szCs w:val="22"/>
              </w:rPr>
            </w:pPr>
            <w:r w:rsidRPr="00BA7A08">
              <w:rPr>
                <w:b/>
                <w:sz w:val="22"/>
                <w:szCs w:val="22"/>
              </w:rPr>
              <w:t>INSUMOS AGROPECUARIOS SELECCIONADOS</w:t>
            </w:r>
          </w:p>
          <w:p w:rsidR="00364D4D" w:rsidRPr="00E60661" w:rsidRDefault="00364D4D" w:rsidP="00B17B53">
            <w:pPr>
              <w:jc w:val="center"/>
              <w:rPr>
                <w:b/>
                <w:sz w:val="22"/>
                <w:szCs w:val="22"/>
              </w:rPr>
            </w:pPr>
            <w:r w:rsidRPr="00E60661">
              <w:rPr>
                <w:b/>
                <w:sz w:val="22"/>
                <w:szCs w:val="22"/>
              </w:rPr>
              <w:t xml:space="preserve">- Variaciones </w:t>
            </w:r>
            <w:r>
              <w:rPr>
                <w:b/>
                <w:sz w:val="22"/>
                <w:szCs w:val="22"/>
              </w:rPr>
              <w:t>acumuladas</w:t>
            </w:r>
            <w:r w:rsidRPr="00E60661">
              <w:rPr>
                <w:b/>
                <w:sz w:val="22"/>
                <w:szCs w:val="22"/>
              </w:rPr>
              <w:t xml:space="preserve"> -</w:t>
            </w:r>
          </w:p>
          <w:p w:rsidR="00364D4D" w:rsidRDefault="00364D4D" w:rsidP="00B17B53">
            <w:pPr>
              <w:jc w:val="center"/>
              <w:rPr>
                <w:b/>
                <w:sz w:val="22"/>
                <w:szCs w:val="22"/>
              </w:rPr>
            </w:pPr>
            <w:r>
              <w:rPr>
                <w:b/>
                <w:sz w:val="22"/>
                <w:szCs w:val="22"/>
              </w:rPr>
              <w:t xml:space="preserve">Enero - </w:t>
            </w:r>
            <w:r w:rsidR="001244B5">
              <w:rPr>
                <w:b/>
                <w:sz w:val="22"/>
                <w:szCs w:val="22"/>
              </w:rPr>
              <w:t>febrero</w:t>
            </w:r>
          </w:p>
          <w:p w:rsidR="00364D4D" w:rsidRPr="00BA7A08" w:rsidRDefault="00364D4D" w:rsidP="00B17B53">
            <w:pPr>
              <w:jc w:val="center"/>
              <w:rPr>
                <w:b/>
                <w:sz w:val="22"/>
                <w:szCs w:val="22"/>
              </w:rPr>
            </w:pPr>
            <w:r w:rsidRPr="00E60661">
              <w:rPr>
                <w:b/>
                <w:sz w:val="22"/>
                <w:szCs w:val="22"/>
              </w:rPr>
              <w:t>- Por ciento -</w:t>
            </w:r>
          </w:p>
        </w:tc>
      </w:tr>
      <w:tr w:rsidR="00364D4D" w:rsidRPr="00BA7A08" w:rsidTr="008A3C4D">
        <w:tc>
          <w:tcPr>
            <w:tcW w:w="4202" w:type="dxa"/>
            <w:gridSpan w:val="2"/>
            <w:tcBorders>
              <w:top w:val="single" w:sz="4" w:space="0" w:color="auto"/>
              <w:left w:val="single" w:sz="4" w:space="0" w:color="auto"/>
              <w:bottom w:val="single" w:sz="4" w:space="0" w:color="FFFFFF" w:themeColor="background1"/>
              <w:right w:val="single" w:sz="4" w:space="0" w:color="FFFFFF" w:themeColor="background1"/>
            </w:tcBorders>
            <w:shd w:val="clear" w:color="auto" w:fill="2E74B5" w:themeFill="accent1" w:themeFillShade="BF"/>
            <w:vAlign w:val="center"/>
          </w:tcPr>
          <w:p w:rsidR="00364D4D" w:rsidRPr="00C76B7A" w:rsidRDefault="00364D4D" w:rsidP="00B17B53">
            <w:pPr>
              <w:ind w:right="20"/>
              <w:jc w:val="center"/>
              <w:rPr>
                <w:b/>
                <w:color w:val="FFFFFF" w:themeColor="background1"/>
                <w:sz w:val="20"/>
                <w:szCs w:val="20"/>
              </w:rPr>
            </w:pPr>
          </w:p>
          <w:p w:rsidR="00364D4D" w:rsidRPr="00C76B7A" w:rsidRDefault="00364D4D" w:rsidP="00B17B53">
            <w:pPr>
              <w:ind w:right="20"/>
              <w:jc w:val="center"/>
              <w:rPr>
                <w:b/>
                <w:color w:val="FFFFFF" w:themeColor="background1"/>
                <w:sz w:val="20"/>
                <w:szCs w:val="20"/>
              </w:rPr>
            </w:pPr>
            <w:r w:rsidRPr="00C76B7A">
              <w:rPr>
                <w:b/>
                <w:color w:val="FFFFFF" w:themeColor="background1"/>
                <w:sz w:val="20"/>
                <w:szCs w:val="20"/>
              </w:rPr>
              <w:t>CONCEPTO</w:t>
            </w:r>
          </w:p>
          <w:p w:rsidR="00364D4D" w:rsidRPr="00C76B7A" w:rsidRDefault="00364D4D" w:rsidP="00B17B53">
            <w:pPr>
              <w:ind w:right="20"/>
              <w:rPr>
                <w:b/>
                <w:color w:val="FFFFFF" w:themeColor="background1"/>
                <w:sz w:val="20"/>
                <w:szCs w:val="20"/>
              </w:rPr>
            </w:pPr>
          </w:p>
        </w:tc>
        <w:tc>
          <w:tcPr>
            <w:tcW w:w="126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C76B7A" w:rsidRDefault="00A209C7" w:rsidP="00B17B53">
            <w:pPr>
              <w:ind w:right="20"/>
              <w:jc w:val="center"/>
              <w:rPr>
                <w:b/>
                <w:color w:val="FFFFFF" w:themeColor="background1"/>
                <w:sz w:val="20"/>
                <w:szCs w:val="20"/>
              </w:rPr>
            </w:pPr>
            <w:r>
              <w:rPr>
                <w:b/>
                <w:color w:val="FFFFFF" w:themeColor="background1"/>
                <w:sz w:val="20"/>
                <w:szCs w:val="20"/>
              </w:rPr>
              <w:t>2014</w:t>
            </w:r>
          </w:p>
        </w:tc>
        <w:tc>
          <w:tcPr>
            <w:tcW w:w="126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2E74B5" w:themeFill="accent1" w:themeFillShade="BF"/>
            <w:vAlign w:val="center"/>
          </w:tcPr>
          <w:p w:rsidR="00364D4D" w:rsidRPr="00C76B7A" w:rsidRDefault="00A209C7" w:rsidP="00B17B53">
            <w:pPr>
              <w:ind w:right="20"/>
              <w:jc w:val="center"/>
              <w:rPr>
                <w:b/>
                <w:color w:val="FFFFFF" w:themeColor="background1"/>
                <w:sz w:val="20"/>
                <w:szCs w:val="20"/>
              </w:rPr>
            </w:pPr>
            <w:r>
              <w:rPr>
                <w:b/>
                <w:color w:val="FFFFFF" w:themeColor="background1"/>
                <w:sz w:val="20"/>
                <w:szCs w:val="20"/>
              </w:rPr>
              <w:t>2015</w:t>
            </w:r>
          </w:p>
        </w:tc>
        <w:tc>
          <w:tcPr>
            <w:tcW w:w="1980" w:type="dxa"/>
            <w:tcBorders>
              <w:top w:val="single" w:sz="4" w:space="0" w:color="auto"/>
              <w:left w:val="single" w:sz="4" w:space="0" w:color="FFFFFF" w:themeColor="background1"/>
              <w:bottom w:val="single" w:sz="4" w:space="0" w:color="auto"/>
              <w:right w:val="single" w:sz="4" w:space="0" w:color="auto"/>
            </w:tcBorders>
            <w:shd w:val="clear" w:color="auto" w:fill="2E74B5" w:themeFill="accent1" w:themeFillShade="BF"/>
          </w:tcPr>
          <w:p w:rsidR="00364D4D" w:rsidRPr="00C76B7A" w:rsidRDefault="00364D4D" w:rsidP="00B17B53">
            <w:pPr>
              <w:spacing w:before="60"/>
              <w:ind w:right="23"/>
              <w:jc w:val="center"/>
              <w:rPr>
                <w:b/>
                <w:color w:val="FFFFFF" w:themeColor="background1"/>
                <w:sz w:val="20"/>
                <w:szCs w:val="20"/>
              </w:rPr>
            </w:pPr>
            <w:r w:rsidRPr="00C76B7A">
              <w:rPr>
                <w:b/>
                <w:color w:val="FFFFFF" w:themeColor="background1"/>
                <w:sz w:val="20"/>
                <w:szCs w:val="20"/>
              </w:rPr>
              <w:t>DIFERENCIA EN</w:t>
            </w:r>
          </w:p>
          <w:p w:rsidR="00364D4D" w:rsidRPr="00C76B7A" w:rsidRDefault="00364D4D" w:rsidP="00B17B53">
            <w:pPr>
              <w:ind w:right="20"/>
              <w:jc w:val="center"/>
              <w:rPr>
                <w:b/>
                <w:color w:val="FFFFFF" w:themeColor="background1"/>
                <w:sz w:val="20"/>
                <w:szCs w:val="20"/>
              </w:rPr>
            </w:pPr>
            <w:r w:rsidRPr="00C76B7A">
              <w:rPr>
                <w:b/>
                <w:color w:val="FFFFFF" w:themeColor="background1"/>
                <w:sz w:val="20"/>
                <w:szCs w:val="20"/>
              </w:rPr>
              <w:t>PUNTOS</w:t>
            </w:r>
          </w:p>
          <w:p w:rsidR="00364D4D" w:rsidRPr="00C76B7A" w:rsidRDefault="00364D4D" w:rsidP="00B17B53">
            <w:pPr>
              <w:ind w:right="20"/>
              <w:jc w:val="center"/>
              <w:rPr>
                <w:b/>
                <w:color w:val="FFFFFF" w:themeColor="background1"/>
                <w:sz w:val="20"/>
                <w:szCs w:val="20"/>
              </w:rPr>
            </w:pPr>
            <w:r w:rsidRPr="00C76B7A">
              <w:rPr>
                <w:b/>
                <w:color w:val="FFFFFF" w:themeColor="background1"/>
                <w:sz w:val="20"/>
                <w:szCs w:val="20"/>
              </w:rPr>
              <w:t>PORCENTUALES</w:t>
            </w:r>
          </w:p>
        </w:tc>
      </w:tr>
      <w:tr w:rsidR="008A3C4D" w:rsidRPr="00BA7A08" w:rsidTr="008A3C4D">
        <w:trPr>
          <w:trHeight w:val="50"/>
        </w:trPr>
        <w:tc>
          <w:tcPr>
            <w:tcW w:w="4202" w:type="dxa"/>
            <w:gridSpan w:val="2"/>
            <w:tcBorders>
              <w:top w:val="single" w:sz="4" w:space="0" w:color="FFFFFF" w:themeColor="background1"/>
              <w:left w:val="single" w:sz="4" w:space="0" w:color="auto"/>
              <w:bottom w:val="nil"/>
              <w:right w:val="single" w:sz="4" w:space="0" w:color="auto"/>
            </w:tcBorders>
            <w:vAlign w:val="center"/>
          </w:tcPr>
          <w:p w:rsidR="008A3C4D" w:rsidRPr="00BA7A08" w:rsidRDefault="008A3C4D" w:rsidP="008A3C4D">
            <w:pPr>
              <w:spacing w:before="60" w:after="60"/>
              <w:rPr>
                <w:b/>
                <w:sz w:val="20"/>
                <w:szCs w:val="20"/>
              </w:rPr>
            </w:pPr>
            <w:r w:rsidRPr="00BA7A08">
              <w:rPr>
                <w:b/>
                <w:sz w:val="20"/>
                <w:szCs w:val="20"/>
              </w:rPr>
              <w:t>INPP SIN PETRÓLEO Y SIN SERVICIOS</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lang w:val="es-MX" w:eastAsia="es-MX"/>
              </w:rPr>
            </w:pPr>
            <w:r w:rsidRPr="008A3C4D">
              <w:rPr>
                <w:b/>
                <w:bCs/>
                <w:color w:val="000000"/>
                <w:sz w:val="20"/>
                <w:szCs w:val="20"/>
              </w:rPr>
              <w:t>1.26</w:t>
            </w:r>
          </w:p>
        </w:tc>
        <w:tc>
          <w:tcPr>
            <w:tcW w:w="1260" w:type="dxa"/>
            <w:tcBorders>
              <w:top w:val="single" w:sz="4" w:space="0" w:color="auto"/>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1.02</w:t>
            </w:r>
          </w:p>
        </w:tc>
        <w:tc>
          <w:tcPr>
            <w:tcW w:w="1980" w:type="dxa"/>
            <w:tcBorders>
              <w:top w:val="single" w:sz="4" w:space="0" w:color="auto"/>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-0.24</w:t>
            </w:r>
          </w:p>
        </w:tc>
      </w:tr>
      <w:tr w:rsidR="008A3C4D" w:rsidRPr="00BA7A08" w:rsidTr="008A3C4D">
        <w:trPr>
          <w:trHeight w:val="6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spacing w:before="60" w:after="60"/>
              <w:rPr>
                <w:b/>
                <w:sz w:val="20"/>
                <w:szCs w:val="20"/>
              </w:rPr>
            </w:pPr>
            <w:r w:rsidRPr="00BA7A08">
              <w:rPr>
                <w:b/>
                <w:sz w:val="20"/>
                <w:szCs w:val="20"/>
              </w:rPr>
              <w:t xml:space="preserve">INPP </w:t>
            </w:r>
            <w:r>
              <w:rPr>
                <w:b/>
                <w:sz w:val="20"/>
                <w:szCs w:val="20"/>
              </w:rPr>
              <w:t>CON</w:t>
            </w:r>
            <w:r w:rsidRPr="00BA7A08">
              <w:rPr>
                <w:b/>
                <w:sz w:val="20"/>
                <w:szCs w:val="20"/>
              </w:rPr>
              <w:t xml:space="preserve"> PETRÓLEO Y </w:t>
            </w:r>
            <w:r>
              <w:rPr>
                <w:b/>
                <w:sz w:val="20"/>
                <w:szCs w:val="20"/>
              </w:rPr>
              <w:t>SIN</w:t>
            </w:r>
            <w:r w:rsidRPr="00BA7A08">
              <w:rPr>
                <w:b/>
                <w:sz w:val="20"/>
                <w:szCs w:val="20"/>
              </w:rPr>
              <w:t xml:space="preserve"> SERVICIOS </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1.45</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0.69</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-0.76</w:t>
            </w:r>
          </w:p>
        </w:tc>
      </w:tr>
      <w:tr w:rsidR="008A3C4D" w:rsidRPr="00BA7A08" w:rsidTr="008A3C4D">
        <w:trPr>
          <w:trHeight w:val="6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spacing w:before="60" w:after="60"/>
              <w:rPr>
                <w:b/>
                <w:sz w:val="20"/>
                <w:szCs w:val="20"/>
              </w:rPr>
            </w:pPr>
            <w:r w:rsidRPr="00BA7A08">
              <w:rPr>
                <w:b/>
                <w:sz w:val="20"/>
                <w:szCs w:val="20"/>
              </w:rPr>
              <w:t xml:space="preserve">INPP </w:t>
            </w:r>
            <w:r>
              <w:rPr>
                <w:b/>
                <w:sz w:val="20"/>
                <w:szCs w:val="20"/>
              </w:rPr>
              <w:t>SIN</w:t>
            </w:r>
            <w:r w:rsidRPr="00BA7A08">
              <w:rPr>
                <w:b/>
                <w:sz w:val="20"/>
                <w:szCs w:val="20"/>
              </w:rPr>
              <w:t xml:space="preserve"> PETRÓLEO Y </w:t>
            </w:r>
            <w:r>
              <w:rPr>
                <w:b/>
                <w:sz w:val="20"/>
                <w:szCs w:val="20"/>
              </w:rPr>
              <w:t>CON</w:t>
            </w:r>
            <w:r w:rsidRPr="00BA7A08">
              <w:rPr>
                <w:b/>
                <w:sz w:val="20"/>
                <w:szCs w:val="20"/>
              </w:rPr>
              <w:t xml:space="preserve"> SERVICIOS</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0.92</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0.51</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-0.41</w:t>
            </w:r>
          </w:p>
        </w:tc>
      </w:tr>
      <w:tr w:rsidR="008A3C4D" w:rsidRPr="00BA7A08" w:rsidTr="008A3C4D">
        <w:tc>
          <w:tcPr>
            <w:tcW w:w="4202" w:type="dxa"/>
            <w:gridSpan w:val="2"/>
            <w:tcBorders>
              <w:top w:val="nil"/>
              <w:left w:val="single" w:sz="4" w:space="0" w:color="auto"/>
              <w:bottom w:val="nil"/>
              <w:right w:val="single" w:sz="4" w:space="0" w:color="auto"/>
            </w:tcBorders>
          </w:tcPr>
          <w:p w:rsidR="008A3C4D" w:rsidRPr="004E7DCA" w:rsidRDefault="008A3C4D" w:rsidP="008A3C4D">
            <w:pPr>
              <w:spacing w:before="60" w:after="60"/>
              <w:ind w:right="28"/>
              <w:rPr>
                <w:b/>
                <w:sz w:val="20"/>
                <w:szCs w:val="20"/>
              </w:rPr>
            </w:pPr>
            <w:r>
              <w:rPr>
                <w:b/>
                <w:sz w:val="20"/>
                <w:szCs w:val="20"/>
              </w:rPr>
              <w:t>CULTIVO DE MAÍZ FORRAJERO</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-2.07</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4.09</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6.16</w:t>
            </w:r>
          </w:p>
        </w:tc>
      </w:tr>
      <w:tr w:rsidR="008A3C4D" w:rsidRPr="00BA7A08" w:rsidTr="008A3C4D">
        <w:tc>
          <w:tcPr>
            <w:tcW w:w="4202" w:type="dxa"/>
            <w:gridSpan w:val="2"/>
            <w:tcBorders>
              <w:top w:val="nil"/>
              <w:left w:val="single" w:sz="4" w:space="0" w:color="auto"/>
              <w:bottom w:val="nil"/>
              <w:right w:val="single" w:sz="4" w:space="0" w:color="auto"/>
            </w:tcBorders>
          </w:tcPr>
          <w:p w:rsidR="008A3C4D" w:rsidRPr="004E7DCA" w:rsidRDefault="008A3C4D" w:rsidP="008A3C4D">
            <w:pPr>
              <w:spacing w:before="60" w:after="60"/>
              <w:ind w:right="28"/>
              <w:rPr>
                <w:sz w:val="20"/>
                <w:szCs w:val="20"/>
              </w:rPr>
            </w:pPr>
            <w:r>
              <w:rPr>
                <w:b/>
                <w:sz w:val="20"/>
                <w:szCs w:val="20"/>
              </w:rPr>
              <w:t>CULTIVO DE AVENA FORRAJERA</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-5.34</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3.13</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8.47</w:t>
            </w:r>
          </w:p>
        </w:tc>
      </w:tr>
      <w:tr w:rsidR="008A3C4D" w:rsidRPr="00BA7A08" w:rsidTr="008A3C4D">
        <w:tc>
          <w:tcPr>
            <w:tcW w:w="4202" w:type="dxa"/>
            <w:gridSpan w:val="2"/>
            <w:tcBorders>
              <w:top w:val="nil"/>
              <w:left w:val="single" w:sz="4" w:space="0" w:color="auto"/>
              <w:bottom w:val="nil"/>
              <w:right w:val="single" w:sz="4" w:space="0" w:color="auto"/>
            </w:tcBorders>
          </w:tcPr>
          <w:p w:rsidR="008A3C4D" w:rsidRPr="001C17F3" w:rsidRDefault="008A3C4D" w:rsidP="008A3C4D">
            <w:pPr>
              <w:spacing w:before="60" w:after="60"/>
              <w:ind w:right="28"/>
              <w:rPr>
                <w:b/>
                <w:sz w:val="20"/>
                <w:szCs w:val="20"/>
              </w:rPr>
            </w:pPr>
            <w:r w:rsidRPr="001C17F3">
              <w:rPr>
                <w:b/>
                <w:sz w:val="20"/>
                <w:szCs w:val="20"/>
              </w:rPr>
              <w:t>CULTIVO DE ALFALFA</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3.76</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2.69</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-1.07</w:t>
            </w:r>
          </w:p>
        </w:tc>
      </w:tr>
      <w:tr w:rsidR="008A3C4D" w:rsidRPr="00BA7A08" w:rsidTr="008A3C4D">
        <w:tc>
          <w:tcPr>
            <w:tcW w:w="4202" w:type="dxa"/>
            <w:gridSpan w:val="2"/>
            <w:tcBorders>
              <w:top w:val="nil"/>
              <w:left w:val="single" w:sz="4" w:space="0" w:color="auto"/>
              <w:bottom w:val="nil"/>
              <w:right w:val="single" w:sz="4" w:space="0" w:color="auto"/>
            </w:tcBorders>
          </w:tcPr>
          <w:p w:rsidR="008A3C4D" w:rsidRPr="008A755E" w:rsidRDefault="008A3C4D" w:rsidP="008A3C4D">
            <w:pPr>
              <w:spacing w:before="60" w:after="60"/>
              <w:ind w:right="28"/>
              <w:rPr>
                <w:b/>
                <w:sz w:val="20"/>
                <w:szCs w:val="20"/>
              </w:rPr>
            </w:pPr>
            <w:r w:rsidRPr="008A755E">
              <w:rPr>
                <w:b/>
                <w:sz w:val="20"/>
                <w:szCs w:val="20"/>
              </w:rPr>
              <w:t xml:space="preserve">CULTIVO DE </w:t>
            </w:r>
            <w:r>
              <w:rPr>
                <w:b/>
                <w:sz w:val="20"/>
                <w:szCs w:val="20"/>
              </w:rPr>
              <w:t>PASTOS Y ZACATES</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0.00</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0.00</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0.00</w:t>
            </w:r>
          </w:p>
        </w:tc>
      </w:tr>
      <w:tr w:rsidR="008A3C4D" w:rsidRPr="00BA7A08" w:rsidTr="008A3C4D">
        <w:trPr>
          <w:trHeight w:val="241"/>
        </w:trPr>
        <w:tc>
          <w:tcPr>
            <w:tcW w:w="4202" w:type="dxa"/>
            <w:gridSpan w:val="2"/>
            <w:tcBorders>
              <w:top w:val="nil"/>
              <w:left w:val="single" w:sz="4" w:space="0" w:color="auto"/>
              <w:bottom w:val="nil"/>
              <w:right w:val="single" w:sz="4" w:space="0" w:color="auto"/>
            </w:tcBorders>
          </w:tcPr>
          <w:p w:rsidR="008A3C4D" w:rsidRPr="004E7DCA" w:rsidRDefault="008A3C4D" w:rsidP="008A3C4D">
            <w:pPr>
              <w:spacing w:before="60" w:after="60"/>
              <w:ind w:right="28"/>
              <w:rPr>
                <w:b/>
                <w:sz w:val="20"/>
                <w:szCs w:val="20"/>
              </w:rPr>
            </w:pPr>
            <w:r>
              <w:rPr>
                <w:b/>
                <w:sz w:val="20"/>
                <w:szCs w:val="20"/>
              </w:rPr>
              <w:t>FABRICACIÓN DE FERTILIZANTES</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1.12</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2.48</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1.36</w:t>
            </w:r>
          </w:p>
        </w:tc>
      </w:tr>
      <w:tr w:rsidR="008A3C4D" w:rsidRPr="00BA7A08" w:rsidTr="008A3C4D">
        <w:trPr>
          <w:trHeight w:val="122"/>
        </w:trPr>
        <w:tc>
          <w:tcPr>
            <w:tcW w:w="4202" w:type="dxa"/>
            <w:gridSpan w:val="2"/>
            <w:tcBorders>
              <w:top w:val="nil"/>
              <w:left w:val="single" w:sz="4" w:space="0" w:color="auto"/>
              <w:bottom w:val="nil"/>
              <w:right w:val="single" w:sz="4" w:space="0" w:color="auto"/>
            </w:tcBorders>
          </w:tcPr>
          <w:p w:rsidR="008A3C4D" w:rsidRPr="00BA7A08" w:rsidRDefault="008A3C4D" w:rsidP="008A3C4D">
            <w:pPr>
              <w:spacing w:before="60" w:after="60"/>
              <w:ind w:right="23"/>
              <w:rPr>
                <w:b/>
                <w:sz w:val="20"/>
                <w:szCs w:val="20"/>
              </w:rPr>
            </w:pPr>
            <w:r>
              <w:rPr>
                <w:b/>
                <w:sz w:val="20"/>
                <w:szCs w:val="20"/>
              </w:rPr>
              <w:t>FABRICACIÓN DE PESTICIDAS Y OTROS AGROQUÍMICOS, EXCEPTO FERTILIZANTES</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0.18</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2.70</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2.52</w:t>
            </w:r>
          </w:p>
        </w:tc>
      </w:tr>
      <w:tr w:rsidR="008A3C4D" w:rsidRPr="00BA7A08" w:rsidTr="008A3C4D">
        <w:trPr>
          <w:trHeight w:val="8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spacing w:before="60" w:after="60"/>
              <w:ind w:right="23"/>
              <w:jc w:val="both"/>
              <w:rPr>
                <w:b/>
                <w:sz w:val="20"/>
                <w:szCs w:val="20"/>
              </w:rPr>
            </w:pPr>
            <w:r>
              <w:rPr>
                <w:b/>
                <w:sz w:val="20"/>
                <w:szCs w:val="20"/>
              </w:rPr>
              <w:t>FABRICACIÓN DE MAQUINARIA Y EQUIPO AGRÍCOLA</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0.40</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3.57</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3.17</w:t>
            </w:r>
          </w:p>
        </w:tc>
      </w:tr>
      <w:tr w:rsidR="008A3C4D" w:rsidRPr="00BA7A08" w:rsidTr="008A3C4D">
        <w:trPr>
          <w:trHeight w:val="127"/>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ind w:right="23"/>
              <w:rPr>
                <w:b/>
                <w:sz w:val="20"/>
                <w:szCs w:val="20"/>
              </w:rPr>
            </w:pPr>
            <w:r w:rsidRPr="00BA7A08">
              <w:rPr>
                <w:sz w:val="20"/>
                <w:szCs w:val="20"/>
              </w:rPr>
              <w:t>Tractores agrícolas</w:t>
            </w:r>
            <w:r>
              <w:rPr>
                <w:sz w:val="20"/>
                <w:szCs w:val="20"/>
              </w:rPr>
              <w:t xml:space="preserve"> </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0.00</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2.80</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Cs/>
                <w:color w:val="000000"/>
                <w:sz w:val="20"/>
                <w:szCs w:val="20"/>
              </w:rPr>
            </w:pPr>
            <w:r w:rsidRPr="008A3C4D">
              <w:rPr>
                <w:bCs/>
                <w:color w:val="000000"/>
                <w:sz w:val="20"/>
                <w:szCs w:val="20"/>
              </w:rPr>
              <w:t>2.80</w:t>
            </w:r>
          </w:p>
        </w:tc>
      </w:tr>
      <w:tr w:rsidR="008A3C4D" w:rsidRPr="00BA7A08" w:rsidTr="008A3C4D">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ind w:right="23"/>
              <w:rPr>
                <w:b/>
                <w:sz w:val="20"/>
                <w:szCs w:val="20"/>
              </w:rPr>
            </w:pPr>
            <w:r w:rsidRPr="00BA7A08">
              <w:rPr>
                <w:sz w:val="20"/>
                <w:szCs w:val="20"/>
              </w:rPr>
              <w:t>Otra maquinaria agrícola</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1.79</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6.06</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Cs/>
                <w:color w:val="000000"/>
                <w:sz w:val="20"/>
                <w:szCs w:val="20"/>
              </w:rPr>
            </w:pPr>
            <w:r w:rsidRPr="008A3C4D">
              <w:rPr>
                <w:bCs/>
                <w:color w:val="000000"/>
                <w:sz w:val="20"/>
                <w:szCs w:val="20"/>
              </w:rPr>
              <w:t>4.27</w:t>
            </w:r>
          </w:p>
        </w:tc>
      </w:tr>
      <w:tr w:rsidR="008A3C4D" w:rsidRPr="00BA7A08" w:rsidTr="008A3C4D">
        <w:trPr>
          <w:trHeight w:val="9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spacing w:before="60" w:after="60"/>
              <w:ind w:right="23"/>
              <w:rPr>
                <w:b/>
                <w:sz w:val="20"/>
                <w:szCs w:val="20"/>
              </w:rPr>
            </w:pPr>
            <w:r>
              <w:rPr>
                <w:b/>
                <w:sz w:val="20"/>
                <w:szCs w:val="20"/>
              </w:rPr>
              <w:t xml:space="preserve">ELABORACIÓN DE </w:t>
            </w:r>
            <w:r w:rsidRPr="00BA7A08">
              <w:rPr>
                <w:b/>
                <w:sz w:val="20"/>
                <w:szCs w:val="20"/>
              </w:rPr>
              <w:t>ALIMENTOS PARA ANIMALES</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-0.42</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
                <w:bCs/>
                <w:color w:val="000000"/>
                <w:sz w:val="20"/>
                <w:szCs w:val="20"/>
              </w:rPr>
            </w:pPr>
            <w:r w:rsidRPr="008A3C4D">
              <w:rPr>
                <w:b/>
                <w:bCs/>
                <w:color w:val="000000"/>
                <w:sz w:val="20"/>
                <w:szCs w:val="20"/>
              </w:rPr>
              <w:t>0.79</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
                <w:bCs/>
                <w:color w:val="000000"/>
                <w:sz w:val="20"/>
                <w:szCs w:val="20"/>
              </w:rPr>
            </w:pPr>
            <w:r w:rsidRPr="008A3C4D">
              <w:rPr>
                <w:b/>
                <w:bCs/>
                <w:color w:val="000000"/>
                <w:sz w:val="20"/>
                <w:szCs w:val="20"/>
              </w:rPr>
              <w:t>1.21</w:t>
            </w:r>
          </w:p>
        </w:tc>
      </w:tr>
      <w:tr w:rsidR="008A3C4D" w:rsidRPr="00BA7A08" w:rsidTr="008A3C4D">
        <w:trPr>
          <w:trHeight w:val="9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ind w:right="23"/>
              <w:rPr>
                <w:sz w:val="20"/>
                <w:szCs w:val="20"/>
              </w:rPr>
            </w:pPr>
            <w:r>
              <w:rPr>
                <w:sz w:val="20"/>
                <w:szCs w:val="20"/>
              </w:rPr>
              <w:t xml:space="preserve">Alimento </w:t>
            </w:r>
            <w:r w:rsidRPr="00BA7A08">
              <w:rPr>
                <w:sz w:val="20"/>
                <w:szCs w:val="20"/>
              </w:rPr>
              <w:t>para ave</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-0.74</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0.69</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Cs/>
                <w:color w:val="000000"/>
                <w:sz w:val="20"/>
                <w:szCs w:val="20"/>
              </w:rPr>
            </w:pPr>
            <w:r w:rsidRPr="008A3C4D">
              <w:rPr>
                <w:bCs/>
                <w:color w:val="000000"/>
                <w:sz w:val="20"/>
                <w:szCs w:val="20"/>
              </w:rPr>
              <w:t>1.43</w:t>
            </w:r>
          </w:p>
        </w:tc>
      </w:tr>
      <w:tr w:rsidR="008A3C4D" w:rsidRPr="00BA7A08" w:rsidTr="008A3C4D">
        <w:trPr>
          <w:trHeight w:val="9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ind w:right="23"/>
              <w:rPr>
                <w:sz w:val="20"/>
                <w:szCs w:val="20"/>
              </w:rPr>
            </w:pPr>
            <w:r>
              <w:rPr>
                <w:sz w:val="20"/>
                <w:szCs w:val="20"/>
              </w:rPr>
              <w:t>Alimento</w:t>
            </w:r>
            <w:r w:rsidRPr="00BA7A08">
              <w:rPr>
                <w:sz w:val="20"/>
                <w:szCs w:val="20"/>
              </w:rPr>
              <w:t xml:space="preserve"> para ganado porcino</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-0.65</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2.26</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Cs/>
                <w:color w:val="000000"/>
                <w:sz w:val="20"/>
                <w:szCs w:val="20"/>
              </w:rPr>
            </w:pPr>
            <w:r w:rsidRPr="008A3C4D">
              <w:rPr>
                <w:bCs/>
                <w:color w:val="000000"/>
                <w:sz w:val="20"/>
                <w:szCs w:val="20"/>
              </w:rPr>
              <w:t>2.91</w:t>
            </w:r>
          </w:p>
        </w:tc>
      </w:tr>
      <w:tr w:rsidR="008A3C4D" w:rsidRPr="00BA7A08" w:rsidTr="008A3C4D">
        <w:trPr>
          <w:trHeight w:val="90"/>
        </w:trPr>
        <w:tc>
          <w:tcPr>
            <w:tcW w:w="4202" w:type="dxa"/>
            <w:gridSpan w:val="2"/>
            <w:tcBorders>
              <w:top w:val="nil"/>
              <w:left w:val="single" w:sz="4" w:space="0" w:color="auto"/>
              <w:bottom w:val="nil"/>
              <w:right w:val="single" w:sz="4" w:space="0" w:color="auto"/>
            </w:tcBorders>
            <w:vAlign w:val="center"/>
          </w:tcPr>
          <w:p w:rsidR="008A3C4D" w:rsidRPr="00BA7A08" w:rsidRDefault="008A3C4D" w:rsidP="008A3C4D">
            <w:pPr>
              <w:ind w:right="23"/>
              <w:rPr>
                <w:sz w:val="20"/>
                <w:szCs w:val="20"/>
              </w:rPr>
            </w:pPr>
            <w:r>
              <w:rPr>
                <w:sz w:val="20"/>
                <w:szCs w:val="20"/>
              </w:rPr>
              <w:t>Alimento</w:t>
            </w:r>
            <w:r w:rsidRPr="00BA7A08">
              <w:rPr>
                <w:sz w:val="20"/>
                <w:szCs w:val="20"/>
              </w:rPr>
              <w:t xml:space="preserve"> para ganado bovino</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0.28</w:t>
            </w:r>
          </w:p>
        </w:tc>
        <w:tc>
          <w:tcPr>
            <w:tcW w:w="126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0.57</w:t>
            </w:r>
          </w:p>
        </w:tc>
        <w:tc>
          <w:tcPr>
            <w:tcW w:w="1980" w:type="dxa"/>
            <w:tcBorders>
              <w:top w:val="nil"/>
              <w:left w:val="single" w:sz="4" w:space="0" w:color="auto"/>
              <w:bottom w:val="nil"/>
              <w:right w:val="single" w:sz="4" w:space="0" w:color="auto"/>
            </w:tcBorders>
            <w:shd w:val="clear" w:color="auto" w:fill="auto"/>
            <w:vAlign w:val="center"/>
          </w:tcPr>
          <w:p w:rsidR="008A3C4D" w:rsidRPr="008A3C4D" w:rsidRDefault="008A3C4D" w:rsidP="008A3C4D">
            <w:pPr>
              <w:ind w:left="-1475" w:right="727"/>
              <w:jc w:val="right"/>
              <w:rPr>
                <w:bCs/>
                <w:color w:val="000000"/>
                <w:sz w:val="20"/>
                <w:szCs w:val="20"/>
              </w:rPr>
            </w:pPr>
            <w:r w:rsidRPr="008A3C4D">
              <w:rPr>
                <w:bCs/>
                <w:color w:val="000000"/>
                <w:sz w:val="20"/>
                <w:szCs w:val="20"/>
              </w:rPr>
              <w:t>0.29</w:t>
            </w:r>
          </w:p>
        </w:tc>
      </w:tr>
      <w:tr w:rsidR="008A3C4D" w:rsidRPr="00BA7A08" w:rsidTr="008A3C4D">
        <w:trPr>
          <w:trHeight w:val="90"/>
        </w:trPr>
        <w:tc>
          <w:tcPr>
            <w:tcW w:w="4202" w:type="dxa"/>
            <w:gridSpan w:val="2"/>
            <w:tcBorders>
              <w:top w:val="nil"/>
              <w:left w:val="single" w:sz="4" w:space="0" w:color="auto"/>
              <w:bottom w:val="single" w:sz="4" w:space="0" w:color="auto"/>
              <w:right w:val="single" w:sz="4" w:space="0" w:color="auto"/>
            </w:tcBorders>
            <w:vAlign w:val="center"/>
          </w:tcPr>
          <w:p w:rsidR="008A3C4D" w:rsidRPr="00BA7A08" w:rsidRDefault="008A3C4D" w:rsidP="008A3C4D">
            <w:pPr>
              <w:ind w:right="23"/>
              <w:rPr>
                <w:sz w:val="20"/>
                <w:szCs w:val="20"/>
              </w:rPr>
            </w:pPr>
            <w:r>
              <w:rPr>
                <w:sz w:val="20"/>
                <w:szCs w:val="20"/>
              </w:rPr>
              <w:t>Alimento</w:t>
            </w:r>
            <w:r w:rsidRPr="00BA7A08">
              <w:rPr>
                <w:sz w:val="20"/>
                <w:szCs w:val="20"/>
              </w:rPr>
              <w:t xml:space="preserve"> para otro ganado</w:t>
            </w:r>
          </w:p>
        </w:tc>
        <w:tc>
          <w:tcPr>
            <w:tcW w:w="1260" w:type="dxa"/>
            <w:tcBorders>
              <w:top w:val="nil"/>
              <w:left w:val="nil"/>
              <w:bottom w:val="nil"/>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0.08</w:t>
            </w:r>
          </w:p>
        </w:tc>
        <w:tc>
          <w:tcPr>
            <w:tcW w:w="1260" w:type="dxa"/>
            <w:tcBorders>
              <w:top w:val="nil"/>
              <w:left w:val="single" w:sz="4" w:space="0" w:color="auto"/>
              <w:bottom w:val="single" w:sz="4" w:space="0" w:color="auto"/>
              <w:right w:val="single" w:sz="4" w:space="0" w:color="auto"/>
            </w:tcBorders>
            <w:shd w:val="clear" w:color="auto" w:fill="auto"/>
            <w:vAlign w:val="center"/>
          </w:tcPr>
          <w:p w:rsidR="008A3C4D" w:rsidRPr="008A3C4D" w:rsidRDefault="008A3C4D" w:rsidP="008A3C4D">
            <w:pPr>
              <w:ind w:left="-1475" w:right="370"/>
              <w:jc w:val="right"/>
              <w:rPr>
                <w:bCs/>
                <w:color w:val="000000"/>
                <w:sz w:val="20"/>
                <w:szCs w:val="20"/>
              </w:rPr>
            </w:pPr>
            <w:r w:rsidRPr="008A3C4D">
              <w:rPr>
                <w:bCs/>
                <w:color w:val="000000"/>
                <w:sz w:val="20"/>
                <w:szCs w:val="20"/>
              </w:rPr>
              <w:t>0.26</w:t>
            </w:r>
          </w:p>
        </w:tc>
        <w:tc>
          <w:tcPr>
            <w:tcW w:w="1980" w:type="dxa"/>
            <w:tcBorders>
              <w:top w:val="nil"/>
              <w:left w:val="single" w:sz="4" w:space="0" w:color="auto"/>
              <w:bottom w:val="single" w:sz="4" w:space="0" w:color="auto"/>
              <w:right w:val="single" w:sz="4" w:space="0" w:color="auto"/>
            </w:tcBorders>
            <w:shd w:val="clear" w:color="auto" w:fill="auto"/>
            <w:vAlign w:val="center"/>
          </w:tcPr>
          <w:p w:rsidR="008A3C4D" w:rsidRPr="008A3C4D" w:rsidRDefault="008A3C4D" w:rsidP="008A3C4D">
            <w:pPr>
              <w:ind w:left="-1475" w:right="727"/>
              <w:jc w:val="right"/>
              <w:rPr>
                <w:bCs/>
                <w:color w:val="000000"/>
                <w:sz w:val="20"/>
                <w:szCs w:val="20"/>
              </w:rPr>
            </w:pPr>
            <w:r w:rsidRPr="008A3C4D">
              <w:rPr>
                <w:bCs/>
                <w:color w:val="000000"/>
                <w:sz w:val="20"/>
                <w:szCs w:val="20"/>
              </w:rPr>
              <w:t>0.18</w:t>
            </w:r>
          </w:p>
        </w:tc>
      </w:tr>
      <w:tr w:rsidR="00364D4D" w:rsidRPr="00BA7A08" w:rsidTr="008A3C4D">
        <w:trPr>
          <w:trHeight w:val="557"/>
        </w:trPr>
        <w:tc>
          <w:tcPr>
            <w:tcW w:w="994" w:type="dxa"/>
            <w:tcBorders>
              <w:top w:val="single" w:sz="4" w:space="0" w:color="auto"/>
              <w:left w:val="nil"/>
              <w:bottom w:val="nil"/>
              <w:right w:val="nil"/>
            </w:tcBorders>
          </w:tcPr>
          <w:p w:rsidR="00364D4D" w:rsidRPr="00BA7A08" w:rsidRDefault="00364D4D" w:rsidP="00B17B53">
            <w:pPr>
              <w:spacing w:before="60"/>
              <w:ind w:left="851" w:hanging="896"/>
              <w:jc w:val="right"/>
              <w:rPr>
                <w:sz w:val="20"/>
                <w:szCs w:val="20"/>
              </w:rPr>
            </w:pPr>
            <w:r w:rsidRPr="00342B87">
              <w:rPr>
                <w:sz w:val="20"/>
                <w:szCs w:val="20"/>
              </w:rPr>
              <w:t xml:space="preserve">FUENTE: </w:t>
            </w:r>
          </w:p>
        </w:tc>
        <w:tc>
          <w:tcPr>
            <w:tcW w:w="7708" w:type="dxa"/>
            <w:gridSpan w:val="4"/>
            <w:tcBorders>
              <w:top w:val="single" w:sz="4" w:space="0" w:color="auto"/>
              <w:left w:val="nil"/>
              <w:bottom w:val="nil"/>
              <w:right w:val="nil"/>
            </w:tcBorders>
            <w:vAlign w:val="center"/>
          </w:tcPr>
          <w:p w:rsidR="00364D4D" w:rsidRPr="00BA7A08" w:rsidRDefault="00364D4D" w:rsidP="00B17B53">
            <w:pPr>
              <w:spacing w:before="60"/>
              <w:ind w:left="-100"/>
              <w:jc w:val="both"/>
              <w:rPr>
                <w:sz w:val="20"/>
                <w:szCs w:val="20"/>
              </w:rPr>
            </w:pPr>
            <w:r w:rsidRPr="00342B87">
              <w:rPr>
                <w:sz w:val="20"/>
                <w:szCs w:val="20"/>
              </w:rPr>
              <w:t>Elaborado por la Comisión Nacional de los Salarios Mínimos con información del Instituto Nacional de Estadística y Geografía.</w:t>
            </w:r>
          </w:p>
        </w:tc>
      </w:tr>
    </w:tbl>
    <w:p w:rsidR="00364D4D" w:rsidRDefault="00364D4D" w:rsidP="00364D4D"/>
    <w:p w:rsidR="0041668D" w:rsidRPr="00E313B7" w:rsidRDefault="00364D4D" w:rsidP="0041668D">
      <w:pPr>
        <w:pStyle w:val="Ttulo1"/>
        <w:spacing w:before="360" w:after="360"/>
        <w:jc w:val="left"/>
        <w:rPr>
          <w:color w:val="0000FF"/>
          <w:sz w:val="26"/>
          <w:szCs w:val="26"/>
          <w:lang w:val="es-MX"/>
        </w:rPr>
      </w:pPr>
      <w:r>
        <w:br w:type="column"/>
      </w:r>
      <w:r w:rsidR="0041668D" w:rsidRPr="00E313B7">
        <w:rPr>
          <w:color w:val="0000FF"/>
          <w:sz w:val="26"/>
          <w:szCs w:val="26"/>
        </w:rPr>
        <w:lastRenderedPageBreak/>
        <w:t>Evolución de la inflación en México, Estados Unidos de Norteamérica y Canadá</w:t>
      </w:r>
    </w:p>
    <w:p w:rsidR="0041668D" w:rsidRDefault="0041668D" w:rsidP="0041668D">
      <w:pPr>
        <w:spacing w:before="360" w:after="360" w:line="360" w:lineRule="auto"/>
        <w:ind w:right="23"/>
        <w:jc w:val="both"/>
        <w:rPr>
          <w:sz w:val="26"/>
          <w:szCs w:val="26"/>
        </w:rPr>
      </w:pPr>
      <w:r w:rsidRPr="00AA3203">
        <w:rPr>
          <w:sz w:val="26"/>
          <w:szCs w:val="26"/>
          <w:lang w:val="es-MX" w:eastAsia="es-MX"/>
        </w:rPr>
        <w:t xml:space="preserve">El Índice Nacional de Precios al Consumidor de México, en </w:t>
      </w:r>
      <w:r>
        <w:rPr>
          <w:sz w:val="26"/>
          <w:szCs w:val="26"/>
          <w:lang w:val="es-MX" w:eastAsia="es-MX"/>
        </w:rPr>
        <w:t>febrero</w:t>
      </w:r>
      <w:r w:rsidRPr="00AA3203">
        <w:rPr>
          <w:sz w:val="26"/>
          <w:szCs w:val="26"/>
          <w:lang w:val="es-MX" w:eastAsia="es-MX"/>
        </w:rPr>
        <w:t xml:space="preserve"> de 201</w:t>
      </w:r>
      <w:r>
        <w:rPr>
          <w:sz w:val="26"/>
          <w:szCs w:val="26"/>
          <w:lang w:val="es-MX" w:eastAsia="es-MX"/>
        </w:rPr>
        <w:t>5</w:t>
      </w:r>
      <w:r w:rsidRPr="00AA3203">
        <w:rPr>
          <w:sz w:val="26"/>
          <w:szCs w:val="26"/>
          <w:lang w:val="es-MX" w:eastAsia="es-MX"/>
        </w:rPr>
        <w:t xml:space="preserve">, presentó una variación de </w:t>
      </w:r>
      <w:r>
        <w:rPr>
          <w:sz w:val="26"/>
          <w:szCs w:val="26"/>
          <w:lang w:val="es-MX" w:eastAsia="es-MX"/>
        </w:rPr>
        <w:t>0.19</w:t>
      </w:r>
      <w:r w:rsidRPr="00AA3203">
        <w:rPr>
          <w:sz w:val="26"/>
          <w:szCs w:val="26"/>
          <w:lang w:val="es-MX" w:eastAsia="es-MX"/>
        </w:rPr>
        <w:t xml:space="preserve">%, nivel </w:t>
      </w:r>
      <w:r>
        <w:rPr>
          <w:sz w:val="26"/>
          <w:szCs w:val="26"/>
          <w:lang w:val="es-MX" w:eastAsia="es-MX"/>
        </w:rPr>
        <w:t>menor</w:t>
      </w:r>
      <w:r w:rsidRPr="00AA3203">
        <w:rPr>
          <w:sz w:val="26"/>
          <w:szCs w:val="26"/>
          <w:lang w:val="es-MX" w:eastAsia="es-MX"/>
        </w:rPr>
        <w:t xml:space="preserve"> en </w:t>
      </w:r>
      <w:r>
        <w:rPr>
          <w:sz w:val="26"/>
          <w:szCs w:val="26"/>
          <w:lang w:val="es-MX" w:eastAsia="es-MX"/>
        </w:rPr>
        <w:t>0.03</w:t>
      </w:r>
      <w:r w:rsidRPr="00AA3203">
        <w:rPr>
          <w:sz w:val="26"/>
          <w:szCs w:val="26"/>
          <w:lang w:val="es-MX" w:eastAsia="es-MX"/>
        </w:rPr>
        <w:t xml:space="preserve"> puntos porcentuales a la variación presentada por el Índice de Precios al Consumidor de Est</w:t>
      </w:r>
      <w:r>
        <w:rPr>
          <w:sz w:val="26"/>
          <w:szCs w:val="26"/>
          <w:lang w:val="es-MX" w:eastAsia="es-MX"/>
        </w:rPr>
        <w:t>ados Unidos de Norteamérica (0.22%) y 0.69</w:t>
      </w:r>
      <w:r w:rsidRPr="00AA3203">
        <w:rPr>
          <w:sz w:val="26"/>
          <w:szCs w:val="26"/>
          <w:lang w:val="es-MX" w:eastAsia="es-MX"/>
        </w:rPr>
        <w:t xml:space="preserve"> puntos porcentuales por </w:t>
      </w:r>
      <w:r>
        <w:rPr>
          <w:sz w:val="26"/>
          <w:szCs w:val="26"/>
          <w:lang w:val="es-MX" w:eastAsia="es-MX"/>
        </w:rPr>
        <w:t>abajo</w:t>
      </w:r>
      <w:r w:rsidRPr="00AA3203">
        <w:rPr>
          <w:sz w:val="26"/>
          <w:szCs w:val="26"/>
          <w:lang w:val="es-MX" w:eastAsia="es-MX"/>
        </w:rPr>
        <w:t xml:space="preserve"> de la del Índice de Precios al Consumidor de Canadá (</w:t>
      </w:r>
      <w:r>
        <w:rPr>
          <w:sz w:val="26"/>
          <w:szCs w:val="26"/>
          <w:lang w:val="es-MX" w:eastAsia="es-MX"/>
        </w:rPr>
        <w:t>0.88</w:t>
      </w:r>
      <w:r w:rsidRPr="00AA3203">
        <w:rPr>
          <w:sz w:val="26"/>
          <w:szCs w:val="26"/>
          <w:lang w:val="es-MX" w:eastAsia="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6"/>
        <w:gridCol w:w="7604"/>
      </w:tblGrid>
      <w:tr w:rsidR="0041668D" w:rsidTr="00A14B35">
        <w:tc>
          <w:tcPr>
            <w:tcW w:w="9056" w:type="dxa"/>
            <w:gridSpan w:val="2"/>
          </w:tcPr>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mensuales</w:t>
            </w:r>
            <w:r>
              <w:rPr>
                <w:b/>
                <w:bCs/>
                <w:color w:val="000000"/>
                <w:kern w:val="24"/>
                <w:sz w:val="22"/>
                <w:szCs w:val="22"/>
                <w:lang w:val="es-ES_tradnl"/>
              </w:rPr>
              <w:t xml:space="preserve"> </w:t>
            </w:r>
            <w:r w:rsidRPr="00CB035B">
              <w:rPr>
                <w:b/>
                <w:bCs/>
                <w:color w:val="000000"/>
                <w:kern w:val="24"/>
                <w:sz w:val="22"/>
                <w:szCs w:val="22"/>
                <w:lang w:val="es-MX"/>
              </w:rPr>
              <w:t>-</w:t>
            </w:r>
          </w:p>
          <w:p w:rsidR="0041668D" w:rsidRDefault="0041668D"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Diciembre 2014 – febrero 2015</w:t>
            </w:r>
          </w:p>
          <w:p w:rsidR="0041668D" w:rsidRPr="00D067B9" w:rsidRDefault="0041668D" w:rsidP="00A14B35">
            <w:pPr>
              <w:pStyle w:val="NormalWeb"/>
              <w:spacing w:before="0" w:beforeAutospacing="0" w:after="0" w:afterAutospacing="0"/>
              <w:jc w:val="center"/>
              <w:rPr>
                <w:sz w:val="22"/>
                <w:szCs w:val="22"/>
              </w:rPr>
            </w:pPr>
            <w:r>
              <w:rPr>
                <w:b/>
                <w:sz w:val="22"/>
                <w:szCs w:val="22"/>
              </w:rPr>
              <w:t>- Por ciento -</w:t>
            </w:r>
          </w:p>
        </w:tc>
      </w:tr>
      <w:tr w:rsidR="0041668D" w:rsidTr="00A14B35">
        <w:tc>
          <w:tcPr>
            <w:tcW w:w="9056" w:type="dxa"/>
            <w:gridSpan w:val="2"/>
          </w:tcPr>
          <w:p w:rsidR="0041668D" w:rsidRPr="00D067B9" w:rsidRDefault="0041668D" w:rsidP="00A14B35">
            <w:pPr>
              <w:spacing w:line="360" w:lineRule="auto"/>
              <w:ind w:right="20"/>
              <w:jc w:val="center"/>
              <w:rPr>
                <w:sz w:val="2"/>
                <w:szCs w:val="2"/>
              </w:rPr>
            </w:pPr>
            <w:r>
              <w:rPr>
                <w:noProof/>
                <w:sz w:val="26"/>
                <w:szCs w:val="26"/>
                <w:lang w:val="es-MX" w:eastAsia="es-MX"/>
              </w:rPr>
              <mc:AlternateContent>
                <mc:Choice Requires="wps">
                  <w:drawing>
                    <wp:anchor distT="0" distB="0" distL="114300" distR="114300" simplePos="0" relativeHeight="251755520" behindDoc="0" locked="0" layoutInCell="1" allowOverlap="1" wp14:anchorId="7545A339" wp14:editId="0B93B061">
                      <wp:simplePos x="0" y="0"/>
                      <wp:positionH relativeFrom="column">
                        <wp:posOffset>4548505</wp:posOffset>
                      </wp:positionH>
                      <wp:positionV relativeFrom="paragraph">
                        <wp:posOffset>133350</wp:posOffset>
                      </wp:positionV>
                      <wp:extent cx="265430" cy="203835"/>
                      <wp:effectExtent l="0" t="0" r="0" b="5715"/>
                      <wp:wrapNone/>
                      <wp:docPr id="3157" name="Text Box 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2038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14B35" w:rsidRPr="00983D63" w:rsidRDefault="00A14B35" w:rsidP="0041668D">
                                  <w:pPr>
                                    <w:rPr>
                                      <w:sz w:val="20"/>
                                      <w:szCs w:val="20"/>
                                      <w:vertAlign w:val="superscript"/>
                                      <w:lang w:val="es-MX"/>
                                    </w:rPr>
                                  </w:pPr>
                                  <w:r>
                                    <w:rPr>
                                      <w:sz w:val="20"/>
                                      <w:szCs w:val="20"/>
                                      <w:u w:val="single"/>
                                      <w:vertAlign w:val="superscript"/>
                                      <w:lang w:val="es-MX"/>
                                    </w:rPr>
                                    <w:t>2</w:t>
                                  </w:r>
                                  <w:r w:rsidRPr="009C2413">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5A339" id="Text Box 3073" o:spid="_x0000_s1053" type="#_x0000_t202" style="position:absolute;left:0;text-align:left;margin-left:358.15pt;margin-top:10.5pt;width:20.9pt;height:16.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" filled="f" stroked="f">
                      <v:textbox>
                        <w:txbxContent>
                          <w:p w:rsidR="00A14B35" w:rsidRPr="00983D63" w:rsidRDefault="00A14B35" w:rsidP="0041668D">
                            <w:pPr>
                              <w:rPr>
                                <w:sz w:val="20"/>
                                <w:szCs w:val="20"/>
                                <w:vertAlign w:val="superscript"/>
                                <w:lang w:val="es-MX"/>
                              </w:rPr>
                            </w:pPr>
                            <w:r>
                              <w:rPr>
                                <w:sz w:val="20"/>
                                <w:szCs w:val="20"/>
                                <w:u w:val="single"/>
                                <w:vertAlign w:val="superscript"/>
                                <w:lang w:val="es-MX"/>
                              </w:rPr>
                              <w:t>2</w:t>
                            </w:r>
                            <w:r w:rsidRPr="009C2413">
                              <w:rPr>
                                <w:sz w:val="20"/>
                                <w:szCs w:val="20"/>
                                <w:vertAlign w:val="superscript"/>
                                <w:lang w:val="es-MX"/>
                              </w:rPr>
                              <w:t>/</w:t>
                            </w:r>
                          </w:p>
                        </w:txbxContent>
                      </v:textbox>
                    </v:shape>
                  </w:pict>
                </mc:Fallback>
              </mc:AlternateContent>
            </w:r>
            <w:r>
              <w:rPr>
                <w:noProof/>
                <w:sz w:val="26"/>
                <w:szCs w:val="26"/>
                <w:lang w:val="es-MX" w:eastAsia="es-MX"/>
              </w:rPr>
              <mc:AlternateContent>
                <mc:Choice Requires="wps">
                  <w:drawing>
                    <wp:anchor distT="0" distB="0" distL="114300" distR="114300" simplePos="0" relativeHeight="251759616" behindDoc="0" locked="0" layoutInCell="1" allowOverlap="1" wp14:anchorId="3BE237A7" wp14:editId="707DE745">
                      <wp:simplePos x="0" y="0"/>
                      <wp:positionH relativeFrom="column">
                        <wp:posOffset>3758565</wp:posOffset>
                      </wp:positionH>
                      <wp:positionV relativeFrom="paragraph">
                        <wp:posOffset>137795</wp:posOffset>
                      </wp:positionV>
                      <wp:extent cx="265430" cy="203835"/>
                      <wp:effectExtent l="0" t="0" r="0" b="5715"/>
                      <wp:wrapNone/>
                      <wp:docPr id="2" name="Text Box 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2038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14B35" w:rsidRPr="00983D63" w:rsidRDefault="00A14B35" w:rsidP="0041668D">
                                  <w:pPr>
                                    <w:rPr>
                                      <w:sz w:val="20"/>
                                      <w:szCs w:val="20"/>
                                      <w:vertAlign w:val="superscript"/>
                                      <w:lang w:val="es-MX"/>
                                    </w:rPr>
                                  </w:pPr>
                                  <w:r>
                                    <w:rPr>
                                      <w:sz w:val="20"/>
                                      <w:szCs w:val="20"/>
                                      <w:u w:val="single"/>
                                      <w:vertAlign w:val="superscript"/>
                                      <w:lang w:val="es-MX"/>
                                    </w:rPr>
                                    <w:t>1</w:t>
                                  </w:r>
                                  <w:r w:rsidRPr="009C2413">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E237A7" id="_x0000_s1054" type="#_x0000_t202" style="position:absolute;left:0;text-align:left;margin-left:295.95pt;margin-top:10.85pt;width:20.9pt;height:16.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" filled="f" stroked="f">
                      <v:textbox>
                        <w:txbxContent>
                          <w:p w:rsidR="00A14B35" w:rsidRPr="00983D63" w:rsidRDefault="00A14B35" w:rsidP="0041668D">
                            <w:pPr>
                              <w:rPr>
                                <w:sz w:val="20"/>
                                <w:szCs w:val="20"/>
                                <w:vertAlign w:val="superscript"/>
                                <w:lang w:val="es-MX"/>
                              </w:rPr>
                            </w:pPr>
                            <w:r>
                              <w:rPr>
                                <w:sz w:val="20"/>
                                <w:szCs w:val="20"/>
                                <w:u w:val="single"/>
                                <w:vertAlign w:val="superscript"/>
                                <w:lang w:val="es-MX"/>
                              </w:rPr>
                              <w:t>1</w:t>
                            </w:r>
                            <w:r w:rsidRPr="009C2413">
                              <w:rPr>
                                <w:sz w:val="20"/>
                                <w:szCs w:val="20"/>
                                <w:vertAlign w:val="superscript"/>
                                <w:lang w:val="es-MX"/>
                              </w:rPr>
                              <w:t>/</w:t>
                            </w:r>
                          </w:p>
                        </w:txbxContent>
                      </v:textbox>
                    </v:shape>
                  </w:pict>
                </mc:Fallback>
              </mc:AlternateContent>
            </w:r>
            <w:r w:rsidRPr="00D067B9">
              <w:rPr>
                <w:noProof/>
                <w:sz w:val="2"/>
                <w:szCs w:val="2"/>
                <w:lang w:val="es-MX" w:eastAsia="es-MX"/>
              </w:rPr>
              <w:drawing>
                <wp:anchor distT="0" distB="0" distL="114300" distR="114300" simplePos="0" relativeHeight="251753472" behindDoc="1" locked="0" layoutInCell="1" allowOverlap="1" wp14:anchorId="291E2799" wp14:editId="04E1D0DB">
                  <wp:simplePos x="0" y="0"/>
                  <wp:positionH relativeFrom="column">
                    <wp:posOffset>-34290</wp:posOffset>
                  </wp:positionH>
                  <wp:positionV relativeFrom="paragraph">
                    <wp:posOffset>40640</wp:posOffset>
                  </wp:positionV>
                  <wp:extent cx="5495925" cy="3248025"/>
                  <wp:effectExtent l="0" t="0" r="9525" b="9525"/>
                  <wp:wrapTopAndBottom/>
                  <wp:docPr id="35" name="Objeto 3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V relativeFrom="margin">
                    <wp14:pctHeight>0</wp14:pctHeight>
                  </wp14:sizeRelV>
                </wp:anchor>
              </w:drawing>
            </w:r>
          </w:p>
        </w:tc>
      </w:tr>
      <w:tr w:rsidR="0041668D" w:rsidTr="00A14B35">
        <w:tc>
          <w:tcPr>
            <w:tcW w:w="1242" w:type="dxa"/>
          </w:tcPr>
          <w:p w:rsidR="0041668D" w:rsidRDefault="0041668D" w:rsidP="00A14B35">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41668D" w:rsidRDefault="0041668D" w:rsidP="00A14B35">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41668D" w:rsidRDefault="0041668D" w:rsidP="00A14B35">
            <w:pPr>
              <w:ind w:right="23"/>
              <w:jc w:val="right"/>
              <w:rPr>
                <w:noProof/>
                <w:sz w:val="26"/>
                <w:szCs w:val="26"/>
                <w:lang w:val="es-MX" w:eastAsia="es-MX"/>
              </w:rPr>
            </w:pPr>
            <w:r w:rsidRPr="00D067B9">
              <w:rPr>
                <w:noProof/>
                <w:sz w:val="20"/>
                <w:szCs w:val="20"/>
                <w:lang w:val="es-MX" w:eastAsia="es-MX"/>
              </w:rPr>
              <w:t>FUENTE</w:t>
            </w:r>
          </w:p>
        </w:tc>
        <w:tc>
          <w:tcPr>
            <w:tcW w:w="7814" w:type="dxa"/>
          </w:tcPr>
          <w:p w:rsidR="0041668D" w:rsidRDefault="0041668D" w:rsidP="00A14B35">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41668D" w:rsidRDefault="0041668D" w:rsidP="00A14B35">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41668D" w:rsidRPr="00D067B9" w:rsidRDefault="0041668D" w:rsidP="00A14B35">
            <w:pPr>
              <w:pStyle w:val="NormalWeb"/>
              <w:tabs>
                <w:tab w:val="left" w:pos="-70"/>
              </w:tabs>
              <w:spacing w:before="0" w:beforeAutospacing="0" w:after="0" w:afterAutospacing="0"/>
              <w:ind w:right="287"/>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41668D" w:rsidRDefault="0041668D" w:rsidP="0041668D">
      <w:pPr>
        <w:spacing w:line="360" w:lineRule="auto"/>
        <w:ind w:right="23"/>
        <w:jc w:val="both"/>
        <w:rPr>
          <w:sz w:val="26"/>
          <w:szCs w:val="26"/>
        </w:rPr>
      </w:pPr>
    </w:p>
    <w:p w:rsidR="0041668D" w:rsidRPr="002D499C" w:rsidRDefault="0041668D" w:rsidP="0041668D">
      <w:pPr>
        <w:spacing w:line="360" w:lineRule="auto"/>
        <w:ind w:right="14"/>
        <w:jc w:val="both"/>
        <w:rPr>
          <w:sz w:val="2"/>
          <w:szCs w:val="2"/>
        </w:rPr>
      </w:pPr>
      <w:r>
        <w:rPr>
          <w:sz w:val="26"/>
          <w:szCs w:val="26"/>
          <w:lang w:val="es-MX"/>
        </w:rPr>
        <w:br w:type="column"/>
      </w:r>
    </w:p>
    <w:p w:rsidR="0041668D" w:rsidRDefault="0041668D" w:rsidP="0041668D">
      <w:pPr>
        <w:tabs>
          <w:tab w:val="left" w:pos="5509"/>
        </w:tabs>
        <w:spacing w:before="360" w:after="360" w:line="360" w:lineRule="auto"/>
        <w:ind w:right="23"/>
        <w:jc w:val="both"/>
        <w:rPr>
          <w:sz w:val="26"/>
          <w:szCs w:val="26"/>
        </w:rPr>
      </w:pPr>
      <w:r w:rsidRPr="00AA3203">
        <w:rPr>
          <w:sz w:val="26"/>
          <w:szCs w:val="26"/>
          <w:lang w:val="es-MX" w:eastAsia="es-MX"/>
        </w:rPr>
        <w:t xml:space="preserve">Mientras tanto, la inflación acumulada a </w:t>
      </w:r>
      <w:r w:rsidR="00A14B35">
        <w:rPr>
          <w:sz w:val="26"/>
          <w:szCs w:val="26"/>
          <w:lang w:val="es-MX" w:eastAsia="es-MX"/>
        </w:rPr>
        <w:t>febrero</w:t>
      </w:r>
      <w:r w:rsidRPr="00AA3203">
        <w:rPr>
          <w:sz w:val="26"/>
          <w:szCs w:val="26"/>
          <w:lang w:val="es-MX" w:eastAsia="es-MX"/>
        </w:rPr>
        <w:t xml:space="preserve"> de 201</w:t>
      </w:r>
      <w:r w:rsidR="00A14B35">
        <w:rPr>
          <w:sz w:val="26"/>
          <w:szCs w:val="26"/>
          <w:lang w:val="es-MX" w:eastAsia="es-MX"/>
        </w:rPr>
        <w:t>5</w:t>
      </w:r>
      <w:r w:rsidRPr="00AA3203">
        <w:rPr>
          <w:sz w:val="26"/>
          <w:szCs w:val="26"/>
          <w:lang w:val="es-MX" w:eastAsia="es-MX"/>
        </w:rPr>
        <w:t xml:space="preserve">, en México fue de </w:t>
      </w:r>
      <w:r w:rsidR="00A14B35">
        <w:rPr>
          <w:sz w:val="26"/>
          <w:szCs w:val="26"/>
          <w:lang w:val="es-MX" w:eastAsia="es-MX"/>
        </w:rPr>
        <w:t>0.10</w:t>
      </w:r>
      <w:r w:rsidRPr="00AA3203">
        <w:rPr>
          <w:sz w:val="26"/>
          <w:szCs w:val="26"/>
          <w:lang w:val="es-MX" w:eastAsia="es-MX"/>
        </w:rPr>
        <w:t xml:space="preserve">%, monto superior en </w:t>
      </w:r>
      <w:r w:rsidR="00A14B35">
        <w:rPr>
          <w:sz w:val="26"/>
          <w:szCs w:val="26"/>
          <w:lang w:val="es-MX" w:eastAsia="es-MX"/>
        </w:rPr>
        <w:t>0.56</w:t>
      </w:r>
      <w:r w:rsidRPr="00AA3203">
        <w:rPr>
          <w:sz w:val="26"/>
          <w:szCs w:val="26"/>
          <w:lang w:val="es-MX" w:eastAsia="es-MX"/>
        </w:rPr>
        <w:t xml:space="preserve"> puntos porcentuales al nivel observado para el mismo período en el Índice de Precios al Consumidor de Estados Unidos de Norteamérica (</w:t>
      </w:r>
      <w:r w:rsidR="00A14B35">
        <w:rPr>
          <w:sz w:val="26"/>
          <w:szCs w:val="26"/>
          <w:lang w:val="es-MX" w:eastAsia="es-MX"/>
        </w:rPr>
        <w:t>-0.46</w:t>
      </w:r>
      <w:r w:rsidRPr="00AA3203">
        <w:rPr>
          <w:sz w:val="26"/>
          <w:szCs w:val="26"/>
          <w:lang w:val="es-MX" w:eastAsia="es-MX"/>
        </w:rPr>
        <w:t xml:space="preserve">%) y </w:t>
      </w:r>
      <w:r w:rsidR="00A14B35">
        <w:rPr>
          <w:sz w:val="26"/>
          <w:szCs w:val="26"/>
          <w:lang w:val="es-MX" w:eastAsia="es-MX"/>
        </w:rPr>
        <w:t>menor</w:t>
      </w:r>
      <w:r w:rsidRPr="00AA3203">
        <w:rPr>
          <w:sz w:val="26"/>
          <w:szCs w:val="26"/>
          <w:lang w:val="es-MX" w:eastAsia="es-MX"/>
        </w:rPr>
        <w:t xml:space="preserve"> en </w:t>
      </w:r>
      <w:r w:rsidR="00A14B35">
        <w:rPr>
          <w:sz w:val="26"/>
          <w:szCs w:val="26"/>
          <w:lang w:val="es-MX" w:eastAsia="es-MX"/>
        </w:rPr>
        <w:t>0.62</w:t>
      </w:r>
      <w:r w:rsidRPr="00AA3203">
        <w:rPr>
          <w:sz w:val="26"/>
          <w:szCs w:val="26"/>
          <w:lang w:val="es-MX" w:eastAsia="es-MX"/>
        </w:rPr>
        <w:t xml:space="preserve"> puntos al de Canadá (</w:t>
      </w:r>
      <w:r w:rsidR="00A14B35">
        <w:rPr>
          <w:sz w:val="26"/>
          <w:szCs w:val="26"/>
          <w:lang w:val="es-MX" w:eastAsia="es-MX"/>
        </w:rPr>
        <w:t>0.72</w:t>
      </w:r>
      <w:r w:rsidRPr="00AA3203">
        <w:rPr>
          <w:sz w:val="26"/>
          <w:szCs w:val="26"/>
          <w:lang w:val="es-MX" w:eastAsia="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41668D" w:rsidTr="00A14B35">
        <w:tc>
          <w:tcPr>
            <w:tcW w:w="9056" w:type="dxa"/>
            <w:gridSpan w:val="2"/>
          </w:tcPr>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w:t>
            </w:r>
            <w:r>
              <w:rPr>
                <w:b/>
                <w:bCs/>
                <w:color w:val="000000"/>
                <w:kern w:val="24"/>
                <w:sz w:val="22"/>
                <w:szCs w:val="22"/>
                <w:lang w:val="es-ES_tradnl"/>
              </w:rPr>
              <w:t xml:space="preserve">acumuladas </w:t>
            </w:r>
            <w:r w:rsidRPr="004D0438">
              <w:rPr>
                <w:b/>
                <w:bCs/>
                <w:color w:val="000000"/>
                <w:kern w:val="24"/>
                <w:sz w:val="22"/>
                <w:szCs w:val="22"/>
                <w:lang w:val="es-MX"/>
              </w:rPr>
              <w:t>-</w:t>
            </w:r>
          </w:p>
          <w:p w:rsidR="0041668D" w:rsidRPr="0051335A" w:rsidRDefault="0041668D" w:rsidP="00A14B35">
            <w:pPr>
              <w:pStyle w:val="NormalWeb"/>
              <w:spacing w:before="0" w:beforeAutospacing="0" w:after="0" w:afterAutospacing="0"/>
              <w:jc w:val="center"/>
              <w:rPr>
                <w:sz w:val="22"/>
                <w:szCs w:val="22"/>
              </w:rPr>
            </w:pPr>
            <w:r w:rsidRPr="004D0438">
              <w:rPr>
                <w:b/>
                <w:bCs/>
                <w:color w:val="000000"/>
                <w:kern w:val="24"/>
                <w:sz w:val="22"/>
                <w:szCs w:val="22"/>
                <w:lang w:val="es-MX"/>
              </w:rPr>
              <w:t xml:space="preserve">Enero - </w:t>
            </w:r>
            <w:r w:rsidR="00FF4BD6">
              <w:rPr>
                <w:b/>
                <w:bCs/>
                <w:color w:val="000000"/>
                <w:kern w:val="24"/>
                <w:sz w:val="22"/>
                <w:szCs w:val="22"/>
                <w:lang w:val="es-MX"/>
              </w:rPr>
              <w:t>febrero</w:t>
            </w:r>
          </w:p>
          <w:p w:rsidR="0041668D" w:rsidRDefault="00FF4BD6"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2013</w:t>
            </w:r>
            <w:r w:rsidR="0041668D" w:rsidRPr="004D0438">
              <w:rPr>
                <w:b/>
                <w:bCs/>
                <w:color w:val="000000"/>
                <w:kern w:val="24"/>
                <w:sz w:val="22"/>
                <w:szCs w:val="22"/>
                <w:lang w:val="es-MX"/>
              </w:rPr>
              <w:t xml:space="preserve"> -201</w:t>
            </w:r>
            <w:r>
              <w:rPr>
                <w:b/>
                <w:bCs/>
                <w:color w:val="000000"/>
                <w:kern w:val="24"/>
                <w:sz w:val="22"/>
                <w:szCs w:val="22"/>
                <w:lang w:val="es-MX"/>
              </w:rPr>
              <w:t>5</w:t>
            </w:r>
          </w:p>
          <w:p w:rsidR="0041668D" w:rsidRPr="00D067B9" w:rsidRDefault="0041668D" w:rsidP="00A14B35">
            <w:pPr>
              <w:pStyle w:val="NormalWeb"/>
              <w:spacing w:before="0" w:beforeAutospacing="0" w:after="0" w:afterAutospacing="0"/>
              <w:jc w:val="center"/>
              <w:rPr>
                <w:sz w:val="22"/>
                <w:szCs w:val="22"/>
              </w:rPr>
            </w:pPr>
            <w:r>
              <w:rPr>
                <w:b/>
                <w:sz w:val="22"/>
                <w:szCs w:val="22"/>
              </w:rPr>
              <w:t>- Por ciento -</w:t>
            </w:r>
          </w:p>
        </w:tc>
      </w:tr>
      <w:tr w:rsidR="0041668D" w:rsidTr="00A14B35">
        <w:tc>
          <w:tcPr>
            <w:tcW w:w="9056" w:type="dxa"/>
            <w:gridSpan w:val="2"/>
          </w:tcPr>
          <w:p w:rsidR="0041668D" w:rsidRPr="00D067B9" w:rsidRDefault="0041668D" w:rsidP="00A14B35">
            <w:pPr>
              <w:spacing w:line="360" w:lineRule="auto"/>
              <w:ind w:right="20"/>
              <w:jc w:val="center"/>
              <w:rPr>
                <w:sz w:val="2"/>
                <w:szCs w:val="2"/>
              </w:rPr>
            </w:pPr>
            <w:r w:rsidRPr="001321D7">
              <w:rPr>
                <w:noProof/>
                <w:lang w:val="es-MX" w:eastAsia="es-MX"/>
              </w:rPr>
              <mc:AlternateContent>
                <mc:Choice Requires="wps">
                  <w:drawing>
                    <wp:anchor distT="0" distB="0" distL="114300" distR="114300" simplePos="0" relativeHeight="251758592" behindDoc="0" locked="0" layoutInCell="1" allowOverlap="1" wp14:anchorId="661624D8" wp14:editId="7A9050A6">
                      <wp:simplePos x="0" y="0"/>
                      <wp:positionH relativeFrom="column">
                        <wp:posOffset>4492625</wp:posOffset>
                      </wp:positionH>
                      <wp:positionV relativeFrom="paragraph">
                        <wp:posOffset>147955</wp:posOffset>
                      </wp:positionV>
                      <wp:extent cx="290830" cy="262255"/>
                      <wp:effectExtent l="0" t="0" r="0" b="0"/>
                      <wp:wrapNone/>
                      <wp:docPr id="3195" name="1 CuadroTexto"/>
                      <wp:cNvGraphicFramePr/>
                      <a:graphic xmlns:a="http://schemas.openxmlformats.org/drawingml/2006/main">
                        <a:graphicData uri="http://schemas.microsoft.com/office/word/2010/wordprocessingShape">
                          <wps:wsp>
                            <wps:cNvSpPr txBox="1"/>
                            <wps:spPr>
                              <a:xfrm>
                                <a:off x="0" y="0"/>
                                <a:ext cx="290830" cy="262255"/>
                              </a:xfrm>
                              <a:prstGeom prst="rect">
                                <a:avLst/>
                              </a:prstGeom>
                            </wps:spPr>
                            <wps:txbx>
                              <w:txbxContent>
                                <w:p w:rsidR="00A14B35" w:rsidRDefault="00A14B35"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wps:txbx>
                            <wps:bodyPr vertOverflow="clip" wrap="square" rtlCol="0"/>
                          </wps:wsp>
                        </a:graphicData>
                      </a:graphic>
                    </wp:anchor>
                  </w:drawing>
                </mc:Choice>
                <mc:Fallback>
                  <w:pict>
                    <v:shape w14:anchorId="661624D8" id="1 CuadroTexto" o:spid="_x0000_s1055" type="#_x0000_t202" style="position:absolute;left:0;text-align:left;margin-left:353.75pt;margin-top:11.65pt;width:22.9pt;height:20.6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" filled="f" stroked="f">
                      <v:textbox>
                        <w:txbxContent>
                          <w:p w:rsidR="00A14B35" w:rsidRDefault="00A14B35"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v:textbox>
                    </v:shape>
                  </w:pict>
                </mc:Fallback>
              </mc:AlternateContent>
            </w:r>
            <w:r w:rsidRPr="00630EDF">
              <w:rPr>
                <w:noProof/>
                <w:color w:val="92D050"/>
                <w:sz w:val="26"/>
                <w:szCs w:val="26"/>
                <w:lang w:val="es-MX" w:eastAsia="es-MX"/>
              </w:rPr>
              <w:drawing>
                <wp:anchor distT="0" distB="0" distL="114300" distR="114300" simplePos="0" relativeHeight="251757568" behindDoc="1" locked="0" layoutInCell="1" allowOverlap="1" wp14:anchorId="0D72FCE0" wp14:editId="0F5BC790">
                  <wp:simplePos x="0" y="0"/>
                  <wp:positionH relativeFrom="column">
                    <wp:posOffset>3810</wp:posOffset>
                  </wp:positionH>
                  <wp:positionV relativeFrom="paragraph">
                    <wp:posOffset>16510</wp:posOffset>
                  </wp:positionV>
                  <wp:extent cx="5400675" cy="3067050"/>
                  <wp:effectExtent l="0" t="0" r="9525" b="0"/>
                  <wp:wrapTopAndBottom/>
                  <wp:docPr id="48" name="Objeto 30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p>
        </w:tc>
      </w:tr>
      <w:tr w:rsidR="0041668D" w:rsidTr="00A14B35">
        <w:tc>
          <w:tcPr>
            <w:tcW w:w="1242" w:type="dxa"/>
          </w:tcPr>
          <w:p w:rsidR="0041668D" w:rsidRDefault="0041668D" w:rsidP="00A14B35">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41668D" w:rsidRDefault="0041668D" w:rsidP="00A14B35">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41668D" w:rsidRDefault="0041668D" w:rsidP="00A14B35">
            <w:pPr>
              <w:tabs>
                <w:tab w:val="left" w:pos="213"/>
              </w:tabs>
              <w:ind w:right="23"/>
              <w:jc w:val="right"/>
              <w:rPr>
                <w:noProof/>
                <w:sz w:val="26"/>
                <w:szCs w:val="26"/>
                <w:lang w:val="es-MX" w:eastAsia="es-MX"/>
              </w:rPr>
            </w:pPr>
            <w:r w:rsidRPr="00D067B9">
              <w:rPr>
                <w:noProof/>
                <w:sz w:val="20"/>
                <w:szCs w:val="20"/>
                <w:lang w:val="es-MX" w:eastAsia="es-MX"/>
              </w:rPr>
              <w:t>FUENTE</w:t>
            </w:r>
          </w:p>
        </w:tc>
        <w:tc>
          <w:tcPr>
            <w:tcW w:w="7814" w:type="dxa"/>
          </w:tcPr>
          <w:p w:rsidR="0041668D" w:rsidRDefault="0041668D" w:rsidP="00A14B35">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41668D" w:rsidRDefault="0041668D" w:rsidP="00A14B35">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41668D" w:rsidRPr="00D067B9" w:rsidRDefault="0041668D" w:rsidP="00A14B35">
            <w:pPr>
              <w:pStyle w:val="NormalWeb"/>
              <w:tabs>
                <w:tab w:val="left" w:pos="-70"/>
              </w:tabs>
              <w:spacing w:before="0" w:beforeAutospacing="0" w:after="0" w:afterAutospacing="0"/>
              <w:ind w:right="161"/>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41668D" w:rsidRDefault="0041668D" w:rsidP="0041668D">
      <w:pPr>
        <w:spacing w:line="360" w:lineRule="auto"/>
        <w:ind w:right="20"/>
        <w:jc w:val="both"/>
        <w:rPr>
          <w:sz w:val="26"/>
          <w:szCs w:val="26"/>
        </w:rPr>
      </w:pPr>
    </w:p>
    <w:p w:rsidR="0041668D" w:rsidRDefault="0041668D" w:rsidP="0041668D">
      <w:pPr>
        <w:spacing w:line="360" w:lineRule="auto"/>
        <w:ind w:right="14"/>
        <w:jc w:val="both"/>
        <w:rPr>
          <w:sz w:val="26"/>
          <w:szCs w:val="26"/>
        </w:rPr>
      </w:pPr>
      <w:r>
        <w:rPr>
          <w:sz w:val="26"/>
          <w:szCs w:val="26"/>
        </w:rPr>
        <w:br w:type="page"/>
      </w:r>
    </w:p>
    <w:p w:rsidR="0041668D" w:rsidRDefault="0041668D" w:rsidP="0041668D">
      <w:pPr>
        <w:tabs>
          <w:tab w:val="left" w:pos="5509"/>
        </w:tabs>
        <w:spacing w:before="360" w:after="360" w:line="360" w:lineRule="auto"/>
        <w:ind w:right="23"/>
        <w:jc w:val="both"/>
        <w:rPr>
          <w:sz w:val="26"/>
          <w:szCs w:val="26"/>
        </w:rPr>
      </w:pPr>
      <w:r w:rsidRPr="00AA3203">
        <w:rPr>
          <w:sz w:val="26"/>
          <w:szCs w:val="26"/>
          <w:lang w:val="es-MX"/>
        </w:rPr>
        <w:lastRenderedPageBreak/>
        <w:t>En</w:t>
      </w:r>
      <w:r>
        <w:rPr>
          <w:sz w:val="26"/>
          <w:szCs w:val="26"/>
          <w:lang w:val="es-MX"/>
        </w:rPr>
        <w:t xml:space="preserve"> el intervalo de </w:t>
      </w:r>
      <w:r w:rsidR="00FF4BD6">
        <w:rPr>
          <w:sz w:val="26"/>
          <w:szCs w:val="26"/>
          <w:lang w:val="es-MX"/>
        </w:rPr>
        <w:t>febrero</w:t>
      </w:r>
      <w:r>
        <w:rPr>
          <w:sz w:val="26"/>
          <w:szCs w:val="26"/>
          <w:lang w:val="es-MX"/>
        </w:rPr>
        <w:t xml:space="preserve"> de 201</w:t>
      </w:r>
      <w:r w:rsidR="00FF4BD6">
        <w:rPr>
          <w:sz w:val="26"/>
          <w:szCs w:val="26"/>
          <w:lang w:val="es-MX"/>
        </w:rPr>
        <w:t>4</w:t>
      </w:r>
      <w:r w:rsidRPr="00AA3203">
        <w:rPr>
          <w:sz w:val="26"/>
          <w:szCs w:val="26"/>
          <w:lang w:val="es-MX"/>
        </w:rPr>
        <w:t xml:space="preserve"> a </w:t>
      </w:r>
      <w:r w:rsidR="00FF4BD6">
        <w:rPr>
          <w:sz w:val="26"/>
          <w:szCs w:val="26"/>
          <w:lang w:val="es-MX"/>
        </w:rPr>
        <w:t>febrero</w:t>
      </w:r>
      <w:r w:rsidRPr="00AA3203">
        <w:rPr>
          <w:sz w:val="26"/>
          <w:szCs w:val="26"/>
          <w:lang w:val="es-MX"/>
        </w:rPr>
        <w:t xml:space="preserve"> de 201</w:t>
      </w:r>
      <w:r w:rsidR="00FF4BD6">
        <w:rPr>
          <w:sz w:val="26"/>
          <w:szCs w:val="26"/>
          <w:lang w:val="es-MX"/>
        </w:rPr>
        <w:t>5</w:t>
      </w:r>
      <w:r w:rsidRPr="00AA3203">
        <w:rPr>
          <w:sz w:val="26"/>
          <w:szCs w:val="26"/>
          <w:lang w:val="es-MX"/>
        </w:rPr>
        <w:t xml:space="preserve">, la variación del INPC en México fue de </w:t>
      </w:r>
      <w:r w:rsidR="00FF4BD6">
        <w:rPr>
          <w:sz w:val="26"/>
          <w:szCs w:val="26"/>
          <w:lang w:val="es-MX"/>
        </w:rPr>
        <w:t>3.0</w:t>
      </w:r>
      <w:r w:rsidRPr="00AA3203">
        <w:rPr>
          <w:sz w:val="26"/>
          <w:szCs w:val="26"/>
          <w:lang w:val="es-MX"/>
        </w:rPr>
        <w:t xml:space="preserve">%, nivel </w:t>
      </w:r>
      <w:r w:rsidR="00FF4BD6">
        <w:rPr>
          <w:sz w:val="26"/>
          <w:szCs w:val="26"/>
          <w:lang w:val="es-MX"/>
        </w:rPr>
        <w:t>3.07</w:t>
      </w:r>
      <w:r w:rsidRPr="00AA3203">
        <w:rPr>
          <w:sz w:val="26"/>
          <w:szCs w:val="26"/>
          <w:lang w:val="es-MX"/>
        </w:rPr>
        <w:t xml:space="preserve"> puntos porcentuales por encima del alcanzado por el mismo indicador de Estados Unidos de Norteamérica (</w:t>
      </w:r>
      <w:r w:rsidR="00FF4BD6">
        <w:rPr>
          <w:sz w:val="26"/>
          <w:szCs w:val="26"/>
          <w:lang w:val="es-MX"/>
        </w:rPr>
        <w:t>-0.07</w:t>
      </w:r>
      <w:r>
        <w:rPr>
          <w:sz w:val="26"/>
          <w:szCs w:val="26"/>
          <w:lang w:val="es-MX"/>
        </w:rPr>
        <w:t>%) y superior en 1.9</w:t>
      </w:r>
      <w:r w:rsidR="00FF4BD6">
        <w:rPr>
          <w:sz w:val="26"/>
          <w:szCs w:val="26"/>
          <w:lang w:val="es-MX"/>
        </w:rPr>
        <w:t>5</w:t>
      </w:r>
      <w:r w:rsidRPr="00AA3203">
        <w:rPr>
          <w:sz w:val="26"/>
          <w:szCs w:val="26"/>
          <w:lang w:val="es-MX"/>
        </w:rPr>
        <w:t xml:space="preserve"> puntos porcentuales si se le compara con el de Canadá (</w:t>
      </w:r>
      <w:r w:rsidR="00FF4BD6">
        <w:rPr>
          <w:sz w:val="26"/>
          <w:szCs w:val="26"/>
          <w:lang w:val="es-MX"/>
        </w:rPr>
        <w:t>1.05</w:t>
      </w:r>
      <w:r w:rsidRPr="00AA3203">
        <w:rPr>
          <w:sz w:val="26"/>
          <w:szCs w:val="26"/>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41668D" w:rsidTr="00A14B35">
        <w:tc>
          <w:tcPr>
            <w:tcW w:w="9056" w:type="dxa"/>
            <w:gridSpan w:val="2"/>
          </w:tcPr>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41668D" w:rsidRPr="0051335A" w:rsidRDefault="0041668D" w:rsidP="00A14B35">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w:t>
            </w:r>
            <w:r>
              <w:rPr>
                <w:b/>
                <w:bCs/>
                <w:color w:val="000000"/>
                <w:kern w:val="24"/>
                <w:sz w:val="22"/>
                <w:szCs w:val="22"/>
                <w:lang w:val="es-ES_tradnl"/>
              </w:rPr>
              <w:t xml:space="preserve">con respecto al mismo mes del año anterior </w:t>
            </w:r>
            <w:r w:rsidRPr="00C757C5">
              <w:rPr>
                <w:b/>
                <w:bCs/>
                <w:color w:val="000000"/>
                <w:kern w:val="24"/>
                <w:sz w:val="22"/>
                <w:szCs w:val="22"/>
                <w:lang w:val="es-MX"/>
              </w:rPr>
              <w:t>-</w:t>
            </w:r>
          </w:p>
          <w:p w:rsidR="0041668D" w:rsidRDefault="00FF4BD6"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Febrero</w:t>
            </w:r>
          </w:p>
          <w:p w:rsidR="0041668D" w:rsidRDefault="0041668D" w:rsidP="00A14B35">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201</w:t>
            </w:r>
            <w:r w:rsidR="00FF4BD6">
              <w:rPr>
                <w:b/>
                <w:bCs/>
                <w:color w:val="000000"/>
                <w:kern w:val="24"/>
                <w:sz w:val="22"/>
                <w:szCs w:val="22"/>
                <w:lang w:val="es-MX"/>
              </w:rPr>
              <w:t>3</w:t>
            </w:r>
            <w:r w:rsidRPr="004D0438">
              <w:rPr>
                <w:b/>
                <w:bCs/>
                <w:color w:val="000000"/>
                <w:kern w:val="24"/>
                <w:sz w:val="22"/>
                <w:szCs w:val="22"/>
                <w:lang w:val="es-MX"/>
              </w:rPr>
              <w:t xml:space="preserve"> -201</w:t>
            </w:r>
            <w:r w:rsidR="00FF4BD6">
              <w:rPr>
                <w:b/>
                <w:bCs/>
                <w:color w:val="000000"/>
                <w:kern w:val="24"/>
                <w:sz w:val="22"/>
                <w:szCs w:val="22"/>
                <w:lang w:val="es-MX"/>
              </w:rPr>
              <w:t>5</w:t>
            </w:r>
          </w:p>
          <w:p w:rsidR="0041668D" w:rsidRPr="00D067B9" w:rsidRDefault="0041668D" w:rsidP="00A14B35">
            <w:pPr>
              <w:pStyle w:val="NormalWeb"/>
              <w:spacing w:before="0" w:beforeAutospacing="0" w:after="0" w:afterAutospacing="0"/>
              <w:jc w:val="center"/>
              <w:rPr>
                <w:sz w:val="22"/>
                <w:szCs w:val="22"/>
              </w:rPr>
            </w:pPr>
            <w:r>
              <w:rPr>
                <w:b/>
                <w:sz w:val="22"/>
                <w:szCs w:val="22"/>
              </w:rPr>
              <w:t>- Por ciento -</w:t>
            </w:r>
          </w:p>
        </w:tc>
      </w:tr>
      <w:tr w:rsidR="0041668D" w:rsidTr="00A14B35">
        <w:tc>
          <w:tcPr>
            <w:tcW w:w="9056" w:type="dxa"/>
            <w:gridSpan w:val="2"/>
          </w:tcPr>
          <w:p w:rsidR="0041668D" w:rsidRPr="00D067B9" w:rsidRDefault="0041668D" w:rsidP="00A14B35">
            <w:pPr>
              <w:spacing w:line="360" w:lineRule="auto"/>
              <w:ind w:right="20"/>
              <w:jc w:val="center"/>
              <w:rPr>
                <w:sz w:val="2"/>
                <w:szCs w:val="2"/>
              </w:rPr>
            </w:pPr>
            <w:r w:rsidRPr="001321D7">
              <w:rPr>
                <w:noProof/>
                <w:lang w:val="es-MX" w:eastAsia="es-MX"/>
              </w:rPr>
              <mc:AlternateContent>
                <mc:Choice Requires="wps">
                  <w:drawing>
                    <wp:anchor distT="0" distB="0" distL="114300" distR="114300" simplePos="0" relativeHeight="251756544" behindDoc="0" locked="0" layoutInCell="1" allowOverlap="1" wp14:anchorId="4F039CE7" wp14:editId="58A72F98">
                      <wp:simplePos x="0" y="0"/>
                      <wp:positionH relativeFrom="column">
                        <wp:posOffset>4417060</wp:posOffset>
                      </wp:positionH>
                      <wp:positionV relativeFrom="paragraph">
                        <wp:posOffset>71120</wp:posOffset>
                      </wp:positionV>
                      <wp:extent cx="290830" cy="262255"/>
                      <wp:effectExtent l="0" t="0" r="0" b="0"/>
                      <wp:wrapNone/>
                      <wp:docPr id="5" name="1 CuadroTexto"/>
                      <wp:cNvGraphicFramePr/>
                      <a:graphic xmlns:a="http://schemas.openxmlformats.org/drawingml/2006/main">
                        <a:graphicData uri="http://schemas.microsoft.com/office/word/2010/wordprocessingShape">
                          <wps:wsp>
                            <wps:cNvSpPr txBox="1"/>
                            <wps:spPr>
                              <a:xfrm>
                                <a:off x="0" y="0"/>
                                <a:ext cx="290830" cy="262255"/>
                              </a:xfrm>
                              <a:prstGeom prst="rect">
                                <a:avLst/>
                              </a:prstGeom>
                            </wps:spPr>
                            <wps:txbx>
                              <w:txbxContent>
                                <w:p w:rsidR="00A14B35" w:rsidRDefault="00A14B35"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wps:txbx>
                            <wps:bodyPr vertOverflow="clip" wrap="square" rtlCol="0"/>
                          </wps:wsp>
                        </a:graphicData>
                      </a:graphic>
                    </wp:anchor>
                  </w:drawing>
                </mc:Choice>
                <mc:Fallback>
                  <w:pict>
                    <v:shape w14:anchorId="4F039CE7" id="_x0000_s1056" type="#_x0000_t202" style="position:absolute;left:0;text-align:left;margin-left:347.8pt;margin-top:5.6pt;width:22.9pt;height:20.6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" filled="f" stroked="f">
                      <v:textbox>
                        <w:txbxContent>
                          <w:p w:rsidR="00A14B35" w:rsidRDefault="00A14B35" w:rsidP="0041668D">
                            <w:pPr>
                              <w:pStyle w:val="NormalWeb"/>
                              <w:spacing w:before="0" w:beforeAutospacing="0" w:after="0" w:afterAutospacing="0"/>
                            </w:pPr>
                            <w:r>
                              <w:rPr>
                                <w:position w:val="6"/>
                                <w:sz w:val="20"/>
                                <w:szCs w:val="20"/>
                                <w:u w:val="single"/>
                                <w:vertAlign w:val="superscript"/>
                              </w:rPr>
                              <w:t>2</w:t>
                            </w:r>
                            <w:r>
                              <w:rPr>
                                <w:position w:val="6"/>
                                <w:sz w:val="20"/>
                                <w:szCs w:val="20"/>
                                <w:vertAlign w:val="superscript"/>
                              </w:rPr>
                              <w:t>/</w:t>
                            </w:r>
                          </w:p>
                        </w:txbxContent>
                      </v:textbox>
                    </v:shape>
                  </w:pict>
                </mc:Fallback>
              </mc:AlternateContent>
            </w:r>
            <w:r w:rsidRPr="001321D7">
              <w:rPr>
                <w:noProof/>
                <w:lang w:val="es-MX" w:eastAsia="es-MX"/>
              </w:rPr>
              <mc:AlternateContent>
                <mc:Choice Requires="wps">
                  <w:drawing>
                    <wp:anchor distT="0" distB="0" distL="114300" distR="114300" simplePos="0" relativeHeight="251760640" behindDoc="0" locked="0" layoutInCell="1" allowOverlap="1" wp14:anchorId="20D9C6B8" wp14:editId="5DA934EB">
                      <wp:simplePos x="0" y="0"/>
                      <wp:positionH relativeFrom="column">
                        <wp:posOffset>3666490</wp:posOffset>
                      </wp:positionH>
                      <wp:positionV relativeFrom="paragraph">
                        <wp:posOffset>59690</wp:posOffset>
                      </wp:positionV>
                      <wp:extent cx="290830" cy="262255"/>
                      <wp:effectExtent l="0" t="0" r="0" b="0"/>
                      <wp:wrapNone/>
                      <wp:docPr id="7" name="1 CuadroTexto"/>
                      <wp:cNvGraphicFramePr/>
                      <a:graphic xmlns:a="http://schemas.openxmlformats.org/drawingml/2006/main">
                        <a:graphicData uri="http://schemas.microsoft.com/office/word/2010/wordprocessingShape">
                          <wps:wsp>
                            <wps:cNvSpPr txBox="1"/>
                            <wps:spPr>
                              <a:xfrm>
                                <a:off x="0" y="0"/>
                                <a:ext cx="290830" cy="262255"/>
                              </a:xfrm>
                              <a:prstGeom prst="rect">
                                <a:avLst/>
                              </a:prstGeom>
                            </wps:spPr>
                            <wps:txbx>
                              <w:txbxContent>
                                <w:p w:rsidR="00A14B35" w:rsidRDefault="00A14B35" w:rsidP="0041668D">
                                  <w:pPr>
                                    <w:pStyle w:val="NormalWeb"/>
                                    <w:spacing w:before="0" w:beforeAutospacing="0" w:after="0" w:afterAutospacing="0"/>
                                  </w:pPr>
                                  <w:r>
                                    <w:rPr>
                                      <w:position w:val="6"/>
                                      <w:sz w:val="20"/>
                                      <w:szCs w:val="20"/>
                                      <w:u w:val="single"/>
                                      <w:vertAlign w:val="superscript"/>
                                    </w:rPr>
                                    <w:t>1</w:t>
                                  </w:r>
                                  <w:r>
                                    <w:rPr>
                                      <w:position w:val="6"/>
                                      <w:sz w:val="20"/>
                                      <w:szCs w:val="20"/>
                                      <w:vertAlign w:val="superscript"/>
                                    </w:rPr>
                                    <w:t>/</w:t>
                                  </w:r>
                                </w:p>
                              </w:txbxContent>
                            </wps:txbx>
                            <wps:bodyPr vertOverflow="clip" wrap="square" rtlCol="0"/>
                          </wps:wsp>
                        </a:graphicData>
                      </a:graphic>
                    </wp:anchor>
                  </w:drawing>
                </mc:Choice>
                <mc:Fallback>
                  <w:pict>
                    <v:shape w14:anchorId="20D9C6B8" id="_x0000_s1057" type="#_x0000_t202" style="position:absolute;left:0;text-align:left;margin-left:288.7pt;margin-top:4.7pt;width:22.9pt;height:20.6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" filled="f" stroked="f">
                      <v:textbox>
                        <w:txbxContent>
                          <w:p w:rsidR="00A14B35" w:rsidRDefault="00A14B35" w:rsidP="0041668D">
                            <w:pPr>
                              <w:pStyle w:val="NormalWeb"/>
                              <w:spacing w:before="0" w:beforeAutospacing="0" w:after="0" w:afterAutospacing="0"/>
                            </w:pPr>
                            <w:r>
                              <w:rPr>
                                <w:position w:val="6"/>
                                <w:sz w:val="20"/>
                                <w:szCs w:val="20"/>
                                <w:u w:val="single"/>
                                <w:vertAlign w:val="superscript"/>
                              </w:rPr>
                              <w:t>1</w:t>
                            </w:r>
                            <w:r>
                              <w:rPr>
                                <w:position w:val="6"/>
                                <w:sz w:val="20"/>
                                <w:szCs w:val="20"/>
                                <w:vertAlign w:val="superscript"/>
                              </w:rPr>
                              <w:t>/</w:t>
                            </w:r>
                          </w:p>
                        </w:txbxContent>
                      </v:textbox>
                    </v:shape>
                  </w:pict>
                </mc:Fallback>
              </mc:AlternateContent>
            </w:r>
            <w:r w:rsidRPr="00630EDF">
              <w:rPr>
                <w:noProof/>
                <w:color w:val="92D050"/>
                <w:sz w:val="26"/>
                <w:szCs w:val="26"/>
                <w:lang w:val="es-MX" w:eastAsia="es-MX"/>
              </w:rPr>
              <w:drawing>
                <wp:anchor distT="0" distB="0" distL="114300" distR="114300" simplePos="0" relativeHeight="251754496" behindDoc="1" locked="0" layoutInCell="1" allowOverlap="1" wp14:anchorId="3F5FFE6D" wp14:editId="60B07A61">
                  <wp:simplePos x="0" y="0"/>
                  <wp:positionH relativeFrom="column">
                    <wp:posOffset>3810</wp:posOffset>
                  </wp:positionH>
                  <wp:positionV relativeFrom="paragraph">
                    <wp:posOffset>48260</wp:posOffset>
                  </wp:positionV>
                  <wp:extent cx="5429250" cy="3095625"/>
                  <wp:effectExtent l="0" t="0" r="0" b="9525"/>
                  <wp:wrapTopAndBottom/>
                  <wp:docPr id="54" name="Objeto 308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r>
      <w:tr w:rsidR="0041668D" w:rsidTr="00A14B35">
        <w:tc>
          <w:tcPr>
            <w:tcW w:w="1242" w:type="dxa"/>
          </w:tcPr>
          <w:p w:rsidR="0041668D" w:rsidRDefault="0041668D" w:rsidP="00A14B35">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41668D" w:rsidRDefault="0041668D" w:rsidP="00A14B35">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41668D" w:rsidRDefault="0041668D" w:rsidP="00A14B35">
            <w:pPr>
              <w:tabs>
                <w:tab w:val="left" w:pos="213"/>
              </w:tabs>
              <w:ind w:right="23"/>
              <w:jc w:val="right"/>
              <w:rPr>
                <w:noProof/>
                <w:sz w:val="26"/>
                <w:szCs w:val="26"/>
                <w:lang w:val="es-MX" w:eastAsia="es-MX"/>
              </w:rPr>
            </w:pPr>
            <w:r w:rsidRPr="00D067B9">
              <w:rPr>
                <w:noProof/>
                <w:sz w:val="20"/>
                <w:szCs w:val="20"/>
                <w:lang w:val="es-MX" w:eastAsia="es-MX"/>
              </w:rPr>
              <w:t>FUENTE</w:t>
            </w:r>
          </w:p>
        </w:tc>
        <w:tc>
          <w:tcPr>
            <w:tcW w:w="7814" w:type="dxa"/>
          </w:tcPr>
          <w:p w:rsidR="0041668D" w:rsidRDefault="0041668D" w:rsidP="00A14B35">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41668D" w:rsidRDefault="0041668D" w:rsidP="00A14B35">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41668D" w:rsidRPr="00D067B9" w:rsidRDefault="0041668D" w:rsidP="00A14B35">
            <w:pPr>
              <w:pStyle w:val="NormalWeb"/>
              <w:tabs>
                <w:tab w:val="left" w:pos="-70"/>
              </w:tabs>
              <w:spacing w:before="0" w:beforeAutospacing="0" w:after="0" w:afterAutospacing="0"/>
              <w:ind w:right="161"/>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41668D" w:rsidRDefault="0041668D" w:rsidP="0041668D">
      <w:pPr>
        <w:spacing w:line="360" w:lineRule="auto"/>
        <w:ind w:right="20"/>
        <w:jc w:val="both"/>
        <w:rPr>
          <w:sz w:val="26"/>
          <w:szCs w:val="26"/>
        </w:rPr>
      </w:pPr>
    </w:p>
    <w:p w:rsidR="0041668D" w:rsidRPr="007F1B19" w:rsidRDefault="0041668D" w:rsidP="0041668D">
      <w:pPr>
        <w:spacing w:line="360" w:lineRule="auto"/>
        <w:ind w:right="14"/>
        <w:jc w:val="both"/>
        <w:rPr>
          <w:sz w:val="26"/>
          <w:szCs w:val="26"/>
        </w:rPr>
      </w:pPr>
      <w:r>
        <w:rPr>
          <w:sz w:val="26"/>
          <w:szCs w:val="26"/>
        </w:rPr>
        <w:br w:type="page"/>
      </w:r>
    </w:p>
    <w:p w:rsidR="003F24A1" w:rsidRPr="002D499C" w:rsidRDefault="003F24A1" w:rsidP="0041668D">
      <w:pPr>
        <w:pStyle w:val="Ttulo1"/>
        <w:jc w:val="left"/>
        <w:rPr>
          <w:sz w:val="2"/>
          <w:szCs w:val="2"/>
        </w:rPr>
      </w:pPr>
    </w:p>
    <w:p w:rsidR="003F24A1" w:rsidRPr="00520726" w:rsidRDefault="003F24A1" w:rsidP="003F24A1">
      <w:pPr>
        <w:pStyle w:val="Ttulo1"/>
        <w:jc w:val="left"/>
        <w:rPr>
          <w:color w:val="0000FF"/>
          <w:sz w:val="26"/>
          <w:szCs w:val="26"/>
        </w:rPr>
      </w:pPr>
      <w:r w:rsidRPr="0015691C">
        <w:rPr>
          <w:color w:val="0000FF"/>
          <w:sz w:val="26"/>
          <w:szCs w:val="26"/>
        </w:rPr>
        <w:t>Índice de precios de los alimentos (FAO)</w:t>
      </w:r>
    </w:p>
    <w:p w:rsidR="003F24A1" w:rsidRPr="000838DE" w:rsidRDefault="003F24A1" w:rsidP="00F1721A">
      <w:pPr>
        <w:spacing w:before="360" w:after="360" w:line="360" w:lineRule="auto"/>
        <w:jc w:val="both"/>
        <w:rPr>
          <w:b/>
          <w:sz w:val="26"/>
          <w:szCs w:val="26"/>
        </w:rPr>
      </w:pPr>
      <w:r w:rsidRPr="000838DE">
        <w:rPr>
          <w:sz w:val="26"/>
          <w:szCs w:val="26"/>
        </w:rPr>
        <w:t xml:space="preserve">La Organización de las Naciones Unidas para la Agricultura y la Alimentación (FAO) publicó, el 5 de marzo de 2015, que en </w:t>
      </w:r>
      <w:r>
        <w:rPr>
          <w:sz w:val="26"/>
          <w:szCs w:val="26"/>
        </w:rPr>
        <w:t>febrero</w:t>
      </w:r>
      <w:r w:rsidRPr="000838DE">
        <w:rPr>
          <w:sz w:val="26"/>
          <w:szCs w:val="26"/>
        </w:rPr>
        <w:t xml:space="preserve"> del mismo año, el índice de precios de los alimentos registró un decremento de 0.99%, cifra inferior a la registrada el mismo mes del año anterior en 3.65 puntos porcentuales. Este decremento se presentó, debido a que los precios de los cereales, la carne y, especialmente, el azúcar, cayeron el mes pasado, mientras que los de los aceites se mantuvieron estables y los de los productos lácteos registraron un marcado repunte.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F24A1" w:rsidTr="004B3C2F">
        <w:trPr>
          <w:trHeight w:val="783"/>
          <w:jc w:val="center"/>
        </w:trPr>
        <w:tc>
          <w:tcPr>
            <w:tcW w:w="8840" w:type="dxa"/>
            <w:vAlign w:val="center"/>
          </w:tcPr>
          <w:p w:rsidR="003F24A1" w:rsidRPr="006316EF" w:rsidRDefault="003F24A1" w:rsidP="004B3C2F">
            <w:pPr>
              <w:spacing w:line="216" w:lineRule="auto"/>
              <w:jc w:val="center"/>
              <w:textAlignment w:val="baseline"/>
              <w:rPr>
                <w:sz w:val="22"/>
                <w:szCs w:val="22"/>
                <w:lang w:val="es-MX" w:eastAsia="es-MX"/>
              </w:rPr>
            </w:pPr>
            <w:r>
              <w:rPr>
                <w:rFonts w:eastAsia="+mn-ea"/>
                <w:b/>
                <w:bCs/>
                <w:color w:val="000000"/>
                <w:kern w:val="24"/>
                <w:sz w:val="22"/>
                <w:szCs w:val="22"/>
                <w:lang w:val="es-ES_tradnl" w:eastAsia="es-MX"/>
              </w:rPr>
              <w:t xml:space="preserve">ÍNDICE DE PRECIOS </w:t>
            </w:r>
            <w:r w:rsidRPr="006316EF">
              <w:rPr>
                <w:rFonts w:eastAsia="+mn-ea"/>
                <w:b/>
                <w:bCs/>
                <w:color w:val="000000"/>
                <w:kern w:val="24"/>
                <w:sz w:val="22"/>
                <w:szCs w:val="22"/>
                <w:lang w:val="es-ES_tradnl" w:eastAsia="es-MX"/>
              </w:rPr>
              <w:t>DE LOS ALIMENTOS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F24A1" w:rsidRPr="008E0031" w:rsidRDefault="003F24A1" w:rsidP="004B3C2F">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F24A1" w:rsidRDefault="003F24A1" w:rsidP="004B3C2F">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2015</w:t>
            </w:r>
          </w:p>
          <w:p w:rsidR="003F24A1" w:rsidRPr="00B35B22" w:rsidRDefault="003F24A1" w:rsidP="004B3C2F">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F24A1" w:rsidTr="004B3C2F">
        <w:trPr>
          <w:jc w:val="center"/>
        </w:trPr>
        <w:tc>
          <w:tcPr>
            <w:tcW w:w="8840" w:type="dxa"/>
          </w:tcPr>
          <w:p w:rsidR="003F24A1" w:rsidRPr="00B35B22" w:rsidRDefault="003F24A1" w:rsidP="004B3C2F">
            <w:pPr>
              <w:tabs>
                <w:tab w:val="left" w:pos="284"/>
                <w:tab w:val="left" w:pos="5200"/>
              </w:tabs>
              <w:spacing w:line="360" w:lineRule="auto"/>
              <w:ind w:right="23"/>
              <w:jc w:val="both"/>
              <w:rPr>
                <w:b/>
                <w:sz w:val="6"/>
                <w:szCs w:val="26"/>
              </w:rPr>
            </w:pPr>
            <w:r w:rsidRPr="00B35B22">
              <w:rPr>
                <w:b/>
                <w:noProof/>
                <w:sz w:val="6"/>
                <w:szCs w:val="26"/>
                <w:lang w:val="es-MX" w:eastAsia="es-MX"/>
              </w:rPr>
              <w:drawing>
                <wp:anchor distT="0" distB="0" distL="114300" distR="114300" simplePos="0" relativeHeight="251712512" behindDoc="1" locked="0" layoutInCell="1" allowOverlap="1" wp14:anchorId="0CA02AD8" wp14:editId="7798652D">
                  <wp:simplePos x="0" y="0"/>
                  <wp:positionH relativeFrom="column">
                    <wp:posOffset>-59055</wp:posOffset>
                  </wp:positionH>
                  <wp:positionV relativeFrom="paragraph">
                    <wp:posOffset>54610</wp:posOffset>
                  </wp:positionV>
                  <wp:extent cx="5593080" cy="2896235"/>
                  <wp:effectExtent l="0" t="0" r="0" b="0"/>
                  <wp:wrapSquare wrapText="bothSides"/>
                  <wp:docPr id="55"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tc>
      </w:tr>
      <w:tr w:rsidR="003F24A1" w:rsidTr="004B3C2F">
        <w:trPr>
          <w:jc w:val="center"/>
        </w:trPr>
        <w:tc>
          <w:tcPr>
            <w:tcW w:w="8840" w:type="dxa"/>
          </w:tcPr>
          <w:p w:rsidR="003F24A1" w:rsidRDefault="003F24A1" w:rsidP="004B3C2F">
            <w:pPr>
              <w:tabs>
                <w:tab w:val="left" w:pos="284"/>
              </w:tabs>
              <w:spacing w:before="120"/>
              <w:ind w:left="1026" w:right="53" w:hanging="210"/>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Pr>
                <w:sz w:val="20"/>
                <w:szCs w:val="20"/>
              </w:rPr>
              <w:t xml:space="preserve"> </w:t>
            </w:r>
            <w:r w:rsidRPr="00BB11D0">
              <w:rPr>
                <w:sz w:val="20"/>
                <w:szCs w:val="20"/>
              </w:rPr>
              <w:t xml:space="preserve">Se calcula sobre la base de la media de </w:t>
            </w:r>
            <w:r>
              <w:rPr>
                <w:sz w:val="20"/>
                <w:szCs w:val="20"/>
              </w:rPr>
              <w:t>los</w:t>
            </w:r>
            <w:r w:rsidRPr="00BB11D0">
              <w:rPr>
                <w:sz w:val="20"/>
                <w:szCs w:val="20"/>
              </w:rPr>
              <w:t xml:space="preserve"> índices de precios de los</w:t>
            </w:r>
            <w:r>
              <w:rPr>
                <w:sz w:val="20"/>
                <w:szCs w:val="20"/>
              </w:rPr>
              <w:t xml:space="preserve"> cinco</w:t>
            </w:r>
            <w:r w:rsidRPr="00BB11D0">
              <w:rPr>
                <w:sz w:val="20"/>
                <w:szCs w:val="20"/>
              </w:rPr>
              <w:t xml:space="preserve"> grupos de productos básicos</w:t>
            </w:r>
            <w:r>
              <w:rPr>
                <w:sz w:val="20"/>
                <w:szCs w:val="20"/>
              </w:rPr>
              <w:t xml:space="preserve"> </w:t>
            </w:r>
            <w:r w:rsidRPr="00BB11D0">
              <w:rPr>
                <w:sz w:val="20"/>
                <w:szCs w:val="20"/>
              </w:rPr>
              <w:t xml:space="preserve">indicados, ponderados por las cuotas medias de exportación de cada uno de los grupos para </w:t>
            </w:r>
            <w:r>
              <w:rPr>
                <w:sz w:val="20"/>
                <w:szCs w:val="20"/>
              </w:rPr>
              <w:t>2002</w:t>
            </w:r>
            <w:r w:rsidRPr="00BB11D0">
              <w:rPr>
                <w:sz w:val="20"/>
                <w:szCs w:val="20"/>
              </w:rPr>
              <w:t>-200</w:t>
            </w:r>
            <w:r>
              <w:rPr>
                <w:sz w:val="20"/>
                <w:szCs w:val="20"/>
              </w:rPr>
              <w:t>4:</w:t>
            </w:r>
            <w:r w:rsidRPr="00BB11D0">
              <w:rPr>
                <w:sz w:val="20"/>
                <w:szCs w:val="20"/>
              </w:rPr>
              <w:t xml:space="preserve"> en el </w:t>
            </w:r>
            <w:r>
              <w:rPr>
                <w:sz w:val="20"/>
                <w:szCs w:val="20"/>
              </w:rPr>
              <w:t>Í</w:t>
            </w:r>
            <w:r w:rsidRPr="00BB11D0">
              <w:rPr>
                <w:sz w:val="20"/>
                <w:szCs w:val="20"/>
              </w:rPr>
              <w:t xml:space="preserve">ndice </w:t>
            </w:r>
            <w:r>
              <w:rPr>
                <w:sz w:val="20"/>
                <w:szCs w:val="20"/>
              </w:rPr>
              <w:t>G</w:t>
            </w:r>
            <w:r w:rsidRPr="00BB11D0">
              <w:rPr>
                <w:sz w:val="20"/>
                <w:szCs w:val="20"/>
              </w:rPr>
              <w:t xml:space="preserve">eneral figuran en total </w:t>
            </w:r>
            <w:r>
              <w:rPr>
                <w:sz w:val="20"/>
                <w:szCs w:val="20"/>
              </w:rPr>
              <w:t>73 cotizaciones de</w:t>
            </w:r>
            <w:r w:rsidRPr="00BB11D0">
              <w:rPr>
                <w:sz w:val="20"/>
                <w:szCs w:val="20"/>
              </w:rPr>
              <w:t xml:space="preserve"> precios que los especialistas en productos básicos de la FAO consideran representativos de los precios internacionales de los productos alimenticios.</w:t>
            </w:r>
            <w:r>
              <w:rPr>
                <w:sz w:val="20"/>
                <w:szCs w:val="20"/>
              </w:rPr>
              <w:t xml:space="preserve"> Cada subíndice es un promedio ponderado de los precios relativos de los productos incluidos en el grupo, calculándose el precio del período base sobre las medias correspondientes a los años 2002-2004.</w:t>
            </w:r>
          </w:p>
          <w:p w:rsidR="003F24A1" w:rsidRPr="007B5061" w:rsidRDefault="003F24A1" w:rsidP="004B3C2F">
            <w:pPr>
              <w:tabs>
                <w:tab w:val="left" w:pos="284"/>
                <w:tab w:val="left" w:pos="8217"/>
              </w:tabs>
              <w:spacing w:before="120" w:after="60"/>
              <w:ind w:left="1026" w:right="53" w:hanging="910"/>
              <w:jc w:val="both"/>
              <w:rPr>
                <w:sz w:val="20"/>
                <w:szCs w:val="20"/>
              </w:rPr>
            </w:pPr>
            <w:r>
              <w:rPr>
                <w:sz w:val="20"/>
                <w:szCs w:val="20"/>
              </w:rPr>
              <w:t>FUENTE: Elaborado por la Comisión Nacional de los Salarios Mínimos con información de la Organización de las Naciones Unidas para la Agricultura y la Alimentación.</w:t>
            </w:r>
          </w:p>
        </w:tc>
      </w:tr>
    </w:tbl>
    <w:p w:rsidR="003F24A1" w:rsidRPr="00520726" w:rsidRDefault="003F24A1" w:rsidP="003F24A1">
      <w:pPr>
        <w:spacing w:line="360" w:lineRule="auto"/>
        <w:ind w:right="23"/>
        <w:jc w:val="both"/>
        <w:rPr>
          <w:b/>
          <w:color w:val="0000FF"/>
          <w:sz w:val="26"/>
          <w:szCs w:val="26"/>
        </w:rPr>
      </w:pPr>
      <w:r>
        <w:rPr>
          <w:b/>
          <w:color w:val="0000FF"/>
          <w:sz w:val="26"/>
          <w:szCs w:val="26"/>
        </w:rPr>
        <w:br w:type="column"/>
      </w:r>
      <w:r w:rsidRPr="00520726">
        <w:rPr>
          <w:b/>
          <w:color w:val="0000FF"/>
          <w:sz w:val="26"/>
          <w:szCs w:val="26"/>
        </w:rPr>
        <w:lastRenderedPageBreak/>
        <w:t>Índice de precios de los cereales (FAO)</w:t>
      </w:r>
    </w:p>
    <w:p w:rsidR="003F24A1" w:rsidRDefault="003F24A1" w:rsidP="003F24A1">
      <w:pPr>
        <w:spacing w:line="360" w:lineRule="auto"/>
        <w:ind w:right="23"/>
        <w:jc w:val="both"/>
        <w:rPr>
          <w:b/>
          <w:sz w:val="20"/>
          <w:szCs w:val="20"/>
        </w:rPr>
      </w:pPr>
    </w:p>
    <w:p w:rsidR="003F24A1" w:rsidRPr="00C27A92" w:rsidRDefault="003F24A1" w:rsidP="003F24A1">
      <w:pPr>
        <w:spacing w:line="360" w:lineRule="auto"/>
        <w:ind w:right="23"/>
        <w:jc w:val="both"/>
        <w:rPr>
          <w:bCs/>
          <w:lang w:val="es-MX"/>
        </w:rPr>
      </w:pPr>
      <w:r w:rsidRPr="00C27A92">
        <w:rPr>
          <w:bCs/>
          <w:lang w:val="es-MX"/>
        </w:rPr>
        <w:t xml:space="preserve">En febrero de 2015, según la FAO, </w:t>
      </w:r>
      <w:r w:rsidR="00DF19A7" w:rsidRPr="00C27A92">
        <w:rPr>
          <w:bCs/>
          <w:lang w:val="es-MX"/>
        </w:rPr>
        <w:t>los precios</w:t>
      </w:r>
      <w:r w:rsidRPr="00C27A92">
        <w:rPr>
          <w:bCs/>
          <w:lang w:val="es-MX"/>
        </w:rPr>
        <w:t xml:space="preserve"> de los cereales registraron un decremento de 3.18%, siendo inferior en 6.93 puntos porcentuales respecto al año anterior (3.75%). Este comportamiento se presentó, debido a que los precios del trigo, los cereales secundarios y el arroz se redujeron, pero el descenso fue más pronunciado en el caso del trigo, debido a la mejora continua de las previsiones relativas a la producción de trigo en 2015 unida a unas existencias mundiales ya elevadas. Los precios del maíz, que compite con el trigo de menor calidad en lo que respecta a raciones de forrajes, también han disminuido. Los precios del arroz se mostraron más estables, ya que el marcado aumento de las cotizaciones del arroz aromático compensó en parte la caída de los precios de las otras categorías de arroz.</w:t>
      </w:r>
    </w:p>
    <w:p w:rsidR="003F24A1" w:rsidRPr="00A2291D" w:rsidRDefault="003F24A1" w:rsidP="003F24A1">
      <w:pPr>
        <w:spacing w:line="360" w:lineRule="auto"/>
        <w:ind w:right="23"/>
        <w:jc w:val="both"/>
        <w:rPr>
          <w:bCs/>
          <w:noProof/>
          <w:sz w:val="26"/>
          <w:szCs w:val="26"/>
          <w:u w:val="single"/>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F24A1" w:rsidTr="004B3C2F">
        <w:tc>
          <w:tcPr>
            <w:tcW w:w="8830" w:type="dxa"/>
          </w:tcPr>
          <w:p w:rsidR="003F24A1" w:rsidRPr="006316EF" w:rsidRDefault="003F24A1" w:rsidP="004B3C2F">
            <w:pPr>
              <w:tabs>
                <w:tab w:val="left" w:pos="426"/>
              </w:tabs>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LOS CEREALES</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F24A1" w:rsidRPr="008E0031" w:rsidRDefault="003F24A1" w:rsidP="004B3C2F">
            <w:pPr>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F24A1" w:rsidRDefault="003F24A1" w:rsidP="004B3C2F">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2015</w:t>
            </w:r>
          </w:p>
          <w:p w:rsidR="003F24A1" w:rsidRDefault="003F24A1" w:rsidP="004B3C2F">
            <w:pPr>
              <w:ind w:right="23"/>
              <w:jc w:val="center"/>
              <w:rPr>
                <w:bCs/>
                <w:noProof/>
                <w:sz w:val="26"/>
                <w:szCs w:val="26"/>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r>
              <w:rPr>
                <w:b/>
                <w:sz w:val="22"/>
                <w:szCs w:val="22"/>
                <w:lang w:val="es-MX" w:eastAsia="es-MX"/>
              </w:rPr>
              <w:t>-</w:t>
            </w:r>
          </w:p>
        </w:tc>
      </w:tr>
      <w:tr w:rsidR="003F24A1" w:rsidRPr="00D17F53" w:rsidTr="004B3C2F">
        <w:tc>
          <w:tcPr>
            <w:tcW w:w="8830" w:type="dxa"/>
          </w:tcPr>
          <w:p w:rsidR="003F24A1" w:rsidRDefault="003F24A1" w:rsidP="004B3C2F">
            <w:pPr>
              <w:ind w:right="23"/>
              <w:jc w:val="both"/>
              <w:rPr>
                <w:bCs/>
                <w:noProof/>
                <w:sz w:val="26"/>
                <w:szCs w:val="26"/>
              </w:rPr>
            </w:pPr>
            <w:r w:rsidRPr="003A4E1E">
              <w:rPr>
                <w:b/>
                <w:noProof/>
                <w:sz w:val="2"/>
                <w:szCs w:val="26"/>
                <w:lang w:val="es-MX" w:eastAsia="es-MX"/>
              </w:rPr>
              <w:drawing>
                <wp:anchor distT="0" distB="0" distL="114300" distR="114300" simplePos="0" relativeHeight="251714560" behindDoc="1" locked="0" layoutInCell="1" allowOverlap="1" wp14:anchorId="2C6E5ED8" wp14:editId="213942BD">
                  <wp:simplePos x="0" y="0"/>
                  <wp:positionH relativeFrom="column">
                    <wp:posOffset>-17780</wp:posOffset>
                  </wp:positionH>
                  <wp:positionV relativeFrom="paragraph">
                    <wp:posOffset>79375</wp:posOffset>
                  </wp:positionV>
                  <wp:extent cx="5562600" cy="2113280"/>
                  <wp:effectExtent l="0" t="19050" r="0" b="1270"/>
                  <wp:wrapSquare wrapText="bothSides"/>
                  <wp:docPr id="56" name="Objeto 29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tc>
      </w:tr>
      <w:tr w:rsidR="003F24A1" w:rsidTr="004B3C2F">
        <w:tc>
          <w:tcPr>
            <w:tcW w:w="8830" w:type="dxa"/>
          </w:tcPr>
          <w:p w:rsidR="003F24A1" w:rsidRDefault="003F24A1" w:rsidP="004B3C2F">
            <w:pPr>
              <w:tabs>
                <w:tab w:val="left" w:pos="426"/>
                <w:tab w:val="left" w:pos="8364"/>
              </w:tabs>
              <w:spacing w:before="120"/>
              <w:ind w:left="942" w:right="29" w:hanging="252"/>
              <w:jc w:val="both"/>
              <w:rPr>
                <w:sz w:val="20"/>
                <w:szCs w:val="20"/>
              </w:rPr>
            </w:pPr>
            <w:r>
              <w:rPr>
                <w:b/>
                <w:sz w:val="20"/>
                <w:szCs w:val="20"/>
                <w:u w:val="single"/>
                <w:vertAlign w:val="superscript"/>
              </w:rPr>
              <w:t>1</w:t>
            </w:r>
            <w:r w:rsidRPr="000041E7">
              <w:rPr>
                <w:b/>
                <w:sz w:val="20"/>
                <w:szCs w:val="20"/>
                <w:vertAlign w:val="superscript"/>
              </w:rPr>
              <w:t>/</w:t>
            </w:r>
            <w:r w:rsidRPr="00CC49CA">
              <w:rPr>
                <w:sz w:val="16"/>
                <w:szCs w:val="20"/>
              </w:rPr>
              <w:t xml:space="preserve"> </w:t>
            </w:r>
            <w:r w:rsidRPr="00CC49CA">
              <w:rPr>
                <w:sz w:val="10"/>
                <w:szCs w:val="20"/>
              </w:rPr>
              <w:t xml:space="preserve"> </w:t>
            </w:r>
            <w:r w:rsidRPr="00BB11D0">
              <w:rPr>
                <w:sz w:val="20"/>
                <w:szCs w:val="20"/>
              </w:rPr>
              <w:t xml:space="preserve">El índice de precios de los cereales está constituido por el índice de precios del Consejo Internacional de Cereales (CIC) para el trigo, que es a su vez la media de </w:t>
            </w:r>
            <w:r>
              <w:rPr>
                <w:sz w:val="20"/>
                <w:szCs w:val="20"/>
              </w:rPr>
              <w:t>diez</w:t>
            </w:r>
            <w:r w:rsidRPr="00BB11D0">
              <w:rPr>
                <w:sz w:val="20"/>
                <w:szCs w:val="20"/>
              </w:rPr>
              <w:t xml:space="preserve"> precios diferentes de trigo, un precio de exportación del maíz</w:t>
            </w:r>
            <w:r>
              <w:rPr>
                <w:sz w:val="20"/>
                <w:szCs w:val="20"/>
              </w:rPr>
              <w:t xml:space="preserve"> y 16 precios del arroz. Las cotizaciones del arroz se combinan en cuatro grupos formad</w:t>
            </w:r>
            <w:r w:rsidR="00DC2B7F">
              <w:rPr>
                <w:sz w:val="20"/>
                <w:szCs w:val="20"/>
              </w:rPr>
              <w:t>os por las variedades de arroz Í</w:t>
            </w:r>
            <w:r>
              <w:rPr>
                <w:sz w:val="20"/>
                <w:szCs w:val="20"/>
              </w:rPr>
              <w:t>ndica de alta y baja calidad, Japónica y Aromática. Dentro de cada variedad se calcula una media aritmética de los precios relativos de cotizaciones apropiadas; después se combinan los precios relativos medios de cada una de las cuatro variedades ponderándolos</w:t>
            </w:r>
            <w:r w:rsidRPr="00BB11D0">
              <w:rPr>
                <w:sz w:val="20"/>
                <w:szCs w:val="20"/>
              </w:rPr>
              <w:t xml:space="preserve"> con </w:t>
            </w:r>
            <w:r>
              <w:rPr>
                <w:sz w:val="20"/>
                <w:szCs w:val="20"/>
              </w:rPr>
              <w:t>sus</w:t>
            </w:r>
            <w:r w:rsidRPr="00BB11D0">
              <w:rPr>
                <w:sz w:val="20"/>
                <w:szCs w:val="20"/>
              </w:rPr>
              <w:t xml:space="preserve"> cuotas de comercio teóric</w:t>
            </w:r>
            <w:r>
              <w:rPr>
                <w:sz w:val="20"/>
                <w:szCs w:val="20"/>
              </w:rPr>
              <w:t>o</w:t>
            </w:r>
            <w:r w:rsidRPr="00BB11D0">
              <w:rPr>
                <w:sz w:val="20"/>
                <w:szCs w:val="20"/>
              </w:rPr>
              <w:t xml:space="preserve"> (fij</w:t>
            </w:r>
            <w:r>
              <w:rPr>
                <w:sz w:val="20"/>
                <w:szCs w:val="20"/>
              </w:rPr>
              <w:t>o</w:t>
            </w:r>
            <w:r w:rsidRPr="00BB11D0">
              <w:rPr>
                <w:sz w:val="20"/>
                <w:szCs w:val="20"/>
              </w:rPr>
              <w:t>).</w:t>
            </w:r>
            <w:r>
              <w:rPr>
                <w:sz w:val="20"/>
                <w:szCs w:val="20"/>
              </w:rPr>
              <w:t xml:space="preserve"> Posteriormente, el índice del CIC para el precio del trigo, después de convertirlo al período base 2002-2004, los precios relativos del maíz y los precios relativos medios calculados para el grupo del arroz en su conjunto se combinan ponderando cada producto con su cuota de exportación media para 2002-2004. </w:t>
            </w:r>
          </w:p>
          <w:p w:rsidR="003F24A1" w:rsidRDefault="003F24A1" w:rsidP="004B3C2F">
            <w:pPr>
              <w:tabs>
                <w:tab w:val="left" w:pos="426"/>
                <w:tab w:val="left" w:pos="8364"/>
              </w:tabs>
              <w:spacing w:before="120"/>
              <w:ind w:left="1054" w:right="403" w:hanging="154"/>
              <w:jc w:val="both"/>
              <w:rPr>
                <w:sz w:val="20"/>
                <w:szCs w:val="20"/>
              </w:rPr>
            </w:pPr>
          </w:p>
          <w:p w:rsidR="003F24A1" w:rsidRDefault="003F24A1" w:rsidP="004B3C2F">
            <w:pPr>
              <w:ind w:left="942" w:right="365" w:hanging="924"/>
              <w:jc w:val="both"/>
              <w:rPr>
                <w:bCs/>
                <w:noProof/>
                <w:sz w:val="26"/>
                <w:szCs w:val="26"/>
              </w:rPr>
            </w:pPr>
            <w:r>
              <w:rPr>
                <w:sz w:val="20"/>
                <w:szCs w:val="20"/>
              </w:rPr>
              <w:t>FUENTE: Elaborado por la Comisión Nacional de los Salarios Mínimos con información de la Organización de las Naciones Unidas para la Agricultura y la Alimentación.</w:t>
            </w:r>
          </w:p>
        </w:tc>
      </w:tr>
    </w:tbl>
    <w:p w:rsidR="003F24A1" w:rsidRPr="00520726" w:rsidRDefault="003F24A1" w:rsidP="003F24A1">
      <w:pPr>
        <w:spacing w:line="360" w:lineRule="auto"/>
        <w:ind w:right="23"/>
        <w:jc w:val="both"/>
        <w:rPr>
          <w:b/>
          <w:color w:val="0000FF"/>
          <w:sz w:val="26"/>
          <w:szCs w:val="26"/>
        </w:rPr>
      </w:pPr>
      <w:r>
        <w:rPr>
          <w:b/>
          <w:color w:val="0000FF"/>
          <w:sz w:val="26"/>
          <w:szCs w:val="26"/>
        </w:rPr>
        <w:br w:type="column"/>
      </w:r>
      <w:r w:rsidRPr="00520726">
        <w:rPr>
          <w:b/>
          <w:color w:val="0000FF"/>
          <w:sz w:val="26"/>
          <w:szCs w:val="26"/>
        </w:rPr>
        <w:lastRenderedPageBreak/>
        <w:t xml:space="preserve">Índice de precios de los aceites </w:t>
      </w:r>
      <w:r>
        <w:rPr>
          <w:b/>
          <w:color w:val="0000FF"/>
          <w:sz w:val="26"/>
          <w:szCs w:val="26"/>
        </w:rPr>
        <w:t>vegetales</w:t>
      </w:r>
      <w:r w:rsidRPr="00520726">
        <w:rPr>
          <w:b/>
          <w:color w:val="0000FF"/>
          <w:sz w:val="26"/>
          <w:szCs w:val="26"/>
        </w:rPr>
        <w:t xml:space="preserve"> (FAO)</w:t>
      </w:r>
    </w:p>
    <w:p w:rsidR="003F24A1" w:rsidRPr="005068EB" w:rsidRDefault="003F24A1" w:rsidP="00DC2B7F">
      <w:pPr>
        <w:spacing w:before="360" w:after="360" w:line="360" w:lineRule="auto"/>
        <w:ind w:right="23"/>
        <w:jc w:val="both"/>
        <w:rPr>
          <w:bCs/>
          <w:sz w:val="26"/>
          <w:szCs w:val="26"/>
          <w:lang w:val="es-MX"/>
        </w:rPr>
      </w:pPr>
      <w:r w:rsidRPr="005068EB">
        <w:rPr>
          <w:sz w:val="26"/>
          <w:szCs w:val="26"/>
        </w:rPr>
        <w:t xml:space="preserve">En el mes de </w:t>
      </w:r>
      <w:r>
        <w:rPr>
          <w:sz w:val="26"/>
          <w:szCs w:val="26"/>
        </w:rPr>
        <w:t>febrero</w:t>
      </w:r>
      <w:r w:rsidRPr="005068EB">
        <w:rPr>
          <w:sz w:val="26"/>
          <w:szCs w:val="26"/>
        </w:rPr>
        <w:t xml:space="preserve"> de 2015, los precios de los aceites vegetales registraron </w:t>
      </w:r>
      <w:r w:rsidRPr="005068EB">
        <w:rPr>
          <w:bCs/>
          <w:sz w:val="26"/>
          <w:szCs w:val="26"/>
          <w:lang w:val="es-MX"/>
        </w:rPr>
        <w:t xml:space="preserve">un incremento de 0.37%, esto </w:t>
      </w:r>
      <w:r w:rsidR="00DF19A7" w:rsidRPr="005068EB">
        <w:rPr>
          <w:bCs/>
          <w:sz w:val="26"/>
          <w:szCs w:val="26"/>
          <w:lang w:val="es-MX"/>
        </w:rPr>
        <w:t>según la</w:t>
      </w:r>
      <w:r w:rsidRPr="005068EB">
        <w:rPr>
          <w:bCs/>
          <w:sz w:val="26"/>
          <w:szCs w:val="26"/>
          <w:lang w:val="es-MX"/>
        </w:rPr>
        <w:t xml:space="preserve"> </w:t>
      </w:r>
      <w:r w:rsidRPr="005068EB">
        <w:rPr>
          <w:sz w:val="26"/>
          <w:szCs w:val="26"/>
        </w:rPr>
        <w:t>FAO.</w:t>
      </w:r>
      <w:r w:rsidRPr="005068EB">
        <w:rPr>
          <w:bCs/>
          <w:sz w:val="26"/>
          <w:szCs w:val="26"/>
          <w:lang w:val="es-MX"/>
        </w:rPr>
        <w:t xml:space="preserve"> El motor de este pequeño incremento fue el aceite de palma, a consecuencia de las recientes inundaciones que causaron un descenso de la producción en Malasia y las previsiones de un repunte del consumo en Indonesia tras el aumento de las subvenciones nacionales para </w:t>
      </w:r>
      <w:proofErr w:type="spellStart"/>
      <w:r w:rsidRPr="005068EB">
        <w:rPr>
          <w:bCs/>
          <w:sz w:val="26"/>
          <w:szCs w:val="26"/>
          <w:lang w:val="es-MX"/>
        </w:rPr>
        <w:t>biodiésel</w:t>
      </w:r>
      <w:proofErr w:type="spellEnd"/>
      <w:r w:rsidRPr="005068EB">
        <w:rPr>
          <w:bCs/>
          <w:sz w:val="26"/>
          <w:szCs w:val="26"/>
          <w:lang w:val="es-MX"/>
        </w:rPr>
        <w:t>. Sin embargo, el incremento del índice se vio limitado por los continuos descensos de los precios del aceite de soya, debido al volumen mayor del previsto de disponibilidades exportables y a las previsiones de cosechas de soya excelentes provenientes de América del Sur.</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F24A1" w:rsidTr="004B3C2F">
        <w:trPr>
          <w:trHeight w:val="871"/>
        </w:trPr>
        <w:tc>
          <w:tcPr>
            <w:tcW w:w="8840" w:type="dxa"/>
            <w:vAlign w:val="center"/>
          </w:tcPr>
          <w:p w:rsidR="003F24A1" w:rsidRPr="006316EF" w:rsidRDefault="003F24A1" w:rsidP="004B3C2F">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 xml:space="preserve">LOS ACEITES VEGETALES </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F24A1" w:rsidRPr="008E0031" w:rsidRDefault="003F24A1" w:rsidP="004B3C2F">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F24A1" w:rsidRDefault="003F24A1" w:rsidP="004B3C2F">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2015</w:t>
            </w:r>
          </w:p>
          <w:p w:rsidR="003F24A1" w:rsidRPr="00E53F20" w:rsidRDefault="003F24A1" w:rsidP="004B3C2F">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F24A1" w:rsidTr="004B3C2F">
        <w:tc>
          <w:tcPr>
            <w:tcW w:w="8840" w:type="dxa"/>
          </w:tcPr>
          <w:p w:rsidR="003F24A1" w:rsidRPr="00E53F20" w:rsidRDefault="003F24A1" w:rsidP="004B3C2F">
            <w:pPr>
              <w:tabs>
                <w:tab w:val="left" w:pos="251"/>
              </w:tabs>
              <w:spacing w:line="360" w:lineRule="auto"/>
              <w:ind w:right="23"/>
              <w:jc w:val="both"/>
              <w:rPr>
                <w:b/>
                <w:sz w:val="2"/>
                <w:szCs w:val="26"/>
              </w:rPr>
            </w:pPr>
            <w:r w:rsidRPr="00E53F20">
              <w:rPr>
                <w:b/>
                <w:noProof/>
                <w:sz w:val="2"/>
                <w:szCs w:val="26"/>
                <w:lang w:val="es-MX" w:eastAsia="es-MX"/>
              </w:rPr>
              <w:drawing>
                <wp:anchor distT="0" distB="0" distL="114300" distR="114300" simplePos="0" relativeHeight="251713536" behindDoc="1" locked="0" layoutInCell="1" allowOverlap="1" wp14:anchorId="2CC1FDF7" wp14:editId="2938B424">
                  <wp:simplePos x="0" y="0"/>
                  <wp:positionH relativeFrom="column">
                    <wp:posOffset>17145</wp:posOffset>
                  </wp:positionH>
                  <wp:positionV relativeFrom="paragraph">
                    <wp:posOffset>230593</wp:posOffset>
                  </wp:positionV>
                  <wp:extent cx="5496560" cy="3168015"/>
                  <wp:effectExtent l="0" t="0" r="8890" b="13335"/>
                  <wp:wrapSquare wrapText="bothSides"/>
                  <wp:docPr id="58" name="Objeto 29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anchor>
              </w:drawing>
            </w:r>
          </w:p>
        </w:tc>
      </w:tr>
      <w:tr w:rsidR="003F24A1" w:rsidTr="004B3C2F">
        <w:tc>
          <w:tcPr>
            <w:tcW w:w="8840" w:type="dxa"/>
          </w:tcPr>
          <w:p w:rsidR="003F24A1" w:rsidRPr="00BB11D0" w:rsidRDefault="003F24A1" w:rsidP="004B3C2F">
            <w:pPr>
              <w:tabs>
                <w:tab w:val="left" w:pos="1232"/>
                <w:tab w:val="left" w:pos="8623"/>
              </w:tabs>
              <w:spacing w:before="120"/>
              <w:ind w:left="1213" w:right="210" w:hanging="249"/>
              <w:jc w:val="both"/>
              <w:rPr>
                <w:sz w:val="20"/>
                <w:szCs w:val="20"/>
              </w:rPr>
            </w:pPr>
            <w:r>
              <w:rPr>
                <w:b/>
                <w:sz w:val="20"/>
                <w:szCs w:val="20"/>
                <w:u w:val="single"/>
                <w:vertAlign w:val="superscript"/>
              </w:rPr>
              <w:t>1</w:t>
            </w:r>
            <w:r w:rsidRPr="000041E7">
              <w:rPr>
                <w:b/>
                <w:sz w:val="20"/>
                <w:szCs w:val="20"/>
                <w:vertAlign w:val="superscript"/>
              </w:rPr>
              <w:t>/</w:t>
            </w:r>
            <w:r>
              <w:rPr>
                <w:b/>
                <w:sz w:val="20"/>
                <w:szCs w:val="20"/>
                <w:vertAlign w:val="superscript"/>
              </w:rPr>
              <w:t xml:space="preserve"> </w:t>
            </w:r>
            <w:r>
              <w:rPr>
                <w:sz w:val="20"/>
                <w:szCs w:val="20"/>
              </w:rPr>
              <w:t xml:space="preserve"> Se calcula sobre la base  de una media de diez</w:t>
            </w:r>
            <w:r w:rsidRPr="00BB11D0">
              <w:rPr>
                <w:sz w:val="20"/>
                <w:szCs w:val="20"/>
              </w:rPr>
              <w:t xml:space="preserve"> aceites diferentes ponderados por las cuotas medias de exportación de cada uno de los productos oleaginosos para </w:t>
            </w:r>
            <w:r>
              <w:rPr>
                <w:sz w:val="20"/>
                <w:szCs w:val="20"/>
              </w:rPr>
              <w:t>2002</w:t>
            </w:r>
            <w:r w:rsidRPr="00BB11D0">
              <w:rPr>
                <w:sz w:val="20"/>
                <w:szCs w:val="20"/>
              </w:rPr>
              <w:t>-200</w:t>
            </w:r>
            <w:r>
              <w:rPr>
                <w:sz w:val="20"/>
                <w:szCs w:val="20"/>
              </w:rPr>
              <w:t>4</w:t>
            </w:r>
            <w:r w:rsidRPr="00BB11D0">
              <w:rPr>
                <w:sz w:val="20"/>
                <w:szCs w:val="20"/>
              </w:rPr>
              <w:t>.</w:t>
            </w:r>
          </w:p>
          <w:p w:rsidR="003F24A1" w:rsidRPr="009F607A" w:rsidRDefault="003F24A1" w:rsidP="004B3C2F">
            <w:pPr>
              <w:spacing w:before="120" w:after="60"/>
              <w:ind w:left="1204" w:right="197" w:hanging="938"/>
              <w:jc w:val="both"/>
              <w:rPr>
                <w:sz w:val="20"/>
                <w:szCs w:val="20"/>
              </w:rPr>
            </w:pPr>
            <w:r w:rsidRPr="00787166">
              <w:rPr>
                <w:sz w:val="20"/>
                <w:szCs w:val="20"/>
              </w:rPr>
              <w:t xml:space="preserve">FUENTE: </w:t>
            </w:r>
            <w:r>
              <w:rPr>
                <w:sz w:val="20"/>
                <w:szCs w:val="20"/>
              </w:rPr>
              <w:t>Elaborado por la Comisión Nacional de los Salarios Mínimos con información de la Organización de las Naciones Unidas para la Agricultura y la Alimentación.</w:t>
            </w:r>
          </w:p>
        </w:tc>
      </w:tr>
    </w:tbl>
    <w:p w:rsidR="003F24A1" w:rsidRDefault="003F24A1" w:rsidP="003F24A1">
      <w:pPr>
        <w:rPr>
          <w:b/>
          <w:color w:val="0000FF"/>
          <w:sz w:val="26"/>
          <w:szCs w:val="26"/>
        </w:rPr>
      </w:pPr>
      <w:r>
        <w:rPr>
          <w:b/>
          <w:color w:val="0000FF"/>
          <w:sz w:val="26"/>
          <w:szCs w:val="26"/>
        </w:rPr>
        <w:br w:type="page"/>
      </w:r>
    </w:p>
    <w:p w:rsidR="003F24A1" w:rsidRDefault="003F24A1" w:rsidP="003F24A1">
      <w:pPr>
        <w:ind w:right="20"/>
        <w:jc w:val="both"/>
        <w:rPr>
          <w:b/>
          <w:color w:val="0000FF"/>
          <w:sz w:val="26"/>
          <w:szCs w:val="26"/>
        </w:rPr>
      </w:pPr>
      <w:r>
        <w:rPr>
          <w:noProof/>
          <w:lang w:val="es-MX" w:eastAsia="es-MX"/>
        </w:rPr>
        <w:lastRenderedPageBreak/>
        <mc:AlternateContent>
          <mc:Choice Requires="wps">
            <w:drawing>
              <wp:anchor distT="0" distB="0" distL="114300" distR="114300" simplePos="0" relativeHeight="251711488" behindDoc="0" locked="0" layoutInCell="1" allowOverlap="1" wp14:anchorId="7F638086" wp14:editId="27467E68">
                <wp:simplePos x="0" y="0"/>
                <wp:positionH relativeFrom="column">
                  <wp:posOffset>1691640</wp:posOffset>
                </wp:positionH>
                <wp:positionV relativeFrom="paragraph">
                  <wp:posOffset>3019425</wp:posOffset>
                </wp:positionV>
                <wp:extent cx="3238500" cy="114300"/>
                <wp:effectExtent l="0" t="0" r="0" b="0"/>
                <wp:wrapNone/>
                <wp:docPr id="96" name="Conector recto de flecha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0" cy="1143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6E67D75A" id="_x0000_t32" coordsize="21600,21600" o:spt="32" o:oned="t" path="m,l21600,21600e" filled="f">
                <v:path arrowok="t" fillok="f" o:connecttype="none"/>
                <o:lock v:ext="edit" shapetype="t"/>
              </v:shapetype>
              <v:shape id="Conector recto de flecha 96" o:spid="_x0000_s1026" type="#_x0000_t32" style="position:absolute;margin-left:133.2pt;margin-top:237.75pt;width:255pt;height: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" stroked="f"/>
            </w:pict>
          </mc:Fallback>
        </mc:AlternateContent>
      </w:r>
      <w:r w:rsidRPr="00520726">
        <w:rPr>
          <w:b/>
          <w:color w:val="0000FF"/>
          <w:sz w:val="26"/>
          <w:szCs w:val="26"/>
        </w:rPr>
        <w:t>Índice de precios de productos lácteos (FAO)</w:t>
      </w:r>
    </w:p>
    <w:p w:rsidR="003F24A1" w:rsidRDefault="003F24A1" w:rsidP="003F24A1">
      <w:pPr>
        <w:ind w:right="23"/>
        <w:jc w:val="both"/>
        <w:rPr>
          <w:sz w:val="26"/>
          <w:szCs w:val="26"/>
        </w:rPr>
      </w:pPr>
    </w:p>
    <w:p w:rsidR="003F24A1" w:rsidRPr="00EB709B" w:rsidRDefault="003F24A1" w:rsidP="003F24A1">
      <w:pPr>
        <w:spacing w:line="360" w:lineRule="auto"/>
        <w:ind w:right="23"/>
        <w:jc w:val="both"/>
        <w:rPr>
          <w:bCs/>
          <w:noProof/>
          <w:sz w:val="26"/>
          <w:szCs w:val="26"/>
        </w:rPr>
      </w:pPr>
      <w:r w:rsidRPr="00EB709B">
        <w:rPr>
          <w:bCs/>
          <w:noProof/>
          <w:sz w:val="26"/>
          <w:szCs w:val="26"/>
        </w:rPr>
        <w:t>De acuerdo con l</w:t>
      </w:r>
      <w:r w:rsidRPr="00EB709B">
        <w:rPr>
          <w:bCs/>
          <w:sz w:val="26"/>
          <w:szCs w:val="26"/>
          <w:lang w:val="es-MX"/>
        </w:rPr>
        <w:t>a</w:t>
      </w:r>
      <w:r w:rsidRPr="00EB709B">
        <w:rPr>
          <w:sz w:val="26"/>
          <w:szCs w:val="26"/>
        </w:rPr>
        <w:t xml:space="preserve"> FAO, l</w:t>
      </w:r>
      <w:r w:rsidRPr="00EB709B">
        <w:rPr>
          <w:bCs/>
          <w:sz w:val="26"/>
          <w:szCs w:val="26"/>
          <w:lang w:val="es-MX"/>
        </w:rPr>
        <w:t xml:space="preserve">os precios de los productos lácteos </w:t>
      </w:r>
      <w:r w:rsidRPr="00EB709B">
        <w:rPr>
          <w:bCs/>
          <w:noProof/>
          <w:sz w:val="26"/>
          <w:szCs w:val="26"/>
        </w:rPr>
        <w:t xml:space="preserve">registraron en </w:t>
      </w:r>
      <w:r>
        <w:rPr>
          <w:bCs/>
          <w:noProof/>
          <w:sz w:val="26"/>
          <w:szCs w:val="26"/>
        </w:rPr>
        <w:t>febrero</w:t>
      </w:r>
      <w:r w:rsidRPr="00EB709B">
        <w:rPr>
          <w:bCs/>
          <w:noProof/>
          <w:sz w:val="26"/>
          <w:szCs w:val="26"/>
        </w:rPr>
        <w:t xml:space="preserve"> de 2015, un incremento</w:t>
      </w:r>
      <w:r w:rsidRPr="00EB709B">
        <w:rPr>
          <w:sz w:val="26"/>
          <w:szCs w:val="26"/>
        </w:rPr>
        <w:t xml:space="preserve"> en sus </w:t>
      </w:r>
      <w:r w:rsidRPr="00EB709B">
        <w:rPr>
          <w:bCs/>
          <w:noProof/>
          <w:sz w:val="26"/>
          <w:szCs w:val="26"/>
        </w:rPr>
        <w:t>precios de 4.62%. Este incremento se presentó, debido a que la leche entera en polvo registró el aumento más fuerte, seguida de la leche desnatada en polvo y la mantequilla; sin embargo, las cotizaciones del queso se mantuvieron sin cambios. Además, la caída de la prod</w:t>
      </w:r>
      <w:r w:rsidR="00DC2B7F">
        <w:rPr>
          <w:bCs/>
          <w:noProof/>
          <w:sz w:val="26"/>
          <w:szCs w:val="26"/>
        </w:rPr>
        <w:t>ucción de leche en Nueva Zeland</w:t>
      </w:r>
      <w:r w:rsidRPr="00EB709B">
        <w:rPr>
          <w:bCs/>
          <w:noProof/>
          <w:sz w:val="26"/>
          <w:szCs w:val="26"/>
        </w:rPr>
        <w:t xml:space="preserve">a provocada por la sequía, junto con la reducción de los suministros para la exportación en Australia, constituyen la principal causa del repentino aumento de los precios de los productos lácteos a nivel mundial. </w:t>
      </w:r>
      <w:r w:rsidRPr="007771E7">
        <w:rPr>
          <w:bCs/>
          <w:noProof/>
          <w:sz w:val="26"/>
          <w:szCs w:val="26"/>
        </w:rPr>
        <w:t>Además, la producción de leche en la Unión Europea en su conjunto se está reduciendo para evitar el pago de tasas por exceder las cuotas, ya que el ejercicio contingentario abril-marzo está llegando a su fin, lo que contribuye también a la renovada pujanza de los precios.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F24A1" w:rsidTr="004B3C2F">
        <w:trPr>
          <w:trHeight w:val="783"/>
        </w:trPr>
        <w:tc>
          <w:tcPr>
            <w:tcW w:w="8830" w:type="dxa"/>
            <w:vAlign w:val="center"/>
          </w:tcPr>
          <w:p w:rsidR="003F24A1" w:rsidRDefault="003F24A1" w:rsidP="004B3C2F">
            <w:pPr>
              <w:spacing w:line="216" w:lineRule="auto"/>
              <w:jc w:val="center"/>
              <w:textAlignment w:val="baseline"/>
              <w:rPr>
                <w:rFonts w:eastAsia="+mn-ea"/>
                <w:b/>
                <w:bCs/>
                <w:color w:val="000000"/>
                <w:kern w:val="24"/>
                <w:sz w:val="22"/>
                <w:szCs w:val="22"/>
                <w:lang w:val="es-ES_tradnl" w:eastAsia="es-MX"/>
              </w:rPr>
            </w:pPr>
          </w:p>
          <w:p w:rsidR="003F24A1" w:rsidRPr="006316EF" w:rsidRDefault="003F24A1" w:rsidP="004B3C2F">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PRODUCTOS LÁCTEOS</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F24A1" w:rsidRPr="008E0031" w:rsidRDefault="003F24A1" w:rsidP="004B3C2F">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F24A1" w:rsidRDefault="003F24A1" w:rsidP="004B3C2F">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2015</w:t>
            </w:r>
          </w:p>
          <w:p w:rsidR="003F24A1" w:rsidRPr="00B35B22" w:rsidRDefault="003F24A1" w:rsidP="004B3C2F">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F24A1" w:rsidTr="004B3C2F">
        <w:trPr>
          <w:trHeight w:val="4355"/>
        </w:trPr>
        <w:tc>
          <w:tcPr>
            <w:tcW w:w="8830" w:type="dxa"/>
          </w:tcPr>
          <w:p w:rsidR="003F24A1" w:rsidRPr="00B35B22" w:rsidRDefault="003F24A1" w:rsidP="004B3C2F">
            <w:pPr>
              <w:tabs>
                <w:tab w:val="left" w:pos="426"/>
                <w:tab w:val="left" w:pos="5200"/>
                <w:tab w:val="left" w:pos="8455"/>
              </w:tabs>
              <w:spacing w:line="360" w:lineRule="auto"/>
              <w:ind w:right="23"/>
              <w:jc w:val="both"/>
              <w:rPr>
                <w:b/>
                <w:sz w:val="6"/>
                <w:szCs w:val="26"/>
              </w:rPr>
            </w:pPr>
            <w:r w:rsidRPr="00E53F20">
              <w:rPr>
                <w:b/>
                <w:noProof/>
                <w:sz w:val="2"/>
                <w:szCs w:val="26"/>
                <w:lang w:val="es-MX" w:eastAsia="es-MX"/>
              </w:rPr>
              <w:drawing>
                <wp:anchor distT="0" distB="0" distL="114300" distR="114300" simplePos="0" relativeHeight="251715584" behindDoc="1" locked="0" layoutInCell="1" allowOverlap="1" wp14:anchorId="566C1AA5" wp14:editId="0C4714FF">
                  <wp:simplePos x="0" y="0"/>
                  <wp:positionH relativeFrom="column">
                    <wp:posOffset>-64770</wp:posOffset>
                  </wp:positionH>
                  <wp:positionV relativeFrom="paragraph">
                    <wp:posOffset>78740</wp:posOffset>
                  </wp:positionV>
                  <wp:extent cx="5496560" cy="2764155"/>
                  <wp:effectExtent l="0" t="0" r="8890" b="17145"/>
                  <wp:wrapSquare wrapText="bothSides"/>
                  <wp:docPr id="61" name="Objeto 29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p>
        </w:tc>
      </w:tr>
      <w:tr w:rsidR="003F24A1" w:rsidTr="004B3C2F">
        <w:tc>
          <w:tcPr>
            <w:tcW w:w="8830" w:type="dxa"/>
          </w:tcPr>
          <w:p w:rsidR="003F24A1" w:rsidRPr="00BB11D0" w:rsidRDefault="003F24A1" w:rsidP="004B3C2F">
            <w:pPr>
              <w:tabs>
                <w:tab w:val="left" w:pos="426"/>
                <w:tab w:val="left" w:pos="8301"/>
              </w:tabs>
              <w:spacing w:before="120"/>
              <w:ind w:left="1316" w:right="357" w:hanging="210"/>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Pr>
                <w:sz w:val="20"/>
                <w:szCs w:val="20"/>
              </w:rPr>
              <w:t xml:space="preserve"> </w:t>
            </w:r>
            <w:r w:rsidRPr="00BB11D0">
              <w:rPr>
                <w:sz w:val="20"/>
                <w:szCs w:val="20"/>
              </w:rPr>
              <w:t>Se calcula sobre la base de los precios de la mantequilla, la leche desnatada en polvo, la leche entera en polvo</w:t>
            </w:r>
            <w:r>
              <w:rPr>
                <w:sz w:val="20"/>
                <w:szCs w:val="20"/>
              </w:rPr>
              <w:t xml:space="preserve"> y</w:t>
            </w:r>
            <w:r w:rsidRPr="00BB11D0">
              <w:rPr>
                <w:sz w:val="20"/>
                <w:szCs w:val="20"/>
              </w:rPr>
              <w:t xml:space="preserve"> el queso</w:t>
            </w:r>
            <w:r>
              <w:rPr>
                <w:sz w:val="20"/>
                <w:szCs w:val="20"/>
              </w:rPr>
              <w:t>;</w:t>
            </w:r>
            <w:r w:rsidRPr="00BB11D0">
              <w:rPr>
                <w:sz w:val="20"/>
                <w:szCs w:val="20"/>
              </w:rPr>
              <w:t xml:space="preserve"> la media se pondera por las cuotas medias de exportación para </w:t>
            </w:r>
            <w:r>
              <w:rPr>
                <w:sz w:val="20"/>
                <w:szCs w:val="20"/>
              </w:rPr>
              <w:t>2002</w:t>
            </w:r>
            <w:r w:rsidRPr="00BB11D0">
              <w:rPr>
                <w:sz w:val="20"/>
                <w:szCs w:val="20"/>
              </w:rPr>
              <w:t>-200</w:t>
            </w:r>
            <w:r>
              <w:rPr>
                <w:sz w:val="20"/>
                <w:szCs w:val="20"/>
              </w:rPr>
              <w:t>4</w:t>
            </w:r>
            <w:r w:rsidRPr="00BB11D0">
              <w:rPr>
                <w:sz w:val="20"/>
                <w:szCs w:val="20"/>
              </w:rPr>
              <w:t>.</w:t>
            </w:r>
            <w:r>
              <w:rPr>
                <w:noProof/>
                <w:lang w:val="es-MX" w:eastAsia="es-MX"/>
              </w:rPr>
              <w:t xml:space="preserve"> </w:t>
            </w:r>
          </w:p>
          <w:p w:rsidR="003F24A1" w:rsidRDefault="003F24A1" w:rsidP="004B3C2F">
            <w:pPr>
              <w:tabs>
                <w:tab w:val="left" w:pos="7263"/>
                <w:tab w:val="left" w:pos="8301"/>
              </w:tabs>
              <w:spacing w:before="120" w:after="60"/>
              <w:ind w:left="1288" w:right="368" w:hanging="868"/>
              <w:jc w:val="both"/>
              <w:rPr>
                <w:b/>
                <w:sz w:val="26"/>
                <w:szCs w:val="26"/>
              </w:rPr>
            </w:pPr>
            <w:r>
              <w:rPr>
                <w:sz w:val="20"/>
                <w:szCs w:val="20"/>
              </w:rPr>
              <w:t>FUENTE: Elaborado por la Comisión Nacional de los Salarios Mínimos con información de la Organización de las Naciones Unidas para la Agricultura y la Alimentación.</w:t>
            </w:r>
          </w:p>
        </w:tc>
      </w:tr>
    </w:tbl>
    <w:p w:rsidR="003F24A1" w:rsidRPr="00DF19A7" w:rsidRDefault="003F24A1" w:rsidP="00DF19A7">
      <w:pPr>
        <w:spacing w:before="360" w:after="360"/>
        <w:ind w:right="23"/>
        <w:jc w:val="both"/>
        <w:rPr>
          <w:b/>
          <w:color w:val="0000FF"/>
          <w:sz w:val="26"/>
          <w:szCs w:val="26"/>
        </w:rPr>
      </w:pPr>
      <w:r>
        <w:rPr>
          <w:b/>
          <w:color w:val="0000FF"/>
          <w:sz w:val="26"/>
          <w:szCs w:val="26"/>
        </w:rPr>
        <w:br w:type="column"/>
      </w:r>
      <w:r w:rsidRPr="00AE33C7">
        <w:rPr>
          <w:b/>
          <w:color w:val="0000FF"/>
          <w:sz w:val="26"/>
          <w:szCs w:val="26"/>
        </w:rPr>
        <w:lastRenderedPageBreak/>
        <w:t>Índice de precios de la carne (FAO)</w:t>
      </w:r>
    </w:p>
    <w:p w:rsidR="003F24A1" w:rsidRPr="00C27A92" w:rsidRDefault="003F24A1" w:rsidP="00DC2B7F">
      <w:pPr>
        <w:spacing w:before="360" w:after="360" w:line="360" w:lineRule="auto"/>
        <w:ind w:right="23"/>
        <w:jc w:val="both"/>
        <w:rPr>
          <w:bCs/>
          <w:color w:val="404040" w:themeColor="text1" w:themeTint="BF"/>
          <w:lang w:val="es-MX"/>
        </w:rPr>
      </w:pPr>
      <w:r w:rsidRPr="00C27A92">
        <w:rPr>
          <w:bCs/>
          <w:noProof/>
        </w:rPr>
        <w:t xml:space="preserve">Los precios de </w:t>
      </w:r>
      <w:r w:rsidRPr="00C27A92">
        <w:rPr>
          <w:bCs/>
          <w:lang w:val="es-MX"/>
        </w:rPr>
        <w:t xml:space="preserve">la carne registraron, en </w:t>
      </w:r>
      <w:r w:rsidR="00DF19A7" w:rsidRPr="00C27A92">
        <w:rPr>
          <w:bCs/>
          <w:lang w:val="es-MX"/>
        </w:rPr>
        <w:t>febrero de</w:t>
      </w:r>
      <w:r w:rsidRPr="00C27A92">
        <w:rPr>
          <w:bCs/>
          <w:lang w:val="es-MX"/>
        </w:rPr>
        <w:t xml:space="preserve"> 2015, un decremento de 1.45%, según la FAO. Esta reducción se debió a un descenso de las cotizaciones de la carne de bovino y ovino, mientras que los precios de la carne de aves de corral permanecieron invariables y los de la carne de porcino se recuperaron tras ocho meses consecutivos de descenso. Asimismo, la disminución del tipo de cambio con respecto al dólar de Estados Unidos de Norteamérica y los abundantes suministros provocaron el descenso de las cotizaciones de las exportaciones de carne de bovino  procedente de Australia.</w:t>
      </w:r>
      <w:r w:rsidR="00DF19A7">
        <w:t xml:space="preserve"> </w:t>
      </w:r>
      <w:r w:rsidR="00DF19A7">
        <w:rPr>
          <w:bCs/>
          <w:lang w:val="es-MX"/>
        </w:rPr>
        <w:t>Se</w:t>
      </w:r>
      <w:r w:rsidRPr="00C27A92">
        <w:rPr>
          <w:bCs/>
          <w:lang w:val="es-MX"/>
        </w:rPr>
        <w:t xml:space="preserve"> prevé que también ejerzan una presión a la baja sobre los precios de la carne de bovino del Brasil correspondientes a febrero</w:t>
      </w:r>
      <w:r>
        <w:rPr>
          <w:bCs/>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F24A1" w:rsidTr="004B3C2F">
        <w:trPr>
          <w:trHeight w:val="783"/>
        </w:trPr>
        <w:tc>
          <w:tcPr>
            <w:tcW w:w="8980" w:type="dxa"/>
            <w:vAlign w:val="center"/>
          </w:tcPr>
          <w:p w:rsidR="003F24A1" w:rsidRPr="006316EF" w:rsidRDefault="003F24A1" w:rsidP="004B3C2F">
            <w:pPr>
              <w:spacing w:line="216" w:lineRule="auto"/>
              <w:jc w:val="center"/>
              <w:textAlignment w:val="baseline"/>
              <w:rPr>
                <w:sz w:val="22"/>
                <w:szCs w:val="22"/>
                <w:lang w:val="es-MX" w:eastAsia="es-MX"/>
              </w:rPr>
            </w:pPr>
            <w:r>
              <w:rPr>
                <w:rFonts w:eastAsia="+mn-ea"/>
                <w:b/>
                <w:bCs/>
                <w:color w:val="000000"/>
                <w:kern w:val="24"/>
                <w:sz w:val="22"/>
                <w:szCs w:val="22"/>
                <w:lang w:val="es-ES_tradnl" w:eastAsia="es-MX"/>
              </w:rPr>
              <w:t xml:space="preserve">ÍNDICE DE PRECIOS </w:t>
            </w:r>
            <w:r w:rsidRPr="006316EF">
              <w:rPr>
                <w:rFonts w:eastAsia="+mn-ea"/>
                <w:b/>
                <w:bCs/>
                <w:color w:val="000000"/>
                <w:kern w:val="24"/>
                <w:sz w:val="22"/>
                <w:szCs w:val="22"/>
                <w:lang w:val="es-ES_tradnl" w:eastAsia="es-MX"/>
              </w:rPr>
              <w:t>DE L</w:t>
            </w:r>
            <w:r>
              <w:rPr>
                <w:rFonts w:eastAsia="+mn-ea"/>
                <w:b/>
                <w:bCs/>
                <w:color w:val="000000"/>
                <w:kern w:val="24"/>
                <w:sz w:val="22"/>
                <w:szCs w:val="22"/>
                <w:lang w:val="es-ES_tradnl" w:eastAsia="es-MX"/>
              </w:rPr>
              <w:t>A CARNE</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F24A1" w:rsidRPr="008E0031" w:rsidRDefault="003F24A1" w:rsidP="004B3C2F">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3F24A1" w:rsidRDefault="003F24A1" w:rsidP="004B3C2F">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2015</w:t>
            </w:r>
          </w:p>
          <w:p w:rsidR="003F24A1" w:rsidRPr="00B35B22" w:rsidRDefault="003F24A1" w:rsidP="004B3C2F">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F24A1" w:rsidTr="004B3C2F">
        <w:tc>
          <w:tcPr>
            <w:tcW w:w="8980" w:type="dxa"/>
          </w:tcPr>
          <w:p w:rsidR="003F24A1" w:rsidRDefault="003F24A1" w:rsidP="004B3C2F">
            <w:pPr>
              <w:tabs>
                <w:tab w:val="left" w:pos="5200"/>
              </w:tabs>
              <w:spacing w:line="360" w:lineRule="auto"/>
              <w:ind w:right="23"/>
              <w:jc w:val="both"/>
              <w:rPr>
                <w:b/>
                <w:sz w:val="6"/>
                <w:szCs w:val="26"/>
              </w:rPr>
            </w:pPr>
            <w:r>
              <w:rPr>
                <w:noProof/>
                <w:lang w:val="es-MX" w:eastAsia="es-MX"/>
              </w:rPr>
              <mc:AlternateContent>
                <mc:Choice Requires="wps">
                  <w:drawing>
                    <wp:anchor distT="0" distB="0" distL="114300" distR="114300" simplePos="0" relativeHeight="251718656" behindDoc="0" locked="0" layoutInCell="1" allowOverlap="1" wp14:anchorId="1DFD2114" wp14:editId="12EAB6B6">
                      <wp:simplePos x="0" y="0"/>
                      <wp:positionH relativeFrom="column">
                        <wp:posOffset>4591050</wp:posOffset>
                      </wp:positionH>
                      <wp:positionV relativeFrom="paragraph">
                        <wp:posOffset>2252980</wp:posOffset>
                      </wp:positionV>
                      <wp:extent cx="648000" cy="14617"/>
                      <wp:effectExtent l="0" t="0" r="19050" b="23495"/>
                      <wp:wrapNone/>
                      <wp:docPr id="53" name="1 Conector recto"/>
                      <wp:cNvGraphicFramePr/>
                      <a:graphic xmlns:a="http://schemas.openxmlformats.org/drawingml/2006/main">
                        <a:graphicData uri="http://schemas.microsoft.com/office/word/2010/wordprocessingShape">
                          <wps:wsp>
                            <wps:cNvCnPr/>
                            <wps:spPr>
                              <a:xfrm>
                                <a:off x="0" y="0"/>
                                <a:ext cx="648000" cy="14617"/>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06D6E3C" id="1 Conector recto"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61.5pt,177.4pt" to="412.5pt,17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" strokecolor="windowText" strokeweight=".5pt">
                      <v:stroke joinstyle="miter"/>
                    </v:line>
                  </w:pict>
                </mc:Fallback>
              </mc:AlternateContent>
            </w:r>
            <w:r w:rsidRPr="00B35B22">
              <w:rPr>
                <w:b/>
                <w:noProof/>
                <w:sz w:val="6"/>
                <w:szCs w:val="26"/>
                <w:lang w:val="es-MX" w:eastAsia="es-MX"/>
              </w:rPr>
              <w:drawing>
                <wp:anchor distT="0" distB="0" distL="114300" distR="114300" simplePos="0" relativeHeight="251716608" behindDoc="1" locked="0" layoutInCell="1" allowOverlap="1" wp14:anchorId="517031AB" wp14:editId="582E46E2">
                  <wp:simplePos x="0" y="0"/>
                  <wp:positionH relativeFrom="column">
                    <wp:posOffset>-65405</wp:posOffset>
                  </wp:positionH>
                  <wp:positionV relativeFrom="paragraph">
                    <wp:posOffset>64770</wp:posOffset>
                  </wp:positionV>
                  <wp:extent cx="5593080" cy="2371725"/>
                  <wp:effectExtent l="0" t="0" r="0" b="9525"/>
                  <wp:wrapSquare wrapText="bothSides"/>
                  <wp:docPr id="3136"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p w:rsidR="003F24A1" w:rsidRPr="00B35B22" w:rsidRDefault="003F24A1" w:rsidP="004B3C2F">
            <w:pPr>
              <w:tabs>
                <w:tab w:val="left" w:pos="5200"/>
              </w:tabs>
              <w:spacing w:line="360" w:lineRule="auto"/>
              <w:ind w:right="23"/>
              <w:jc w:val="both"/>
              <w:rPr>
                <w:b/>
                <w:sz w:val="6"/>
                <w:szCs w:val="26"/>
              </w:rPr>
            </w:pPr>
          </w:p>
        </w:tc>
      </w:tr>
      <w:tr w:rsidR="003F24A1" w:rsidTr="004B3C2F">
        <w:tc>
          <w:tcPr>
            <w:tcW w:w="8980" w:type="dxa"/>
          </w:tcPr>
          <w:p w:rsidR="003F24A1" w:rsidRPr="00BB11D0" w:rsidRDefault="003F24A1" w:rsidP="004B3C2F">
            <w:pPr>
              <w:tabs>
                <w:tab w:val="left" w:pos="426"/>
              </w:tabs>
              <w:ind w:left="1096" w:right="-115" w:hanging="168"/>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sidRPr="000A0846">
              <w:rPr>
                <w:sz w:val="20"/>
                <w:szCs w:val="20"/>
              </w:rPr>
              <w:t xml:space="preserve">Se calcula </w:t>
            </w:r>
            <w:r>
              <w:rPr>
                <w:sz w:val="20"/>
                <w:szCs w:val="20"/>
              </w:rPr>
              <w:t>con</w:t>
            </w:r>
            <w:r w:rsidRPr="000A0846">
              <w:rPr>
                <w:sz w:val="20"/>
                <w:szCs w:val="20"/>
              </w:rPr>
              <w:t xml:space="preserve"> base </w:t>
            </w:r>
            <w:r>
              <w:rPr>
                <w:sz w:val="20"/>
                <w:szCs w:val="20"/>
              </w:rPr>
              <w:t>en los precios medios de cuatro</w:t>
            </w:r>
            <w:r w:rsidRPr="000A0846">
              <w:rPr>
                <w:sz w:val="20"/>
                <w:szCs w:val="20"/>
              </w:rPr>
              <w:t xml:space="preserve"> </w:t>
            </w:r>
            <w:r>
              <w:rPr>
                <w:sz w:val="20"/>
                <w:szCs w:val="20"/>
              </w:rPr>
              <w:t xml:space="preserve">tipos de carne, </w:t>
            </w:r>
            <w:r w:rsidRPr="000A0846">
              <w:rPr>
                <w:sz w:val="20"/>
                <w:szCs w:val="20"/>
              </w:rPr>
              <w:t>ponderad</w:t>
            </w:r>
            <w:r>
              <w:rPr>
                <w:sz w:val="20"/>
                <w:szCs w:val="20"/>
              </w:rPr>
              <w:t>os</w:t>
            </w:r>
            <w:r w:rsidRPr="000A0846">
              <w:rPr>
                <w:sz w:val="20"/>
                <w:szCs w:val="20"/>
              </w:rPr>
              <w:t xml:space="preserve"> por l</w:t>
            </w:r>
            <w:r>
              <w:rPr>
                <w:sz w:val="20"/>
                <w:szCs w:val="20"/>
              </w:rPr>
              <w:t>a</w:t>
            </w:r>
            <w:r w:rsidRPr="000A0846">
              <w:rPr>
                <w:sz w:val="20"/>
                <w:szCs w:val="20"/>
              </w:rPr>
              <w:t xml:space="preserve">s </w:t>
            </w:r>
            <w:r>
              <w:rPr>
                <w:sz w:val="20"/>
                <w:szCs w:val="20"/>
              </w:rPr>
              <w:t>cuotas medias de exportación para 2002-2004. Entre las cotizaciones figuran las de dos</w:t>
            </w:r>
            <w:r w:rsidRPr="000A0846">
              <w:rPr>
                <w:sz w:val="20"/>
                <w:szCs w:val="20"/>
              </w:rPr>
              <w:t xml:space="preserve"> productos de carne </w:t>
            </w:r>
            <w:r>
              <w:rPr>
                <w:sz w:val="20"/>
                <w:szCs w:val="20"/>
              </w:rPr>
              <w:t xml:space="preserve">de aves, tres productos de carne </w:t>
            </w:r>
            <w:r w:rsidRPr="000A0846">
              <w:rPr>
                <w:sz w:val="20"/>
                <w:szCs w:val="20"/>
              </w:rPr>
              <w:t>bovin</w:t>
            </w:r>
            <w:r>
              <w:rPr>
                <w:sz w:val="20"/>
                <w:szCs w:val="20"/>
              </w:rPr>
              <w:t xml:space="preserve">a, tres </w:t>
            </w:r>
            <w:r w:rsidRPr="000A0846">
              <w:rPr>
                <w:sz w:val="20"/>
                <w:szCs w:val="20"/>
              </w:rPr>
              <w:t>productos de carne de cerdo</w:t>
            </w:r>
            <w:r>
              <w:rPr>
                <w:sz w:val="20"/>
                <w:szCs w:val="20"/>
              </w:rPr>
              <w:t>, y un producto de carne de ovino. En el cálculo del índice se usan en total 27 cotizaciones de precios. Cuando hay más de una cotización para un determinado tipo de carne, se ponderan por los porcentajes del comercio teórico fijo. Los precios de los dos últimos meses pueden ser estimaciones sujetas a revisión. Es conveniente precisar que</w:t>
            </w:r>
            <w:r w:rsidRPr="00E74ABB">
              <w:rPr>
                <w:sz w:val="20"/>
                <w:szCs w:val="20"/>
              </w:rPr>
              <w:t>, la mayoría de los precios utilizados en el cálculo del índice de precios de la carne de la FAO no se encuentra disponible en el momento del cómputo y publicación del índice de precios de los alimentos de la Organización; por tanto, el valor del índice de precios de la carne de los meses más recientes se deriva de una combinación de precios previstos y observados. En ocasiones, esto puede requerir revisiones significativas del valor final del índice de precios de la carne de la FAO que, a su vez, podría influir en el valor del índice de precios de los alimentos de la Organización.</w:t>
            </w:r>
          </w:p>
          <w:p w:rsidR="003F24A1" w:rsidRDefault="003F24A1" w:rsidP="004B3C2F">
            <w:pPr>
              <w:tabs>
                <w:tab w:val="left" w:pos="426"/>
                <w:tab w:val="left" w:pos="8217"/>
              </w:tabs>
              <w:spacing w:before="120" w:after="60"/>
              <w:ind w:left="1054" w:right="533" w:hanging="896"/>
              <w:jc w:val="both"/>
              <w:rPr>
                <w:b/>
                <w:sz w:val="26"/>
                <w:szCs w:val="26"/>
              </w:rPr>
            </w:pPr>
            <w:r>
              <w:rPr>
                <w:sz w:val="20"/>
                <w:szCs w:val="20"/>
              </w:rPr>
              <w:t>FUENTE: Elaborado por la Comisión Nacional de los Salarios Mínimos con información de la Organización de las Naciones Unidas para la Agricultura y la Alimentación.</w:t>
            </w:r>
          </w:p>
        </w:tc>
      </w:tr>
    </w:tbl>
    <w:p w:rsidR="003F24A1" w:rsidRDefault="003F24A1" w:rsidP="003F24A1">
      <w:pPr>
        <w:spacing w:line="360" w:lineRule="auto"/>
        <w:ind w:right="23"/>
        <w:jc w:val="both"/>
        <w:rPr>
          <w:b/>
          <w:color w:val="0000FF"/>
          <w:sz w:val="26"/>
          <w:szCs w:val="26"/>
        </w:rPr>
      </w:pPr>
      <w:r>
        <w:rPr>
          <w:b/>
          <w:sz w:val="26"/>
          <w:szCs w:val="26"/>
        </w:rPr>
        <w:br w:type="page"/>
      </w:r>
      <w:r w:rsidRPr="00520726">
        <w:rPr>
          <w:b/>
          <w:color w:val="0000FF"/>
          <w:sz w:val="26"/>
          <w:szCs w:val="26"/>
        </w:rPr>
        <w:lastRenderedPageBreak/>
        <w:t>Índice de precios del azúcar (FAO)</w:t>
      </w:r>
    </w:p>
    <w:p w:rsidR="003F24A1" w:rsidRPr="00A618C8" w:rsidRDefault="003F24A1" w:rsidP="00DC2B7F">
      <w:pPr>
        <w:spacing w:before="360" w:after="360" w:line="360" w:lineRule="auto"/>
        <w:ind w:right="23"/>
        <w:jc w:val="both"/>
        <w:rPr>
          <w:sz w:val="26"/>
          <w:szCs w:val="26"/>
        </w:rPr>
      </w:pPr>
      <w:r w:rsidRPr="00A618C8">
        <w:rPr>
          <w:bCs/>
          <w:noProof/>
          <w:sz w:val="26"/>
          <w:szCs w:val="26"/>
          <w:lang w:val="es-MX"/>
        </w:rPr>
        <w:t>En febrero de 2015</w:t>
      </w:r>
      <w:r w:rsidR="00DF19A7" w:rsidRPr="00A618C8">
        <w:rPr>
          <w:bCs/>
          <w:noProof/>
          <w:sz w:val="26"/>
          <w:szCs w:val="26"/>
          <w:lang w:val="es-MX"/>
        </w:rPr>
        <w:t xml:space="preserve">, </w:t>
      </w:r>
      <w:r w:rsidR="00DF19A7" w:rsidRPr="00A618C8">
        <w:rPr>
          <w:sz w:val="26"/>
          <w:szCs w:val="26"/>
        </w:rPr>
        <w:t>según</w:t>
      </w:r>
      <w:r w:rsidRPr="00A618C8">
        <w:rPr>
          <w:sz w:val="26"/>
          <w:szCs w:val="26"/>
        </w:rPr>
        <w:t xml:space="preserve"> </w:t>
      </w:r>
      <w:r w:rsidRPr="00A618C8">
        <w:rPr>
          <w:bCs/>
          <w:noProof/>
          <w:sz w:val="26"/>
          <w:szCs w:val="26"/>
          <w:lang w:val="es-MX"/>
        </w:rPr>
        <w:t xml:space="preserve">el boletín de la </w:t>
      </w:r>
      <w:r w:rsidRPr="00A618C8">
        <w:rPr>
          <w:sz w:val="26"/>
          <w:szCs w:val="26"/>
        </w:rPr>
        <w:t>FAO, el azúcar registró un decremento de</w:t>
      </w:r>
      <w:r w:rsidRPr="00A618C8">
        <w:rPr>
          <w:bCs/>
          <w:noProof/>
          <w:sz w:val="26"/>
          <w:szCs w:val="26"/>
          <w:lang w:val="es-MX"/>
        </w:rPr>
        <w:t xml:space="preserve"> 4.89 puntos porcentuales. La disminución se debió principalmente a la mejora de las previsiones relativas a las cosechas en Brasil, el mayor productor y exportador mundial de azúcar, tras las recientes lluvias registradas en la principal región productora del país. Asimismo, el constante debilitamiento de la moneda brasileña (el real) frente al dólar estadounidense y el anuncio en India de que concederá una subvención a las exportaciones para impulsar las ventas de azúcar en el extranjero han contribuido aún más a la caída de las cotizaciones internacionales del azúcar.</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3F24A1" w:rsidTr="004B3C2F">
        <w:tc>
          <w:tcPr>
            <w:tcW w:w="8980" w:type="dxa"/>
          </w:tcPr>
          <w:p w:rsidR="003F24A1" w:rsidRPr="006316EF" w:rsidRDefault="003F24A1" w:rsidP="004B3C2F">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DEL </w:t>
            </w:r>
            <w:r w:rsidRPr="00B53E57">
              <w:rPr>
                <w:rFonts w:eastAsia="+mn-ea"/>
                <w:b/>
                <w:bCs/>
                <w:color w:val="000000"/>
                <w:kern w:val="24"/>
                <w:sz w:val="22"/>
                <w:szCs w:val="22"/>
                <w:lang w:val="es-ES_tradnl" w:eastAsia="es-MX"/>
              </w:rPr>
              <w:t>AZÚCAR</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3F24A1" w:rsidRPr="008E0031" w:rsidRDefault="003F24A1" w:rsidP="004B3C2F">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14279">
              <w:rPr>
                <w:rFonts w:eastAsia="+mn-ea"/>
                <w:b/>
                <w:bCs/>
                <w:color w:val="000000"/>
                <w:kern w:val="24"/>
                <w:sz w:val="22"/>
                <w:szCs w:val="22"/>
                <w:lang w:val="es-MX" w:eastAsia="es-MX"/>
              </w:rPr>
              <w:t>-</w:t>
            </w:r>
          </w:p>
          <w:p w:rsidR="003F24A1" w:rsidRDefault="003F24A1" w:rsidP="004B3C2F">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febrero</w:t>
            </w:r>
            <w:proofErr w:type="spellEnd"/>
            <w:r>
              <w:rPr>
                <w:rFonts w:eastAsia="+mn-ea"/>
                <w:b/>
                <w:bCs/>
                <w:color w:val="000000"/>
                <w:kern w:val="24"/>
                <w:sz w:val="22"/>
                <w:szCs w:val="22"/>
                <w:lang w:val="en-US" w:eastAsia="es-MX"/>
              </w:rPr>
              <w:t xml:space="preserve"> 2015</w:t>
            </w:r>
          </w:p>
          <w:p w:rsidR="003F24A1" w:rsidRPr="00E53F20" w:rsidRDefault="003F24A1" w:rsidP="004B3C2F">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3F24A1" w:rsidTr="004B3C2F">
        <w:tc>
          <w:tcPr>
            <w:tcW w:w="8980" w:type="dxa"/>
          </w:tcPr>
          <w:p w:rsidR="003F24A1" w:rsidRPr="00E53F20" w:rsidRDefault="003F24A1" w:rsidP="004B3C2F">
            <w:pPr>
              <w:ind w:left="1610" w:right="119" w:hanging="378"/>
              <w:jc w:val="both"/>
              <w:rPr>
                <w:bCs/>
                <w:noProof/>
                <w:sz w:val="2"/>
                <w:szCs w:val="26"/>
                <w:lang w:val="es-MX"/>
              </w:rPr>
            </w:pPr>
            <w:r w:rsidRPr="00B35B22">
              <w:rPr>
                <w:b/>
                <w:noProof/>
                <w:sz w:val="6"/>
                <w:szCs w:val="26"/>
                <w:lang w:val="es-MX" w:eastAsia="es-MX"/>
              </w:rPr>
              <w:drawing>
                <wp:anchor distT="0" distB="0" distL="114300" distR="114300" simplePos="0" relativeHeight="251717632" behindDoc="1" locked="0" layoutInCell="1" allowOverlap="1" wp14:anchorId="02623D2C" wp14:editId="0DD17823">
                  <wp:simplePos x="0" y="0"/>
                  <wp:positionH relativeFrom="column">
                    <wp:posOffset>-65405</wp:posOffset>
                  </wp:positionH>
                  <wp:positionV relativeFrom="paragraph">
                    <wp:posOffset>146050</wp:posOffset>
                  </wp:positionV>
                  <wp:extent cx="5593080" cy="2992120"/>
                  <wp:effectExtent l="0" t="0" r="0" b="0"/>
                  <wp:wrapSquare wrapText="bothSides"/>
                  <wp:docPr id="3137"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tc>
      </w:tr>
      <w:tr w:rsidR="003F24A1" w:rsidTr="004B3C2F">
        <w:tc>
          <w:tcPr>
            <w:tcW w:w="8980" w:type="dxa"/>
          </w:tcPr>
          <w:p w:rsidR="003F24A1" w:rsidRPr="00BB11D0" w:rsidRDefault="003F24A1" w:rsidP="004B3C2F">
            <w:pPr>
              <w:tabs>
                <w:tab w:val="left" w:pos="8256"/>
              </w:tabs>
              <w:ind w:left="1236" w:right="368" w:hanging="186"/>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sidRPr="00581BA8">
              <w:rPr>
                <w:sz w:val="20"/>
                <w:szCs w:val="20"/>
              </w:rPr>
              <w:t xml:space="preserve">Forma indizada de los precios del Convenio Internacional del Azúcar </w:t>
            </w:r>
            <w:r>
              <w:rPr>
                <w:sz w:val="20"/>
                <w:szCs w:val="20"/>
              </w:rPr>
              <w:t>con el período</w:t>
            </w:r>
            <w:r w:rsidRPr="00581BA8">
              <w:rPr>
                <w:sz w:val="20"/>
                <w:szCs w:val="20"/>
              </w:rPr>
              <w:t xml:space="preserve"> </w:t>
            </w:r>
            <w:r>
              <w:rPr>
                <w:sz w:val="20"/>
                <w:szCs w:val="20"/>
              </w:rPr>
              <w:t>2002</w:t>
            </w:r>
            <w:r w:rsidRPr="00581BA8">
              <w:rPr>
                <w:sz w:val="20"/>
                <w:szCs w:val="20"/>
              </w:rPr>
              <w:t>-200</w:t>
            </w:r>
            <w:r>
              <w:rPr>
                <w:sz w:val="20"/>
                <w:szCs w:val="20"/>
              </w:rPr>
              <w:t>4 como base</w:t>
            </w:r>
            <w:r w:rsidRPr="00581BA8">
              <w:rPr>
                <w:sz w:val="20"/>
                <w:szCs w:val="20"/>
              </w:rPr>
              <w:t>.</w:t>
            </w:r>
          </w:p>
          <w:p w:rsidR="003F24A1" w:rsidRPr="00E53F20" w:rsidRDefault="003F24A1" w:rsidP="004B3C2F">
            <w:pPr>
              <w:tabs>
                <w:tab w:val="left" w:pos="8256"/>
              </w:tabs>
              <w:spacing w:before="120" w:after="60"/>
              <w:ind w:left="1232" w:right="368" w:hanging="896"/>
              <w:jc w:val="both"/>
              <w:rPr>
                <w:b/>
                <w:sz w:val="26"/>
                <w:szCs w:val="26"/>
              </w:rPr>
            </w:pPr>
            <w:r w:rsidRPr="00787166">
              <w:rPr>
                <w:sz w:val="20"/>
                <w:szCs w:val="20"/>
              </w:rPr>
              <w:t xml:space="preserve">FUENTE: </w:t>
            </w:r>
            <w:r>
              <w:rPr>
                <w:sz w:val="20"/>
                <w:szCs w:val="20"/>
              </w:rPr>
              <w:t>Elaborado por la Comisión Nacional de los Salarios Mínimos con información de la Organización de las Naciones Unidas para la Agricultura y la Alimentación</w:t>
            </w:r>
            <w:r w:rsidRPr="00787166">
              <w:rPr>
                <w:sz w:val="20"/>
                <w:szCs w:val="20"/>
              </w:rPr>
              <w:t>.</w:t>
            </w:r>
          </w:p>
        </w:tc>
      </w:tr>
    </w:tbl>
    <w:p w:rsidR="003F24A1" w:rsidRDefault="003F24A1" w:rsidP="003F24A1">
      <w:pPr>
        <w:ind w:right="20"/>
        <w:jc w:val="both"/>
        <w:rPr>
          <w:b/>
          <w:sz w:val="26"/>
          <w:szCs w:val="26"/>
        </w:rPr>
      </w:pPr>
    </w:p>
    <w:p w:rsidR="003F24A1" w:rsidRPr="006C0C6A" w:rsidRDefault="003F24A1" w:rsidP="003F24A1">
      <w:pPr>
        <w:ind w:right="-1036"/>
        <w:rPr>
          <w:rStyle w:val="Hipervnculo"/>
          <w:sz w:val="20"/>
          <w:szCs w:val="20"/>
        </w:rPr>
      </w:pPr>
      <w:r w:rsidRPr="006C0C6A">
        <w:rPr>
          <w:b/>
          <w:sz w:val="20"/>
          <w:szCs w:val="20"/>
        </w:rPr>
        <w:t>Fuente de información:</w:t>
      </w:r>
      <w:r w:rsidRPr="006C0C6A">
        <w:rPr>
          <w:sz w:val="20"/>
          <w:szCs w:val="20"/>
        </w:rPr>
        <w:t xml:space="preserve"> </w:t>
      </w:r>
      <w:hyperlink r:id="rId42" w:history="1">
        <w:r w:rsidRPr="006C0C6A">
          <w:rPr>
            <w:rStyle w:val="Hipervnculo"/>
            <w:sz w:val="20"/>
            <w:szCs w:val="20"/>
          </w:rPr>
          <w:t>http://www.fao.org/fileadmin/templates/worldfood/Reports_and_docs/Food_price_indices_data.xls</w:t>
        </w:r>
      </w:hyperlink>
      <w:r w:rsidRPr="006C0C6A">
        <w:rPr>
          <w:rStyle w:val="Hipervnculo"/>
          <w:sz w:val="20"/>
          <w:szCs w:val="20"/>
        </w:rPr>
        <w:t xml:space="preserve"> </w:t>
      </w:r>
    </w:p>
    <w:p w:rsidR="003F24A1" w:rsidRPr="00970F6E" w:rsidRDefault="00935135" w:rsidP="003F24A1">
      <w:pPr>
        <w:ind w:right="-1036"/>
        <w:rPr>
          <w:color w:val="000000"/>
          <w:sz w:val="20"/>
          <w:szCs w:val="20"/>
        </w:rPr>
      </w:pPr>
      <w:hyperlink r:id="rId43" w:history="1">
        <w:r w:rsidR="003F24A1" w:rsidRPr="006C0C6A">
          <w:rPr>
            <w:rStyle w:val="Hipervnculo"/>
            <w:sz w:val="20"/>
            <w:szCs w:val="20"/>
          </w:rPr>
          <w:t>http://www.fao.org/worldfoodsituation/foodpricesindex/es/</w:t>
        </w:r>
      </w:hyperlink>
    </w:p>
    <w:p w:rsidR="00364D4D" w:rsidRPr="008E2F61" w:rsidRDefault="00364D4D" w:rsidP="00364D4D">
      <w:pPr>
        <w:ind w:right="-1036"/>
        <w:rPr>
          <w:color w:val="000000"/>
          <w:sz w:val="20"/>
          <w:szCs w:val="20"/>
        </w:rPr>
      </w:pPr>
    </w:p>
    <w:p w:rsidR="00364D4D" w:rsidRPr="00970F6E" w:rsidRDefault="00364D4D" w:rsidP="00364D4D">
      <w:pPr>
        <w:ind w:right="-1036"/>
        <w:rPr>
          <w:color w:val="000000"/>
          <w:sz w:val="20"/>
          <w:szCs w:val="20"/>
        </w:rPr>
      </w:pPr>
    </w:p>
    <w:p w:rsidR="003F24A1" w:rsidRPr="00E313B7" w:rsidRDefault="00364D4D" w:rsidP="003F24A1">
      <w:pPr>
        <w:pStyle w:val="Ttulo1"/>
        <w:jc w:val="left"/>
        <w:rPr>
          <w:color w:val="0000FF"/>
          <w:sz w:val="26"/>
          <w:szCs w:val="26"/>
        </w:rPr>
      </w:pPr>
      <w:r>
        <w:rPr>
          <w:rStyle w:val="Hipervnculo"/>
          <w:sz w:val="20"/>
          <w:szCs w:val="20"/>
        </w:rPr>
        <w:br w:type="column"/>
      </w:r>
      <w:r w:rsidR="003F24A1" w:rsidRPr="00E313B7">
        <w:rPr>
          <w:color w:val="0000FF"/>
          <w:sz w:val="26"/>
          <w:szCs w:val="26"/>
        </w:rPr>
        <w:lastRenderedPageBreak/>
        <w:t>Oferta y demanda de cereales (FAO)</w:t>
      </w:r>
    </w:p>
    <w:p w:rsidR="003F24A1" w:rsidRPr="003333BF" w:rsidRDefault="003F24A1" w:rsidP="003F24A1">
      <w:pPr>
        <w:spacing w:before="360" w:after="360" w:line="360" w:lineRule="auto"/>
        <w:jc w:val="both"/>
        <w:rPr>
          <w:bCs/>
          <w:sz w:val="26"/>
          <w:szCs w:val="26"/>
          <w:lang w:val="es-MX"/>
        </w:rPr>
      </w:pPr>
      <w:r w:rsidRPr="00574257">
        <w:rPr>
          <w:bCs/>
          <w:sz w:val="26"/>
          <w:szCs w:val="26"/>
        </w:rPr>
        <w:t xml:space="preserve">La Organización de las Naciones Unidas para la Agricultura y la Alimentación (FAO) presentó, el </w:t>
      </w:r>
      <w:r>
        <w:rPr>
          <w:bCs/>
          <w:sz w:val="26"/>
          <w:szCs w:val="26"/>
        </w:rPr>
        <w:t>5 de marzo de 2015</w:t>
      </w:r>
      <w:r w:rsidRPr="00574257">
        <w:rPr>
          <w:bCs/>
          <w:sz w:val="26"/>
          <w:szCs w:val="26"/>
        </w:rPr>
        <w:t>, la nota informativa sobre la oferta y la demanda de cereales, titulada: “</w:t>
      </w:r>
      <w:r w:rsidRPr="00BF11A5">
        <w:rPr>
          <w:bCs/>
          <w:sz w:val="26"/>
          <w:szCs w:val="26"/>
        </w:rPr>
        <w:t>Las perspectivas sobre la producción de cereales en 201</w:t>
      </w:r>
      <w:r>
        <w:rPr>
          <w:bCs/>
          <w:sz w:val="26"/>
          <w:szCs w:val="26"/>
        </w:rPr>
        <w:t>5</w:t>
      </w:r>
      <w:r w:rsidRPr="00BF11A5">
        <w:rPr>
          <w:bCs/>
          <w:sz w:val="26"/>
          <w:szCs w:val="26"/>
        </w:rPr>
        <w:t xml:space="preserve"> siguen mejorando</w:t>
      </w:r>
      <w:r w:rsidRPr="00574257">
        <w:rPr>
          <w:bCs/>
          <w:sz w:val="26"/>
          <w:szCs w:val="26"/>
        </w:rPr>
        <w:t>”.</w:t>
      </w:r>
      <w:r w:rsidRPr="00574257">
        <w:rPr>
          <w:bCs/>
          <w:sz w:val="26"/>
          <w:szCs w:val="26"/>
          <w:lang w:val="es-MX"/>
        </w:rPr>
        <w:t xml:space="preserve"> A continuación se presenta el texto y los cuadros correspondientes.</w:t>
      </w:r>
    </w:p>
    <w:tbl>
      <w:tblPr>
        <w:tblW w:w="0" w:type="auto"/>
        <w:jc w:val="center"/>
        <w:tblLook w:val="01E0" w:firstRow="1" w:lastRow="1" w:firstColumn="1" w:lastColumn="1" w:noHBand="0" w:noVBand="0"/>
      </w:tblPr>
      <w:tblGrid>
        <w:gridCol w:w="8840"/>
      </w:tblGrid>
      <w:tr w:rsidR="003F24A1" w:rsidRPr="00574257" w:rsidTr="004B3C2F">
        <w:trPr>
          <w:trHeight w:val="503"/>
          <w:jc w:val="center"/>
        </w:trPr>
        <w:tc>
          <w:tcPr>
            <w:tcW w:w="8840" w:type="dxa"/>
            <w:shd w:val="clear" w:color="auto" w:fill="auto"/>
            <w:vAlign w:val="center"/>
          </w:tcPr>
          <w:p w:rsidR="003F24A1" w:rsidRPr="00574257" w:rsidRDefault="003F24A1" w:rsidP="004B3C2F">
            <w:pPr>
              <w:jc w:val="center"/>
              <w:rPr>
                <w:b/>
              </w:rPr>
            </w:pPr>
            <w:r w:rsidRPr="00574257">
              <w:rPr>
                <w:b/>
              </w:rPr>
              <w:t>PRODUCCIÓN, UTILIZACIÓN Y EXISTENCIAS DE CEREALES</w:t>
            </w:r>
          </w:p>
          <w:p w:rsidR="003F24A1" w:rsidRPr="00574257" w:rsidRDefault="003F24A1" w:rsidP="004B3C2F">
            <w:pPr>
              <w:jc w:val="center"/>
              <w:rPr>
                <w:sz w:val="26"/>
                <w:szCs w:val="26"/>
              </w:rPr>
            </w:pPr>
            <w:r w:rsidRPr="00574257">
              <w:t>- Millones de toneladas -</w:t>
            </w:r>
          </w:p>
        </w:tc>
      </w:tr>
      <w:tr w:rsidR="003F24A1" w:rsidRPr="00574257" w:rsidTr="004B3C2F">
        <w:trPr>
          <w:trHeight w:val="4248"/>
          <w:jc w:val="center"/>
        </w:trPr>
        <w:tc>
          <w:tcPr>
            <w:tcW w:w="8840" w:type="dxa"/>
            <w:shd w:val="clear" w:color="auto" w:fill="auto"/>
          </w:tcPr>
          <w:p w:rsidR="003F24A1" w:rsidRPr="00574257" w:rsidRDefault="003F24A1" w:rsidP="004B3C2F">
            <w:pPr>
              <w:spacing w:line="360" w:lineRule="auto"/>
              <w:jc w:val="both"/>
              <w:rPr>
                <w:sz w:val="26"/>
                <w:szCs w:val="26"/>
              </w:rPr>
            </w:pPr>
            <w:r w:rsidRPr="00574257">
              <w:rPr>
                <w:bCs/>
                <w:noProof/>
                <w:sz w:val="26"/>
                <w:szCs w:val="26"/>
                <w:lang w:val="es-MX" w:eastAsia="es-MX"/>
              </w:rPr>
              <w:drawing>
                <wp:anchor distT="0" distB="0" distL="114300" distR="114300" simplePos="0" relativeHeight="251722752" behindDoc="0" locked="0" layoutInCell="1" allowOverlap="1" wp14:anchorId="198B9337" wp14:editId="1A9B601A">
                  <wp:simplePos x="0" y="0"/>
                  <wp:positionH relativeFrom="column">
                    <wp:posOffset>-25704</wp:posOffset>
                  </wp:positionH>
                  <wp:positionV relativeFrom="paragraph">
                    <wp:posOffset>267970</wp:posOffset>
                  </wp:positionV>
                  <wp:extent cx="357505" cy="1943735"/>
                  <wp:effectExtent l="0" t="0" r="4445" b="0"/>
                  <wp:wrapNone/>
                  <wp:docPr id="31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pic:cNvPicPr>
                            <a:picLocks noChangeAspect="1"/>
                          </pic:cNvPicPr>
                        </pic:nvPicPr>
                        <pic:blipFill rotWithShape="1">
                          <a:blip r:embed="rId44">
                            <a:extLst>
                              <a:ext uri="{28A0092B-C50C-407E-A947-70E740481C1C}">
                                <a14:useLocalDpi xmlns:a14="http://schemas.microsoft.com/office/drawing/2010/main" val="0"/>
                              </a:ext>
                            </a:extLst>
                          </a:blip>
                          <a:srcRect l="90264" t="23177" r="4026" b="21614"/>
                          <a:stretch/>
                        </pic:blipFill>
                        <pic:spPr>
                          <a:xfrm>
                            <a:off x="0" y="0"/>
                            <a:ext cx="357505" cy="1943735"/>
                          </a:xfrm>
                          <a:prstGeom prst="rect">
                            <a:avLst/>
                          </a:prstGeom>
                        </pic:spPr>
                      </pic:pic>
                    </a:graphicData>
                  </a:graphic>
                  <wp14:sizeRelH relativeFrom="page">
                    <wp14:pctWidth>0</wp14:pctWidth>
                  </wp14:sizeRelH>
                  <wp14:sizeRelV relativeFrom="page">
                    <wp14:pctHeight>0</wp14:pctHeight>
                  </wp14:sizeRelV>
                </wp:anchor>
              </w:drawing>
            </w:r>
            <w:r w:rsidRPr="00574257">
              <w:rPr>
                <w:noProof/>
                <w:sz w:val="20"/>
                <w:szCs w:val="20"/>
                <w:lang w:val="es-MX" w:eastAsia="es-MX"/>
              </w:rPr>
              <w:drawing>
                <wp:anchor distT="0" distB="0" distL="114300" distR="114300" simplePos="0" relativeHeight="251721728" behindDoc="0" locked="0" layoutInCell="1" allowOverlap="1" wp14:anchorId="55C284FC" wp14:editId="22749296">
                  <wp:simplePos x="0" y="0"/>
                  <wp:positionH relativeFrom="column">
                    <wp:posOffset>5235271</wp:posOffset>
                  </wp:positionH>
                  <wp:positionV relativeFrom="paragraph">
                    <wp:posOffset>283845</wp:posOffset>
                  </wp:positionV>
                  <wp:extent cx="304165" cy="1871980"/>
                  <wp:effectExtent l="0" t="0" r="635" b="0"/>
                  <wp:wrapNone/>
                  <wp:docPr id="314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rotWithShape="1">
                          <a:blip r:embed="rId44">
                            <a:extLst>
                              <a:ext uri="{28A0092B-C50C-407E-A947-70E740481C1C}">
                                <a14:useLocalDpi xmlns:a14="http://schemas.microsoft.com/office/drawing/2010/main" val="0"/>
                              </a:ext>
                            </a:extLst>
                          </a:blip>
                          <a:srcRect l="6076" t="22917" r="88946" b="22656"/>
                          <a:stretch/>
                        </pic:blipFill>
                        <pic:spPr>
                          <a:xfrm>
                            <a:off x="0" y="0"/>
                            <a:ext cx="304165" cy="1871980"/>
                          </a:xfrm>
                          <a:prstGeom prst="rect">
                            <a:avLst/>
                          </a:prstGeom>
                        </pic:spPr>
                      </pic:pic>
                    </a:graphicData>
                  </a:graphic>
                  <wp14:sizeRelH relativeFrom="page">
                    <wp14:pctWidth>0</wp14:pctWidth>
                  </wp14:sizeRelH>
                  <wp14:sizeRelV relativeFrom="page">
                    <wp14:pctHeight>0</wp14:pctHeight>
                  </wp14:sizeRelV>
                </wp:anchor>
              </w:drawing>
            </w:r>
            <w:r w:rsidRPr="00574257">
              <w:rPr>
                <w:noProof/>
                <w:sz w:val="26"/>
                <w:szCs w:val="26"/>
                <w:lang w:val="es-MX" w:eastAsia="es-MX"/>
              </w:rPr>
              <w:drawing>
                <wp:anchor distT="0" distB="0" distL="114300" distR="114300" simplePos="0" relativeHeight="251720704" behindDoc="0" locked="0" layoutInCell="1" allowOverlap="1" wp14:anchorId="6D285291" wp14:editId="3EF468DB">
                  <wp:simplePos x="0" y="0"/>
                  <wp:positionH relativeFrom="column">
                    <wp:posOffset>-35532</wp:posOffset>
                  </wp:positionH>
                  <wp:positionV relativeFrom="paragraph">
                    <wp:posOffset>5301</wp:posOffset>
                  </wp:positionV>
                  <wp:extent cx="5607685" cy="2639833"/>
                  <wp:effectExtent l="0" t="0" r="0" b="8255"/>
                  <wp:wrapNone/>
                  <wp:docPr id="3141" name="Gráfico 31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V relativeFrom="margin">
                    <wp14:pctHeight>0</wp14:pctHeight>
                  </wp14:sizeRelV>
                </wp:anchor>
              </w:drawing>
            </w: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p w:rsidR="003F24A1" w:rsidRPr="00574257" w:rsidRDefault="003F24A1" w:rsidP="004B3C2F">
            <w:pPr>
              <w:spacing w:line="360" w:lineRule="auto"/>
              <w:jc w:val="both"/>
              <w:rPr>
                <w:sz w:val="26"/>
                <w:szCs w:val="26"/>
              </w:rPr>
            </w:pPr>
          </w:p>
        </w:tc>
      </w:tr>
      <w:tr w:rsidR="003F24A1" w:rsidRPr="00574257" w:rsidTr="004B3C2F">
        <w:trPr>
          <w:jc w:val="center"/>
        </w:trPr>
        <w:tc>
          <w:tcPr>
            <w:tcW w:w="8840" w:type="dxa"/>
            <w:shd w:val="clear" w:color="auto" w:fill="auto"/>
          </w:tcPr>
          <w:p w:rsidR="003F24A1" w:rsidRDefault="003F24A1" w:rsidP="004B3C2F">
            <w:pPr>
              <w:ind w:left="1600" w:right="11" w:hanging="392"/>
              <w:rPr>
                <w:sz w:val="20"/>
                <w:szCs w:val="20"/>
              </w:rPr>
            </w:pPr>
            <w:r>
              <w:rPr>
                <w:sz w:val="20"/>
                <w:szCs w:val="20"/>
              </w:rPr>
              <w:t>* Pronóstico.</w:t>
            </w:r>
          </w:p>
          <w:p w:rsidR="003F24A1" w:rsidRPr="00574257" w:rsidRDefault="003F24A1" w:rsidP="004B3C2F">
            <w:pPr>
              <w:ind w:left="1357" w:right="11" w:hanging="882"/>
              <w:rPr>
                <w:sz w:val="20"/>
                <w:szCs w:val="20"/>
              </w:rPr>
            </w:pPr>
            <w:r w:rsidRPr="00574257">
              <w:rPr>
                <w:sz w:val="20"/>
                <w:szCs w:val="20"/>
              </w:rPr>
              <w:t>FUENTE: Elaborado por la Comisión Nacional de los Salarios Mínimos con información de la FAO.</w:t>
            </w:r>
          </w:p>
        </w:tc>
      </w:tr>
    </w:tbl>
    <w:p w:rsidR="003F24A1" w:rsidRDefault="003F24A1" w:rsidP="003F24A1">
      <w:pPr>
        <w:spacing w:before="360" w:after="360" w:line="360" w:lineRule="auto"/>
        <w:jc w:val="both"/>
        <w:rPr>
          <w:sz w:val="26"/>
          <w:szCs w:val="26"/>
        </w:rPr>
      </w:pPr>
      <w:r w:rsidRPr="009C0CC8">
        <w:rPr>
          <w:sz w:val="26"/>
          <w:szCs w:val="26"/>
        </w:rPr>
        <w:t xml:space="preserve">La estimación de la FAO de la producción mundial de cereales en 2014 y su previsión sobre las existencias mundiales de cereales en 2015 se </w:t>
      </w:r>
      <w:r w:rsidR="00D45ACE" w:rsidRPr="009C0CC8">
        <w:rPr>
          <w:sz w:val="26"/>
          <w:szCs w:val="26"/>
        </w:rPr>
        <w:t>ha</w:t>
      </w:r>
      <w:r w:rsidRPr="009C0CC8">
        <w:rPr>
          <w:sz w:val="26"/>
          <w:szCs w:val="26"/>
        </w:rPr>
        <w:t xml:space="preserve"> incrementado nuevamente. La producción mundial de cereales en 2014 se estima actualmente en 2</w:t>
      </w:r>
      <w:r>
        <w:rPr>
          <w:sz w:val="26"/>
          <w:szCs w:val="26"/>
        </w:rPr>
        <w:t xml:space="preserve"> mil</w:t>
      </w:r>
      <w:r w:rsidRPr="009C0CC8">
        <w:rPr>
          <w:sz w:val="26"/>
          <w:szCs w:val="26"/>
        </w:rPr>
        <w:t xml:space="preserve"> 54</w:t>
      </w:r>
      <w:r>
        <w:rPr>
          <w:sz w:val="26"/>
          <w:szCs w:val="26"/>
        </w:rPr>
        <w:t>1.8</w:t>
      </w:r>
      <w:r w:rsidRPr="009C0CC8">
        <w:rPr>
          <w:sz w:val="26"/>
          <w:szCs w:val="26"/>
        </w:rPr>
        <w:t xml:space="preserve"> millones de toneladas, 8 millones de toneladas más de lo previsto en febrero; la mayor parte de la revisión resulta del aumento de la producción de trigo (en Argentina y Canadá) y de cereales secundarios (en los países de la Comunidad de Estados Independientes, India y Nigeria). La estimación más reciente de la producción mundial en 2014 representa un crecimiento de aproximadamente el 1</w:t>
      </w:r>
      <w:r>
        <w:rPr>
          <w:sz w:val="26"/>
          <w:szCs w:val="26"/>
        </w:rPr>
        <w:t>.0</w:t>
      </w:r>
      <w:r w:rsidRPr="009C0CC8">
        <w:rPr>
          <w:sz w:val="26"/>
          <w:szCs w:val="26"/>
        </w:rPr>
        <w:t xml:space="preserve">% (20 millones de toneladas) en comparación con 2013, gran parte del cual obedece al aumento de la </w:t>
      </w:r>
      <w:r w:rsidRPr="009C0CC8">
        <w:rPr>
          <w:sz w:val="26"/>
          <w:szCs w:val="26"/>
        </w:rPr>
        <w:lastRenderedPageBreak/>
        <w:t>producción de trigo en Argentina, la Comunidad de Estados Independientes (CEI) y la Unión Europea (UE)</w:t>
      </w:r>
      <w:r>
        <w:rPr>
          <w:sz w:val="26"/>
          <w:szCs w:val="26"/>
        </w:rPr>
        <w:t xml:space="preserve">. </w:t>
      </w:r>
    </w:p>
    <w:p w:rsidR="003F24A1" w:rsidRPr="009F344C" w:rsidRDefault="003F24A1" w:rsidP="003F24A1">
      <w:pPr>
        <w:spacing w:before="360" w:after="360" w:line="360" w:lineRule="auto"/>
        <w:jc w:val="both"/>
        <w:rPr>
          <w:sz w:val="26"/>
          <w:szCs w:val="26"/>
        </w:rPr>
      </w:pPr>
      <w:r w:rsidRPr="009C0CC8">
        <w:rPr>
          <w:sz w:val="26"/>
          <w:szCs w:val="26"/>
        </w:rPr>
        <w:t xml:space="preserve">La cosecha de trigo de invierno de 2015 ya se está desarrollando o finalizará pronto el período de reposo vegetativo en el hemisferio norte, donde se obtiene el grueso de la producción mundial, mientras que en algunos países ya está realizándose la siembra de primavera. El primer pronóstico de la FAO sobre la producción de trigo en 2015 se sitúa en 720 millones de toneladas, incluida la previsión inicial respecto de los países del </w:t>
      </w:r>
      <w:r>
        <w:rPr>
          <w:sz w:val="26"/>
          <w:szCs w:val="26"/>
        </w:rPr>
        <w:t>H</w:t>
      </w:r>
      <w:r w:rsidRPr="009C0CC8">
        <w:rPr>
          <w:sz w:val="26"/>
          <w:szCs w:val="26"/>
        </w:rPr>
        <w:t xml:space="preserve">emisferio </w:t>
      </w:r>
      <w:r>
        <w:rPr>
          <w:sz w:val="26"/>
          <w:szCs w:val="26"/>
        </w:rPr>
        <w:t>S</w:t>
      </w:r>
      <w:r w:rsidRPr="009C0CC8">
        <w:rPr>
          <w:sz w:val="26"/>
          <w:szCs w:val="26"/>
        </w:rPr>
        <w:t>ur donde se comenzará a sembrar en agosto. De confirmarse dicho pronóstico, la producción sería un 1</w:t>
      </w:r>
      <w:r>
        <w:rPr>
          <w:sz w:val="26"/>
          <w:szCs w:val="26"/>
        </w:rPr>
        <w:t>.0</w:t>
      </w:r>
      <w:r w:rsidRPr="009C0CC8">
        <w:rPr>
          <w:sz w:val="26"/>
          <w:szCs w:val="26"/>
        </w:rPr>
        <w:t>% inferior a la producción récord de 2014, principalmente debido a una reducción prevista en Europa, ya que se espera que los rendimientos en la UE y la región de la CEI desciendan hasta sus promedios desde el máximo registrado el año pasado. En América del Norte y Asia, las perspectivas son más favorables, sobre todo a causa de la mejora prevista de los rendimientos; sin embargo, no es probable que el aumento de la cosecha previsto compense la reducción en Europa.</w:t>
      </w:r>
    </w:p>
    <w:tbl>
      <w:tblPr>
        <w:tblW w:w="0" w:type="auto"/>
        <w:jc w:val="center"/>
        <w:tblCellMar>
          <w:left w:w="70" w:type="dxa"/>
          <w:right w:w="70" w:type="dxa"/>
        </w:tblCellMar>
        <w:tblLook w:val="0000" w:firstRow="0" w:lastRow="0" w:firstColumn="0" w:lastColumn="0" w:noHBand="0" w:noVBand="0"/>
      </w:tblPr>
      <w:tblGrid>
        <w:gridCol w:w="996"/>
        <w:gridCol w:w="1731"/>
        <w:gridCol w:w="1750"/>
        <w:gridCol w:w="1693"/>
        <w:gridCol w:w="1711"/>
      </w:tblGrid>
      <w:tr w:rsidR="003F24A1" w:rsidRPr="00574257" w:rsidTr="004B3C2F">
        <w:trPr>
          <w:trHeight w:val="419"/>
          <w:jc w:val="center"/>
        </w:trPr>
        <w:tc>
          <w:tcPr>
            <w:tcW w:w="7881" w:type="dxa"/>
            <w:gridSpan w:val="5"/>
            <w:tcBorders>
              <w:top w:val="nil"/>
              <w:left w:val="nil"/>
              <w:bottom w:val="single" w:sz="4" w:space="0" w:color="FFFFFF" w:themeColor="background1"/>
              <w:right w:val="nil"/>
            </w:tcBorders>
            <w:shd w:val="clear" w:color="auto" w:fill="auto"/>
            <w:vAlign w:val="center"/>
          </w:tcPr>
          <w:p w:rsidR="003F24A1" w:rsidRPr="00574257" w:rsidRDefault="003F24A1" w:rsidP="004B3C2F">
            <w:pPr>
              <w:jc w:val="center"/>
              <w:rPr>
                <w:i/>
                <w:iCs/>
                <w:sz w:val="20"/>
                <w:szCs w:val="20"/>
              </w:rPr>
            </w:pPr>
            <w:r w:rsidRPr="00574257">
              <w:br w:type="column"/>
            </w:r>
            <w:r w:rsidRPr="00574257">
              <w:rPr>
                <w:sz w:val="26"/>
                <w:szCs w:val="26"/>
                <w:lang w:val="es-MX"/>
              </w:rPr>
              <w:br w:type="column"/>
            </w:r>
            <w:r w:rsidRPr="00574257">
              <w:rPr>
                <w:b/>
                <w:bCs/>
                <w:sz w:val="22"/>
                <w:szCs w:val="22"/>
              </w:rPr>
              <w:t xml:space="preserve">PRODUCCIÓN </w:t>
            </w:r>
            <w:r w:rsidRPr="00574257">
              <w:rPr>
                <w:sz w:val="20"/>
                <w:szCs w:val="20"/>
                <w:u w:val="single"/>
                <w:vertAlign w:val="superscript"/>
              </w:rPr>
              <w:t>1</w:t>
            </w:r>
            <w:r w:rsidRPr="00574257">
              <w:rPr>
                <w:sz w:val="20"/>
                <w:szCs w:val="20"/>
                <w:vertAlign w:val="superscript"/>
              </w:rPr>
              <w:t>/</w:t>
            </w:r>
            <w:r w:rsidRPr="00574257">
              <w:rPr>
                <w:i/>
                <w:iCs/>
                <w:sz w:val="20"/>
                <w:szCs w:val="20"/>
              </w:rPr>
              <w:t xml:space="preserve"> </w:t>
            </w:r>
          </w:p>
          <w:p w:rsidR="003F24A1" w:rsidRPr="00574257" w:rsidRDefault="003F24A1" w:rsidP="004B3C2F">
            <w:pPr>
              <w:jc w:val="center"/>
              <w:rPr>
                <w:b/>
                <w:bCs/>
                <w:sz w:val="22"/>
                <w:szCs w:val="22"/>
              </w:rPr>
            </w:pPr>
            <w:r w:rsidRPr="00574257">
              <w:rPr>
                <w:b/>
                <w:iCs/>
                <w:sz w:val="22"/>
                <w:szCs w:val="22"/>
              </w:rPr>
              <w:t>- Millones de toneladas -</w:t>
            </w:r>
          </w:p>
        </w:tc>
      </w:tr>
      <w:tr w:rsidR="003F24A1" w:rsidRPr="00574257" w:rsidTr="004B3C2F">
        <w:trPr>
          <w:trHeight w:val="996"/>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1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w:t>
            </w:r>
          </w:p>
        </w:tc>
        <w:tc>
          <w:tcPr>
            <w:tcW w:w="17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trigo</w:t>
            </w:r>
          </w:p>
        </w:tc>
        <w:tc>
          <w:tcPr>
            <w:tcW w:w="1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 secundarios</w:t>
            </w:r>
          </w:p>
        </w:tc>
        <w:tc>
          <w:tcPr>
            <w:tcW w:w="17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 xml:space="preserve">Mercado </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mundial de arroz</w:t>
            </w:r>
          </w:p>
        </w:tc>
      </w:tr>
      <w:tr w:rsidR="003F24A1" w:rsidRPr="00574257" w:rsidTr="004B3C2F">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1731"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102" w:right="478"/>
              <w:jc w:val="right"/>
              <w:rPr>
                <w:sz w:val="20"/>
                <w:szCs w:val="20"/>
              </w:rPr>
            </w:pPr>
            <w:r>
              <w:rPr>
                <w:sz w:val="20"/>
                <w:szCs w:val="20"/>
              </w:rPr>
              <w:t>2 253.5</w:t>
            </w:r>
          </w:p>
        </w:tc>
        <w:tc>
          <w:tcPr>
            <w:tcW w:w="1750"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102" w:right="492"/>
              <w:jc w:val="right"/>
              <w:rPr>
                <w:sz w:val="20"/>
                <w:szCs w:val="20"/>
              </w:rPr>
            </w:pPr>
            <w:r w:rsidRPr="00574257">
              <w:rPr>
                <w:sz w:val="20"/>
                <w:szCs w:val="20"/>
              </w:rPr>
              <w:t>653.8</w:t>
            </w:r>
          </w:p>
        </w:tc>
        <w:tc>
          <w:tcPr>
            <w:tcW w:w="1693"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102" w:right="441"/>
              <w:jc w:val="right"/>
              <w:rPr>
                <w:sz w:val="20"/>
                <w:szCs w:val="20"/>
              </w:rPr>
            </w:pPr>
            <w:r>
              <w:rPr>
                <w:sz w:val="20"/>
                <w:szCs w:val="20"/>
              </w:rPr>
              <w:t>1 129.9</w:t>
            </w:r>
          </w:p>
        </w:tc>
        <w:tc>
          <w:tcPr>
            <w:tcW w:w="1711"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102" w:right="507"/>
              <w:jc w:val="right"/>
              <w:rPr>
                <w:sz w:val="20"/>
                <w:szCs w:val="20"/>
              </w:rPr>
            </w:pPr>
            <w:r>
              <w:rPr>
                <w:sz w:val="20"/>
                <w:szCs w:val="20"/>
              </w:rPr>
              <w:t>469.8</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173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78"/>
              <w:jc w:val="right"/>
              <w:rPr>
                <w:sz w:val="20"/>
                <w:szCs w:val="20"/>
              </w:rPr>
            </w:pPr>
            <w:r>
              <w:rPr>
                <w:sz w:val="20"/>
                <w:szCs w:val="20"/>
              </w:rPr>
              <w:t>2 349.6</w:t>
            </w:r>
          </w:p>
        </w:tc>
        <w:tc>
          <w:tcPr>
            <w:tcW w:w="175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92"/>
              <w:jc w:val="right"/>
              <w:rPr>
                <w:sz w:val="20"/>
                <w:szCs w:val="20"/>
              </w:rPr>
            </w:pPr>
            <w:r>
              <w:rPr>
                <w:sz w:val="20"/>
                <w:szCs w:val="20"/>
              </w:rPr>
              <w:t>701.9</w:t>
            </w:r>
          </w:p>
        </w:tc>
        <w:tc>
          <w:tcPr>
            <w:tcW w:w="16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41"/>
              <w:jc w:val="right"/>
              <w:rPr>
                <w:sz w:val="20"/>
                <w:szCs w:val="20"/>
              </w:rPr>
            </w:pPr>
            <w:r>
              <w:rPr>
                <w:sz w:val="20"/>
                <w:szCs w:val="20"/>
              </w:rPr>
              <w:t>1 161.6</w:t>
            </w:r>
          </w:p>
        </w:tc>
        <w:tc>
          <w:tcPr>
            <w:tcW w:w="171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507"/>
              <w:jc w:val="right"/>
              <w:rPr>
                <w:sz w:val="20"/>
                <w:szCs w:val="20"/>
              </w:rPr>
            </w:pPr>
            <w:r>
              <w:rPr>
                <w:sz w:val="20"/>
                <w:szCs w:val="20"/>
              </w:rPr>
              <w:t>486.0</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173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78"/>
              <w:jc w:val="right"/>
              <w:rPr>
                <w:sz w:val="20"/>
                <w:szCs w:val="20"/>
              </w:rPr>
            </w:pPr>
            <w:r>
              <w:rPr>
                <w:sz w:val="20"/>
                <w:szCs w:val="20"/>
              </w:rPr>
              <w:t>2 299.6</w:t>
            </w:r>
          </w:p>
        </w:tc>
        <w:tc>
          <w:tcPr>
            <w:tcW w:w="175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92"/>
              <w:jc w:val="right"/>
              <w:rPr>
                <w:sz w:val="20"/>
                <w:szCs w:val="20"/>
              </w:rPr>
            </w:pPr>
            <w:r>
              <w:rPr>
                <w:sz w:val="20"/>
                <w:szCs w:val="20"/>
              </w:rPr>
              <w:t>659.5</w:t>
            </w:r>
          </w:p>
        </w:tc>
        <w:tc>
          <w:tcPr>
            <w:tcW w:w="16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41"/>
              <w:jc w:val="right"/>
              <w:rPr>
                <w:sz w:val="20"/>
                <w:szCs w:val="20"/>
              </w:rPr>
            </w:pPr>
            <w:r>
              <w:rPr>
                <w:sz w:val="20"/>
                <w:szCs w:val="20"/>
              </w:rPr>
              <w:t>1 149.6</w:t>
            </w:r>
          </w:p>
        </w:tc>
        <w:tc>
          <w:tcPr>
            <w:tcW w:w="171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507"/>
              <w:jc w:val="right"/>
              <w:rPr>
                <w:sz w:val="20"/>
                <w:szCs w:val="20"/>
              </w:rPr>
            </w:pPr>
            <w:r w:rsidRPr="00574257">
              <w:rPr>
                <w:sz w:val="20"/>
                <w:szCs w:val="20"/>
              </w:rPr>
              <w:t>49</w:t>
            </w:r>
            <w:r>
              <w:rPr>
                <w:sz w:val="20"/>
                <w:szCs w:val="20"/>
              </w:rPr>
              <w:t>0</w:t>
            </w:r>
            <w:r w:rsidRPr="00574257">
              <w:rPr>
                <w:sz w:val="20"/>
                <w:szCs w:val="20"/>
              </w:rPr>
              <w:t>.</w:t>
            </w:r>
            <w:r>
              <w:rPr>
                <w:sz w:val="20"/>
                <w:szCs w:val="20"/>
              </w:rPr>
              <w:t>5</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173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78"/>
              <w:jc w:val="right"/>
              <w:rPr>
                <w:sz w:val="20"/>
                <w:szCs w:val="20"/>
              </w:rPr>
            </w:pPr>
            <w:r w:rsidRPr="00574257">
              <w:rPr>
                <w:sz w:val="20"/>
                <w:szCs w:val="20"/>
              </w:rPr>
              <w:t>2 5</w:t>
            </w:r>
            <w:r>
              <w:rPr>
                <w:sz w:val="20"/>
                <w:szCs w:val="20"/>
              </w:rPr>
              <w:t>22.2</w:t>
            </w:r>
          </w:p>
        </w:tc>
        <w:tc>
          <w:tcPr>
            <w:tcW w:w="175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92"/>
              <w:jc w:val="right"/>
              <w:rPr>
                <w:sz w:val="20"/>
                <w:szCs w:val="20"/>
              </w:rPr>
            </w:pPr>
            <w:r w:rsidRPr="00574257">
              <w:rPr>
                <w:sz w:val="20"/>
                <w:szCs w:val="20"/>
              </w:rPr>
              <w:t>71</w:t>
            </w:r>
            <w:r>
              <w:rPr>
                <w:sz w:val="20"/>
                <w:szCs w:val="20"/>
              </w:rPr>
              <w:t>6.5</w:t>
            </w:r>
          </w:p>
        </w:tc>
        <w:tc>
          <w:tcPr>
            <w:tcW w:w="16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41"/>
              <w:jc w:val="right"/>
              <w:rPr>
                <w:sz w:val="20"/>
                <w:szCs w:val="20"/>
              </w:rPr>
            </w:pPr>
            <w:r w:rsidRPr="00574257">
              <w:rPr>
                <w:sz w:val="20"/>
                <w:szCs w:val="20"/>
              </w:rPr>
              <w:t>1 3</w:t>
            </w:r>
            <w:r>
              <w:rPr>
                <w:sz w:val="20"/>
                <w:szCs w:val="20"/>
              </w:rPr>
              <w:t>08.9</w:t>
            </w:r>
          </w:p>
        </w:tc>
        <w:tc>
          <w:tcPr>
            <w:tcW w:w="171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507"/>
              <w:jc w:val="right"/>
              <w:rPr>
                <w:sz w:val="20"/>
                <w:szCs w:val="20"/>
              </w:rPr>
            </w:pPr>
            <w:r w:rsidRPr="00574257">
              <w:rPr>
                <w:sz w:val="20"/>
                <w:szCs w:val="20"/>
              </w:rPr>
              <w:t>49</w:t>
            </w:r>
            <w:r>
              <w:rPr>
                <w:sz w:val="20"/>
                <w:szCs w:val="20"/>
              </w:rPr>
              <w:t>6.9</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173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78"/>
              <w:jc w:val="right"/>
              <w:rPr>
                <w:sz w:val="20"/>
                <w:szCs w:val="20"/>
              </w:rPr>
            </w:pPr>
            <w:r w:rsidRPr="00574257">
              <w:rPr>
                <w:sz w:val="20"/>
                <w:szCs w:val="20"/>
              </w:rPr>
              <w:t xml:space="preserve">2 </w:t>
            </w:r>
            <w:r>
              <w:rPr>
                <w:sz w:val="20"/>
                <w:szCs w:val="20"/>
              </w:rPr>
              <w:t>541.8</w:t>
            </w:r>
          </w:p>
        </w:tc>
        <w:tc>
          <w:tcPr>
            <w:tcW w:w="175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92"/>
              <w:jc w:val="right"/>
              <w:rPr>
                <w:sz w:val="20"/>
                <w:szCs w:val="20"/>
              </w:rPr>
            </w:pPr>
            <w:r>
              <w:rPr>
                <w:sz w:val="20"/>
                <w:szCs w:val="20"/>
              </w:rPr>
              <w:t>727.2</w:t>
            </w:r>
          </w:p>
        </w:tc>
        <w:tc>
          <w:tcPr>
            <w:tcW w:w="16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441"/>
              <w:jc w:val="right"/>
              <w:rPr>
                <w:sz w:val="20"/>
                <w:szCs w:val="20"/>
              </w:rPr>
            </w:pPr>
            <w:r w:rsidRPr="00574257">
              <w:rPr>
                <w:sz w:val="20"/>
                <w:szCs w:val="20"/>
              </w:rPr>
              <w:t xml:space="preserve">1 </w:t>
            </w:r>
            <w:r>
              <w:rPr>
                <w:sz w:val="20"/>
                <w:szCs w:val="20"/>
              </w:rPr>
              <w:t>318.7</w:t>
            </w:r>
          </w:p>
        </w:tc>
        <w:tc>
          <w:tcPr>
            <w:tcW w:w="171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102" w:right="507"/>
              <w:jc w:val="right"/>
              <w:rPr>
                <w:sz w:val="20"/>
                <w:szCs w:val="20"/>
              </w:rPr>
            </w:pPr>
            <w:r>
              <w:rPr>
                <w:sz w:val="20"/>
                <w:szCs w:val="20"/>
              </w:rPr>
              <w:t>495.9</w:t>
            </w:r>
          </w:p>
        </w:tc>
      </w:tr>
      <w:tr w:rsidR="003F24A1" w:rsidRPr="00574257" w:rsidTr="004B3C2F">
        <w:trPr>
          <w:trHeight w:val="1038"/>
          <w:jc w:val="center"/>
        </w:trPr>
        <w:tc>
          <w:tcPr>
            <w:tcW w:w="7881" w:type="dxa"/>
            <w:gridSpan w:val="5"/>
            <w:tcBorders>
              <w:top w:val="single" w:sz="4" w:space="0" w:color="auto"/>
              <w:left w:val="nil"/>
              <w:bottom w:val="nil"/>
              <w:right w:val="nil"/>
            </w:tcBorders>
            <w:shd w:val="clear" w:color="auto" w:fill="auto"/>
            <w:noWrap/>
            <w:vAlign w:val="bottom"/>
          </w:tcPr>
          <w:p w:rsidR="003F24A1" w:rsidRPr="00574257" w:rsidRDefault="003F24A1" w:rsidP="004B3C2F">
            <w:pPr>
              <w:spacing w:before="120"/>
              <w:ind w:left="878" w:right="-67" w:hanging="150"/>
              <w:jc w:val="both"/>
              <w:rPr>
                <w:sz w:val="20"/>
                <w:szCs w:val="20"/>
              </w:rPr>
            </w:pPr>
            <w:r w:rsidRPr="00574257">
              <w:rPr>
                <w:sz w:val="20"/>
                <w:szCs w:val="20"/>
                <w:u w:val="single"/>
                <w:vertAlign w:val="superscript"/>
              </w:rPr>
              <w:t>1</w:t>
            </w:r>
            <w:r w:rsidRPr="00574257">
              <w:rPr>
                <w:sz w:val="20"/>
                <w:szCs w:val="20"/>
                <w:vertAlign w:val="superscript"/>
              </w:rPr>
              <w:t>/</w:t>
            </w:r>
            <w:r w:rsidRPr="00574257">
              <w:rPr>
                <w:sz w:val="6"/>
                <w:szCs w:val="20"/>
                <w:vertAlign w:val="superscript"/>
              </w:rPr>
              <w:t xml:space="preserve">    </w:t>
            </w:r>
            <w:r w:rsidRPr="00574257">
              <w:rPr>
                <w:sz w:val="20"/>
                <w:szCs w:val="20"/>
              </w:rPr>
              <w:t xml:space="preserve">Los datos sobre producción se refieren al primer año (civil) indicado. Por producción de arroz se entiende producción de arroz elaborado. </w:t>
            </w:r>
          </w:p>
          <w:p w:rsidR="003F24A1" w:rsidRPr="009015FA" w:rsidRDefault="003F24A1" w:rsidP="004B3C2F">
            <w:pPr>
              <w:ind w:left="899" w:right="-67" w:hanging="224"/>
              <w:jc w:val="both"/>
              <w:rPr>
                <w:sz w:val="20"/>
                <w:szCs w:val="20"/>
              </w:rPr>
            </w:pPr>
            <w:r w:rsidRPr="00574257">
              <w:rPr>
                <w:sz w:val="20"/>
                <w:szCs w:val="20"/>
              </w:rPr>
              <w:t>*  Estimación.</w:t>
            </w:r>
          </w:p>
          <w:p w:rsidR="003F24A1" w:rsidRPr="009015FA" w:rsidRDefault="003F24A1" w:rsidP="004B3C2F">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ind w:left="885" w:right="-67" w:hanging="885"/>
              <w:jc w:val="both"/>
            </w:pPr>
            <w:r w:rsidRPr="009015FA">
              <w:rPr>
                <w:sz w:val="20"/>
                <w:szCs w:val="20"/>
              </w:rPr>
              <w:t>FUENTE</w:t>
            </w:r>
            <w:r w:rsidRPr="00574257">
              <w:rPr>
                <w:sz w:val="20"/>
                <w:szCs w:val="20"/>
              </w:rPr>
              <w:t>: Elaborado por la Comisión Nacional de los Salarios Mínimos con información de la FAO.</w:t>
            </w:r>
          </w:p>
        </w:tc>
      </w:tr>
    </w:tbl>
    <w:p w:rsidR="003F24A1" w:rsidRPr="00F11667" w:rsidRDefault="003F24A1" w:rsidP="003F24A1">
      <w:pPr>
        <w:shd w:val="clear" w:color="auto" w:fill="FFFFFF"/>
        <w:spacing w:before="360" w:after="360" w:line="360" w:lineRule="auto"/>
        <w:jc w:val="both"/>
        <w:textAlignment w:val="top"/>
        <w:rPr>
          <w:bCs/>
          <w:sz w:val="26"/>
          <w:szCs w:val="26"/>
        </w:rPr>
      </w:pPr>
      <w:r w:rsidRPr="009C0CC8">
        <w:rPr>
          <w:bCs/>
          <w:sz w:val="26"/>
          <w:szCs w:val="26"/>
        </w:rPr>
        <w:t>En cuanto a la utilización de cereales a nivel mundial en 2014/15, se espera que alcance los 2</w:t>
      </w:r>
      <w:r>
        <w:rPr>
          <w:bCs/>
          <w:sz w:val="26"/>
          <w:szCs w:val="26"/>
        </w:rPr>
        <w:t xml:space="preserve"> mil</w:t>
      </w:r>
      <w:r w:rsidRPr="009C0CC8">
        <w:rPr>
          <w:bCs/>
          <w:sz w:val="26"/>
          <w:szCs w:val="26"/>
        </w:rPr>
        <w:t xml:space="preserve"> 475</w:t>
      </w:r>
      <w:r>
        <w:rPr>
          <w:bCs/>
          <w:sz w:val="26"/>
          <w:szCs w:val="26"/>
        </w:rPr>
        <w:t>.2</w:t>
      </w:r>
      <w:r w:rsidRPr="009C0CC8">
        <w:rPr>
          <w:bCs/>
          <w:sz w:val="26"/>
          <w:szCs w:val="26"/>
        </w:rPr>
        <w:t xml:space="preserve"> millones de toneladas, es decir, 8 millones de toneladas más </w:t>
      </w:r>
      <w:r w:rsidRPr="009C0CC8">
        <w:rPr>
          <w:bCs/>
          <w:sz w:val="26"/>
          <w:szCs w:val="26"/>
        </w:rPr>
        <w:lastRenderedPageBreak/>
        <w:t xml:space="preserve">de lo previsto en febrero; esta revisión se debe fundamentalmente a la previsión de una mayor utilización de sorgo y cebada para </w:t>
      </w:r>
      <w:r>
        <w:rPr>
          <w:bCs/>
          <w:sz w:val="26"/>
          <w:szCs w:val="26"/>
        </w:rPr>
        <w:t>forrajes</w:t>
      </w:r>
      <w:r w:rsidRPr="009C0CC8">
        <w:rPr>
          <w:bCs/>
          <w:sz w:val="26"/>
          <w:szCs w:val="26"/>
        </w:rPr>
        <w:t>. Según las previsiones actuales, la utilización mundial de cereales en 2014/15 aumentaría un 2</w:t>
      </w:r>
      <w:r>
        <w:rPr>
          <w:bCs/>
          <w:sz w:val="26"/>
          <w:szCs w:val="26"/>
        </w:rPr>
        <w:t>.</w:t>
      </w:r>
      <w:r w:rsidRPr="009C0CC8">
        <w:rPr>
          <w:bCs/>
          <w:sz w:val="26"/>
          <w:szCs w:val="26"/>
        </w:rPr>
        <w:t xml:space="preserve">6% (más de 63 millones de toneladas) en comparación con la campaña anterior. Se calcula que la utilización total de cereales para </w:t>
      </w:r>
      <w:r>
        <w:rPr>
          <w:bCs/>
          <w:sz w:val="26"/>
          <w:szCs w:val="26"/>
        </w:rPr>
        <w:t>forrajes</w:t>
      </w:r>
      <w:r w:rsidRPr="009C0CC8">
        <w:rPr>
          <w:bCs/>
          <w:sz w:val="26"/>
          <w:szCs w:val="26"/>
        </w:rPr>
        <w:t xml:space="preserve"> ascenderá a 878 millones de toneladas, es decir, un 4</w:t>
      </w:r>
      <w:r>
        <w:rPr>
          <w:bCs/>
          <w:sz w:val="26"/>
          <w:szCs w:val="26"/>
        </w:rPr>
        <w:t>.</w:t>
      </w:r>
      <w:r w:rsidRPr="009C0CC8">
        <w:rPr>
          <w:bCs/>
          <w:sz w:val="26"/>
          <w:szCs w:val="26"/>
        </w:rPr>
        <w:t>0% (34 millones de toneladas) más que en 2013/14, debido principalmente a un aumento del 3</w:t>
      </w:r>
      <w:r>
        <w:rPr>
          <w:bCs/>
          <w:sz w:val="26"/>
          <w:szCs w:val="26"/>
        </w:rPr>
        <w:t>.</w:t>
      </w:r>
      <w:r w:rsidRPr="009C0CC8">
        <w:rPr>
          <w:bCs/>
          <w:sz w:val="26"/>
          <w:szCs w:val="26"/>
        </w:rPr>
        <w:t xml:space="preserve">6% (alrededor de 20 millones de toneladas) de la </w:t>
      </w:r>
      <w:r>
        <w:rPr>
          <w:bCs/>
          <w:sz w:val="26"/>
          <w:szCs w:val="26"/>
        </w:rPr>
        <w:t>utilización de maíz para forrajes</w:t>
      </w:r>
      <w:r w:rsidRPr="009C0CC8">
        <w:rPr>
          <w:bCs/>
          <w:sz w:val="26"/>
          <w:szCs w:val="26"/>
        </w:rPr>
        <w:t xml:space="preserve">. Con respecto al resto de cereales, se prevé que la utilización de sorgo para </w:t>
      </w:r>
      <w:r>
        <w:rPr>
          <w:bCs/>
          <w:sz w:val="26"/>
          <w:szCs w:val="26"/>
        </w:rPr>
        <w:t>forrajes</w:t>
      </w:r>
      <w:r w:rsidRPr="009C0CC8">
        <w:rPr>
          <w:bCs/>
          <w:sz w:val="26"/>
          <w:szCs w:val="26"/>
        </w:rPr>
        <w:t xml:space="preserve"> se incremente un 10</w:t>
      </w:r>
      <w:r>
        <w:rPr>
          <w:bCs/>
          <w:sz w:val="26"/>
          <w:szCs w:val="26"/>
        </w:rPr>
        <w:t>.</w:t>
      </w:r>
      <w:r w:rsidRPr="009C0CC8">
        <w:rPr>
          <w:bCs/>
          <w:sz w:val="26"/>
          <w:szCs w:val="26"/>
        </w:rPr>
        <w:t>5% (2</w:t>
      </w:r>
      <w:r>
        <w:rPr>
          <w:bCs/>
          <w:sz w:val="26"/>
          <w:szCs w:val="26"/>
        </w:rPr>
        <w:t>.</w:t>
      </w:r>
      <w:r w:rsidRPr="009C0CC8">
        <w:rPr>
          <w:bCs/>
          <w:sz w:val="26"/>
          <w:szCs w:val="26"/>
        </w:rPr>
        <w:t>7 millones de toneladas), con gran parte de este aumento concentrado en China, donde se espera un incremento de 1</w:t>
      </w:r>
      <w:r>
        <w:rPr>
          <w:bCs/>
          <w:sz w:val="26"/>
          <w:szCs w:val="26"/>
        </w:rPr>
        <w:t>.</w:t>
      </w:r>
      <w:r w:rsidRPr="009C0CC8">
        <w:rPr>
          <w:bCs/>
          <w:sz w:val="26"/>
          <w:szCs w:val="26"/>
        </w:rPr>
        <w:t>8 millones de toneladas (un 43</w:t>
      </w:r>
      <w:r>
        <w:rPr>
          <w:bCs/>
          <w:sz w:val="26"/>
          <w:szCs w:val="26"/>
        </w:rPr>
        <w:t>.0</w:t>
      </w:r>
      <w:r w:rsidRPr="009C0CC8">
        <w:rPr>
          <w:bCs/>
          <w:sz w:val="26"/>
          <w:szCs w:val="26"/>
        </w:rPr>
        <w:t xml:space="preserve">%) respecto de la </w:t>
      </w:r>
      <w:r>
        <w:rPr>
          <w:bCs/>
          <w:sz w:val="26"/>
          <w:szCs w:val="26"/>
        </w:rPr>
        <w:t>cosecha</w:t>
      </w:r>
      <w:r w:rsidRPr="009C0CC8">
        <w:rPr>
          <w:bCs/>
          <w:sz w:val="26"/>
          <w:szCs w:val="26"/>
        </w:rPr>
        <w:t xml:space="preserve"> anterior. Actualmente, se prevé que la </w:t>
      </w:r>
      <w:r w:rsidRPr="00F11667">
        <w:rPr>
          <w:bCs/>
          <w:sz w:val="26"/>
          <w:szCs w:val="26"/>
        </w:rPr>
        <w:t>utilización de cebada para forrajes iguale el nivel alcanzado en la última campaña, unos 96 millones de toneladas, es decir, alrededor de 1.5 millones de toneladas más de lo previsto con anterioridad, debido a una revisión al alza en China. Según las previsiones, el consumo mundial de cereales como alimento aumentará un 1.4%</w:t>
      </w:r>
      <w:r>
        <w:rPr>
          <w:bCs/>
          <w:sz w:val="26"/>
          <w:szCs w:val="26"/>
        </w:rPr>
        <w:t xml:space="preserve">      </w:t>
      </w:r>
      <w:r w:rsidRPr="00F11667">
        <w:rPr>
          <w:bCs/>
          <w:sz w:val="26"/>
          <w:szCs w:val="26"/>
        </w:rPr>
        <w:t xml:space="preserve"> (15 millones de toneladas) hasta alcanzar los 1 mil 108 millones de toneladas en 2014/15, lo que dará lugar a un consumo per cápita medio de 153</w:t>
      </w:r>
      <w:r>
        <w:rPr>
          <w:bCs/>
          <w:sz w:val="26"/>
          <w:szCs w:val="26"/>
        </w:rPr>
        <w:t>.</w:t>
      </w:r>
      <w:r w:rsidRPr="00F11667">
        <w:rPr>
          <w:bCs/>
          <w:sz w:val="26"/>
          <w:szCs w:val="26"/>
        </w:rPr>
        <w:t>3 kg, cifra ligeramente superior a la registrada en 2013/</w:t>
      </w:r>
      <w:r>
        <w:rPr>
          <w:bCs/>
          <w:sz w:val="26"/>
          <w:szCs w:val="26"/>
        </w:rPr>
        <w:t>1</w:t>
      </w:r>
      <w:r w:rsidRPr="00F11667">
        <w:rPr>
          <w:bCs/>
          <w:sz w:val="26"/>
          <w:szCs w:val="26"/>
        </w:rPr>
        <w:t>4. Se calcula que el consumo de trigo como alimento ascenderá a 488 millones de toneladas, un 1</w:t>
      </w:r>
      <w:r>
        <w:rPr>
          <w:bCs/>
          <w:sz w:val="26"/>
          <w:szCs w:val="26"/>
        </w:rPr>
        <w:t>.</w:t>
      </w:r>
      <w:r w:rsidRPr="00F11667">
        <w:rPr>
          <w:bCs/>
          <w:sz w:val="26"/>
          <w:szCs w:val="26"/>
        </w:rPr>
        <w:t>3% más que en la c</w:t>
      </w:r>
      <w:r>
        <w:rPr>
          <w:bCs/>
          <w:sz w:val="26"/>
          <w:szCs w:val="26"/>
        </w:rPr>
        <w:t>osecha</w:t>
      </w:r>
      <w:r w:rsidRPr="00F11667">
        <w:rPr>
          <w:bCs/>
          <w:sz w:val="26"/>
          <w:szCs w:val="26"/>
        </w:rPr>
        <w:t xml:space="preserve"> anterior, por lo que el consumo per cápita medio se mantiene estable en 67</w:t>
      </w:r>
      <w:r>
        <w:rPr>
          <w:bCs/>
          <w:sz w:val="26"/>
          <w:szCs w:val="26"/>
        </w:rPr>
        <w:t>.</w:t>
      </w:r>
      <w:r w:rsidRPr="00F11667">
        <w:rPr>
          <w:bCs/>
          <w:sz w:val="26"/>
          <w:szCs w:val="26"/>
        </w:rPr>
        <w:t>6 kg. En cuanto al arroz, actualmente se prevé que en 2014/</w:t>
      </w:r>
      <w:r>
        <w:rPr>
          <w:bCs/>
          <w:sz w:val="26"/>
          <w:szCs w:val="26"/>
        </w:rPr>
        <w:t>15</w:t>
      </w:r>
      <w:r w:rsidRPr="00F11667">
        <w:rPr>
          <w:bCs/>
          <w:sz w:val="26"/>
          <w:szCs w:val="26"/>
        </w:rPr>
        <w:t xml:space="preserve"> se consumirán como alimento unos 416 millones de toneladas, un 1</w:t>
      </w:r>
      <w:r>
        <w:rPr>
          <w:bCs/>
          <w:sz w:val="26"/>
          <w:szCs w:val="26"/>
        </w:rPr>
        <w:t>.</w:t>
      </w:r>
      <w:r w:rsidRPr="00F11667">
        <w:rPr>
          <w:bCs/>
          <w:sz w:val="26"/>
          <w:szCs w:val="26"/>
        </w:rPr>
        <w:t>5% más que en 2013/</w:t>
      </w:r>
      <w:r>
        <w:rPr>
          <w:bCs/>
          <w:sz w:val="26"/>
          <w:szCs w:val="26"/>
        </w:rPr>
        <w:t>1</w:t>
      </w:r>
      <w:r w:rsidRPr="00F11667">
        <w:rPr>
          <w:bCs/>
          <w:sz w:val="26"/>
          <w:szCs w:val="26"/>
        </w:rPr>
        <w:t>4, impulsando así un pequeño aumento del consumo per cápita anual de 57</w:t>
      </w:r>
      <w:r>
        <w:rPr>
          <w:bCs/>
          <w:sz w:val="26"/>
          <w:szCs w:val="26"/>
        </w:rPr>
        <w:t>.</w:t>
      </w:r>
      <w:r w:rsidRPr="00F11667">
        <w:rPr>
          <w:bCs/>
          <w:sz w:val="26"/>
          <w:szCs w:val="26"/>
        </w:rPr>
        <w:t>3 kg a 57</w:t>
      </w:r>
      <w:r>
        <w:rPr>
          <w:bCs/>
          <w:sz w:val="26"/>
          <w:szCs w:val="26"/>
        </w:rPr>
        <w:t>.</w:t>
      </w:r>
      <w:r w:rsidRPr="00F11667">
        <w:rPr>
          <w:bCs/>
          <w:sz w:val="26"/>
          <w:szCs w:val="26"/>
        </w:rPr>
        <w:t>6 k</w:t>
      </w:r>
      <w:r>
        <w:rPr>
          <w:bCs/>
          <w:sz w:val="26"/>
          <w:szCs w:val="26"/>
        </w:rPr>
        <w:t>ilogramos</w:t>
      </w:r>
      <w:r w:rsidRPr="00F11667">
        <w:rPr>
          <w:bCs/>
          <w:sz w:val="26"/>
          <w:szCs w:val="26"/>
        </w:rPr>
        <w:t xml:space="preserve">. </w:t>
      </w:r>
    </w:p>
    <w:p w:rsidR="003F24A1" w:rsidRPr="000B7FDF" w:rsidRDefault="003F24A1" w:rsidP="003F24A1">
      <w:pPr>
        <w:shd w:val="clear" w:color="auto" w:fill="FFFFFF"/>
        <w:spacing w:before="360" w:after="360" w:line="360" w:lineRule="auto"/>
        <w:jc w:val="both"/>
        <w:textAlignment w:val="top"/>
        <w:rPr>
          <w:bCs/>
          <w:sz w:val="26"/>
          <w:szCs w:val="26"/>
        </w:rPr>
      </w:pPr>
      <w:r w:rsidRPr="009C0CC8">
        <w:rPr>
          <w:bCs/>
          <w:sz w:val="26"/>
          <w:szCs w:val="26"/>
        </w:rPr>
        <w:t>El pronóstico de la FAO relativo a las existencias mundiales de cereales al final de las campañas agrícolas 2014/15 se ha incrementado un 1</w:t>
      </w:r>
      <w:r>
        <w:rPr>
          <w:bCs/>
          <w:sz w:val="26"/>
          <w:szCs w:val="26"/>
        </w:rPr>
        <w:t>.</w:t>
      </w:r>
      <w:r w:rsidRPr="009C0CC8">
        <w:rPr>
          <w:bCs/>
          <w:sz w:val="26"/>
          <w:szCs w:val="26"/>
        </w:rPr>
        <w:t>3% (8 millones de toneladas) desde febrero, con lo que ha alcanzado los 63</w:t>
      </w:r>
      <w:r>
        <w:rPr>
          <w:bCs/>
          <w:sz w:val="26"/>
          <w:szCs w:val="26"/>
        </w:rPr>
        <w:t>0.5</w:t>
      </w:r>
      <w:r w:rsidRPr="009C0CC8">
        <w:rPr>
          <w:bCs/>
          <w:sz w:val="26"/>
          <w:szCs w:val="26"/>
        </w:rPr>
        <w:t xml:space="preserve"> millones de toneladas. La revisión al alza se explica en parte por las expectativas más optimistas acerca de la producción en 2014; sin embargo, también se debe a una revisión de las estimaciones de las </w:t>
      </w:r>
      <w:r w:rsidRPr="009C0CC8">
        <w:rPr>
          <w:bCs/>
          <w:sz w:val="26"/>
          <w:szCs w:val="26"/>
        </w:rPr>
        <w:lastRenderedPageBreak/>
        <w:t>existencias remanentes de campañas anteriores a 2014/15, principalmente en China y Ucrania. De confirmarse el pronóstico, las existencias mundiales de cereales se situarían un 8</w:t>
      </w:r>
      <w:r>
        <w:rPr>
          <w:bCs/>
          <w:sz w:val="26"/>
          <w:szCs w:val="26"/>
        </w:rPr>
        <w:t>.</w:t>
      </w:r>
      <w:r w:rsidRPr="009C0CC8">
        <w:rPr>
          <w:bCs/>
          <w:sz w:val="26"/>
          <w:szCs w:val="26"/>
        </w:rPr>
        <w:t>6% (o 50 millones de toneladas) por encima de sus niveles de apertura y al nivel más alto en 15 años. Habida cuenta de la considerable acumulación de existencias prevista, la relación entre las existencias y la utilización de cereales a nivel mundial aumentaría del 23</w:t>
      </w:r>
      <w:r>
        <w:rPr>
          <w:bCs/>
          <w:sz w:val="26"/>
          <w:szCs w:val="26"/>
        </w:rPr>
        <w:t>.</w:t>
      </w:r>
      <w:r w:rsidRPr="009C0CC8">
        <w:rPr>
          <w:bCs/>
          <w:sz w:val="26"/>
          <w:szCs w:val="26"/>
        </w:rPr>
        <w:t>5 % en 2013/14 al 25</w:t>
      </w:r>
      <w:r>
        <w:rPr>
          <w:bCs/>
          <w:sz w:val="26"/>
          <w:szCs w:val="26"/>
        </w:rPr>
        <w:t>.</w:t>
      </w:r>
      <w:r w:rsidRPr="009C0CC8">
        <w:rPr>
          <w:bCs/>
          <w:sz w:val="26"/>
          <w:szCs w:val="26"/>
        </w:rPr>
        <w:t>4% en 2014/15, alcanzando su nivel más alto en 13 años. Las existencias mundiales de trigo se estiman en</w:t>
      </w:r>
      <w:r>
        <w:rPr>
          <w:bCs/>
          <w:sz w:val="26"/>
          <w:szCs w:val="26"/>
        </w:rPr>
        <w:t xml:space="preserve"> </w:t>
      </w:r>
      <w:r w:rsidRPr="009C0CC8">
        <w:rPr>
          <w:bCs/>
          <w:sz w:val="26"/>
          <w:szCs w:val="26"/>
        </w:rPr>
        <w:t>19</w:t>
      </w:r>
      <w:r>
        <w:rPr>
          <w:bCs/>
          <w:sz w:val="26"/>
          <w:szCs w:val="26"/>
        </w:rPr>
        <w:t>8.6</w:t>
      </w:r>
      <w:r w:rsidRPr="009C0CC8">
        <w:rPr>
          <w:bCs/>
          <w:sz w:val="26"/>
          <w:szCs w:val="26"/>
        </w:rPr>
        <w:t xml:space="preserve"> millones de toneladas en 2015, esto es, 6</w:t>
      </w:r>
      <w:r>
        <w:rPr>
          <w:bCs/>
          <w:sz w:val="26"/>
          <w:szCs w:val="26"/>
        </w:rPr>
        <w:t xml:space="preserve"> </w:t>
      </w:r>
      <w:r w:rsidRPr="009C0CC8">
        <w:rPr>
          <w:bCs/>
          <w:sz w:val="26"/>
          <w:szCs w:val="26"/>
        </w:rPr>
        <w:t>millones de toneladas más de lo previsto anteriormente y un 11</w:t>
      </w:r>
      <w:r>
        <w:rPr>
          <w:bCs/>
          <w:sz w:val="26"/>
          <w:szCs w:val="26"/>
        </w:rPr>
        <w:t>.0</w:t>
      </w:r>
      <w:r w:rsidRPr="009C0CC8">
        <w:rPr>
          <w:bCs/>
          <w:sz w:val="26"/>
          <w:szCs w:val="26"/>
        </w:rPr>
        <w:t xml:space="preserve">% (20 millones de toneladas) más que en 2014. Actualmente, se prevé que las existencias totales de cereales secundarios alcancen los </w:t>
      </w:r>
      <w:r>
        <w:rPr>
          <w:bCs/>
          <w:sz w:val="26"/>
          <w:szCs w:val="26"/>
        </w:rPr>
        <w:t xml:space="preserve">                    </w:t>
      </w:r>
      <w:r w:rsidRPr="009C0CC8">
        <w:rPr>
          <w:bCs/>
          <w:sz w:val="26"/>
          <w:szCs w:val="26"/>
        </w:rPr>
        <w:t>25</w:t>
      </w:r>
      <w:r>
        <w:rPr>
          <w:bCs/>
          <w:sz w:val="26"/>
          <w:szCs w:val="26"/>
        </w:rPr>
        <w:t xml:space="preserve">5.7 </w:t>
      </w:r>
      <w:r w:rsidRPr="009C0CC8">
        <w:rPr>
          <w:bCs/>
          <w:sz w:val="26"/>
          <w:szCs w:val="26"/>
        </w:rPr>
        <w:t>millones de toneladas, es decir, 3 millones de toneladas más de lo previsto en febrero y el nivel más alto desde 1986/87. Frente a esta tendencia general, el pronóstico de la FAO sobre las existencias mundiales de arroz en 2015 se ha reducido en más de 1 millón de toneladas desde el mes pasado, lo que da lugar a una disminución interanual del 0</w:t>
      </w:r>
      <w:r>
        <w:rPr>
          <w:bCs/>
          <w:sz w:val="26"/>
          <w:szCs w:val="26"/>
        </w:rPr>
        <w:t>.</w:t>
      </w:r>
      <w:r w:rsidRPr="009C0CC8">
        <w:rPr>
          <w:bCs/>
          <w:sz w:val="26"/>
          <w:szCs w:val="26"/>
        </w:rPr>
        <w:t>8% hasta alcanzar los 176</w:t>
      </w:r>
      <w:r>
        <w:rPr>
          <w:bCs/>
          <w:sz w:val="26"/>
          <w:szCs w:val="26"/>
        </w:rPr>
        <w:t>.2</w:t>
      </w:r>
      <w:r w:rsidRPr="009C0CC8">
        <w:rPr>
          <w:bCs/>
          <w:sz w:val="26"/>
          <w:szCs w:val="26"/>
        </w:rPr>
        <w:t xml:space="preserve"> millones de toneladas. La revisión de este mes se debió principalmente a la situación en Tailandia, donde el Gobierno sigue convocando licitaciones periódicas para reducir el volumen de las existencias públicas de arroz almacenadas.</w:t>
      </w:r>
    </w:p>
    <w:tbl>
      <w:tblPr>
        <w:tblW w:w="8709" w:type="dxa"/>
        <w:jc w:val="center"/>
        <w:tblCellMar>
          <w:left w:w="70" w:type="dxa"/>
          <w:right w:w="70" w:type="dxa"/>
        </w:tblCellMar>
        <w:tblLook w:val="0000" w:firstRow="0" w:lastRow="0" w:firstColumn="0" w:lastColumn="0" w:noHBand="0" w:noVBand="0"/>
      </w:tblPr>
      <w:tblGrid>
        <w:gridCol w:w="996"/>
        <w:gridCol w:w="1890"/>
        <w:gridCol w:w="1792"/>
        <w:gridCol w:w="2127"/>
        <w:gridCol w:w="1904"/>
      </w:tblGrid>
      <w:tr w:rsidR="003F24A1" w:rsidRPr="00574257" w:rsidTr="004B3C2F">
        <w:trPr>
          <w:trHeight w:val="447"/>
          <w:jc w:val="center"/>
        </w:trPr>
        <w:tc>
          <w:tcPr>
            <w:tcW w:w="8709" w:type="dxa"/>
            <w:gridSpan w:val="5"/>
            <w:tcBorders>
              <w:top w:val="nil"/>
              <w:left w:val="nil"/>
              <w:bottom w:val="single" w:sz="4" w:space="0" w:color="FFFFFF" w:themeColor="background1"/>
              <w:right w:val="nil"/>
            </w:tcBorders>
            <w:shd w:val="clear" w:color="auto" w:fill="auto"/>
            <w:vAlign w:val="center"/>
          </w:tcPr>
          <w:p w:rsidR="003F24A1" w:rsidRPr="00574257" w:rsidRDefault="003F24A1" w:rsidP="004B3C2F">
            <w:pPr>
              <w:jc w:val="center"/>
              <w:rPr>
                <w:b/>
                <w:bCs/>
                <w:sz w:val="22"/>
                <w:szCs w:val="22"/>
              </w:rPr>
            </w:pPr>
            <w:r w:rsidRPr="00574257">
              <w:rPr>
                <w:b/>
                <w:bCs/>
                <w:sz w:val="22"/>
                <w:szCs w:val="22"/>
              </w:rPr>
              <w:t>UTILIZACIÓN</w:t>
            </w:r>
          </w:p>
          <w:p w:rsidR="003F24A1" w:rsidRPr="00574257" w:rsidRDefault="003F24A1" w:rsidP="004B3C2F">
            <w:pPr>
              <w:jc w:val="center"/>
              <w:rPr>
                <w:b/>
                <w:bCs/>
                <w:sz w:val="22"/>
                <w:szCs w:val="22"/>
              </w:rPr>
            </w:pPr>
            <w:r w:rsidRPr="00574257">
              <w:rPr>
                <w:b/>
                <w:iCs/>
                <w:sz w:val="22"/>
                <w:szCs w:val="22"/>
              </w:rPr>
              <w:t>- Millones de toneladas -</w:t>
            </w:r>
          </w:p>
        </w:tc>
      </w:tr>
      <w:tr w:rsidR="003F24A1" w:rsidRPr="00574257" w:rsidTr="004B3C2F">
        <w:trPr>
          <w:trHeight w:val="801"/>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18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w:t>
            </w:r>
          </w:p>
        </w:tc>
        <w:tc>
          <w:tcPr>
            <w:tcW w:w="17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trigo</w:t>
            </w:r>
          </w:p>
        </w:tc>
        <w:tc>
          <w:tcPr>
            <w:tcW w:w="21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 secundarios</w:t>
            </w:r>
          </w:p>
        </w:tc>
        <w:tc>
          <w:tcPr>
            <w:tcW w:w="19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 xml:space="preserve">Mercado </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mundial de arroz</w:t>
            </w:r>
          </w:p>
        </w:tc>
      </w:tr>
      <w:tr w:rsidR="003F24A1" w:rsidRPr="00574257" w:rsidTr="004B3C2F">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1890"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2 27</w:t>
            </w:r>
            <w:r>
              <w:rPr>
                <w:sz w:val="20"/>
                <w:szCs w:val="20"/>
              </w:rPr>
              <w:t>0.9</w:t>
            </w:r>
          </w:p>
        </w:tc>
        <w:tc>
          <w:tcPr>
            <w:tcW w:w="1792"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6</w:t>
            </w:r>
            <w:r>
              <w:rPr>
                <w:sz w:val="20"/>
                <w:szCs w:val="20"/>
              </w:rPr>
              <w:t>60.0</w:t>
            </w:r>
          </w:p>
        </w:tc>
        <w:tc>
          <w:tcPr>
            <w:tcW w:w="2127"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Pr>
                <w:sz w:val="20"/>
                <w:szCs w:val="20"/>
              </w:rPr>
              <w:t>1 149.4</w:t>
            </w:r>
          </w:p>
        </w:tc>
        <w:tc>
          <w:tcPr>
            <w:tcW w:w="190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sidRPr="00574257">
              <w:rPr>
                <w:sz w:val="20"/>
                <w:szCs w:val="20"/>
              </w:rPr>
              <w:t>461.</w:t>
            </w:r>
            <w:r>
              <w:rPr>
                <w:sz w:val="20"/>
                <w:szCs w:val="20"/>
              </w:rPr>
              <w:t>5</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189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2 32</w:t>
            </w:r>
            <w:r>
              <w:rPr>
                <w:sz w:val="20"/>
                <w:szCs w:val="20"/>
              </w:rPr>
              <w:t>1.6</w:t>
            </w:r>
          </w:p>
        </w:tc>
        <w:tc>
          <w:tcPr>
            <w:tcW w:w="179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69</w:t>
            </w:r>
            <w:r>
              <w:rPr>
                <w:sz w:val="20"/>
                <w:szCs w:val="20"/>
              </w:rPr>
              <w:t>8.6</w:t>
            </w:r>
          </w:p>
        </w:tc>
        <w:tc>
          <w:tcPr>
            <w:tcW w:w="2127"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Pr>
                <w:sz w:val="20"/>
                <w:szCs w:val="20"/>
              </w:rPr>
              <w:t>1 153.1</w:t>
            </w:r>
          </w:p>
        </w:tc>
        <w:tc>
          <w:tcPr>
            <w:tcW w:w="190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Pr>
                <w:sz w:val="20"/>
                <w:szCs w:val="20"/>
              </w:rPr>
              <w:t>469.8</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189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2 3</w:t>
            </w:r>
            <w:r>
              <w:rPr>
                <w:sz w:val="20"/>
                <w:szCs w:val="20"/>
              </w:rPr>
              <w:t>23.3</w:t>
            </w:r>
          </w:p>
        </w:tc>
        <w:tc>
          <w:tcPr>
            <w:tcW w:w="179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68</w:t>
            </w:r>
            <w:r>
              <w:rPr>
                <w:sz w:val="20"/>
                <w:szCs w:val="20"/>
              </w:rPr>
              <w:t>6.7</w:t>
            </w:r>
          </w:p>
        </w:tc>
        <w:tc>
          <w:tcPr>
            <w:tcW w:w="2127"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Pr>
                <w:sz w:val="20"/>
                <w:szCs w:val="20"/>
              </w:rPr>
              <w:t>1 159.3</w:t>
            </w:r>
          </w:p>
        </w:tc>
        <w:tc>
          <w:tcPr>
            <w:tcW w:w="190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sidRPr="00574257">
              <w:rPr>
                <w:sz w:val="20"/>
                <w:szCs w:val="20"/>
              </w:rPr>
              <w:t>47</w:t>
            </w:r>
            <w:r>
              <w:rPr>
                <w:sz w:val="20"/>
                <w:szCs w:val="20"/>
              </w:rPr>
              <w:t>7</w:t>
            </w:r>
            <w:r w:rsidRPr="00574257">
              <w:rPr>
                <w:sz w:val="20"/>
                <w:szCs w:val="20"/>
              </w:rPr>
              <w:t>.</w:t>
            </w:r>
            <w:r>
              <w:rPr>
                <w:sz w:val="20"/>
                <w:szCs w:val="20"/>
              </w:rPr>
              <w:t>3</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189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2 4</w:t>
            </w:r>
            <w:r>
              <w:rPr>
                <w:sz w:val="20"/>
                <w:szCs w:val="20"/>
              </w:rPr>
              <w:t>11.9</w:t>
            </w:r>
          </w:p>
        </w:tc>
        <w:tc>
          <w:tcPr>
            <w:tcW w:w="179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68</w:t>
            </w:r>
            <w:r>
              <w:rPr>
                <w:sz w:val="20"/>
                <w:szCs w:val="20"/>
              </w:rPr>
              <w:t>5.3</w:t>
            </w:r>
          </w:p>
        </w:tc>
        <w:tc>
          <w:tcPr>
            <w:tcW w:w="2127"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sidRPr="00574257">
              <w:rPr>
                <w:sz w:val="20"/>
                <w:szCs w:val="20"/>
              </w:rPr>
              <w:t>1 2</w:t>
            </w:r>
            <w:r>
              <w:rPr>
                <w:sz w:val="20"/>
                <w:szCs w:val="20"/>
              </w:rPr>
              <w:t>35.2</w:t>
            </w:r>
          </w:p>
        </w:tc>
        <w:tc>
          <w:tcPr>
            <w:tcW w:w="190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sidRPr="00574257">
              <w:rPr>
                <w:sz w:val="20"/>
                <w:szCs w:val="20"/>
              </w:rPr>
              <w:t>49</w:t>
            </w:r>
            <w:r>
              <w:rPr>
                <w:sz w:val="20"/>
                <w:szCs w:val="20"/>
              </w:rPr>
              <w:t>1.5</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189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2 4</w:t>
            </w:r>
            <w:r>
              <w:rPr>
                <w:sz w:val="20"/>
                <w:szCs w:val="20"/>
              </w:rPr>
              <w:t>75.2</w:t>
            </w:r>
          </w:p>
        </w:tc>
        <w:tc>
          <w:tcPr>
            <w:tcW w:w="179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Pr>
                <w:sz w:val="20"/>
                <w:szCs w:val="20"/>
              </w:rPr>
              <w:t>703.8</w:t>
            </w:r>
          </w:p>
        </w:tc>
        <w:tc>
          <w:tcPr>
            <w:tcW w:w="2127"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Pr>
                <w:sz w:val="20"/>
                <w:szCs w:val="20"/>
              </w:rPr>
              <w:t>1 271.4</w:t>
            </w:r>
          </w:p>
        </w:tc>
        <w:tc>
          <w:tcPr>
            <w:tcW w:w="190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Pr>
                <w:sz w:val="20"/>
                <w:szCs w:val="20"/>
              </w:rPr>
              <w:t>500.0</w:t>
            </w:r>
          </w:p>
        </w:tc>
      </w:tr>
      <w:tr w:rsidR="003F24A1" w:rsidRPr="00574257" w:rsidTr="004B3C2F">
        <w:trPr>
          <w:trHeight w:val="490"/>
          <w:jc w:val="center"/>
        </w:trPr>
        <w:tc>
          <w:tcPr>
            <w:tcW w:w="8709" w:type="dxa"/>
            <w:gridSpan w:val="5"/>
            <w:tcBorders>
              <w:top w:val="single" w:sz="4" w:space="0" w:color="auto"/>
              <w:left w:val="nil"/>
              <w:bottom w:val="nil"/>
              <w:right w:val="nil"/>
            </w:tcBorders>
            <w:shd w:val="clear" w:color="auto" w:fill="auto"/>
            <w:noWrap/>
            <w:vAlign w:val="bottom"/>
          </w:tcPr>
          <w:p w:rsidR="003F24A1" w:rsidRPr="00574257" w:rsidRDefault="003F24A1" w:rsidP="004B3C2F">
            <w:pPr>
              <w:spacing w:before="120"/>
              <w:ind w:left="902" w:hanging="227"/>
              <w:jc w:val="both"/>
              <w:rPr>
                <w:sz w:val="20"/>
                <w:szCs w:val="20"/>
              </w:rPr>
            </w:pPr>
            <w:r w:rsidRPr="00574257">
              <w:rPr>
                <w:sz w:val="20"/>
                <w:szCs w:val="20"/>
              </w:rPr>
              <w:t>*  Estimación.</w:t>
            </w:r>
          </w:p>
          <w:p w:rsidR="003F24A1" w:rsidRPr="009015FA" w:rsidRDefault="003F24A1" w:rsidP="004B3C2F">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ind w:left="949" w:hanging="949"/>
              <w:jc w:val="both"/>
              <w:rPr>
                <w:rFonts w:ascii="Arial" w:hAnsi="Arial" w:cs="Arial"/>
                <w:sz w:val="20"/>
                <w:szCs w:val="20"/>
              </w:rPr>
            </w:pPr>
            <w:r w:rsidRPr="00574257">
              <w:rPr>
                <w:sz w:val="20"/>
                <w:szCs w:val="20"/>
              </w:rPr>
              <w:t>FUENTE: Elaborado por la Comisión Nacional de los Salarios Mínimos con información de la FAO.</w:t>
            </w:r>
          </w:p>
        </w:tc>
      </w:tr>
    </w:tbl>
    <w:p w:rsidR="003F24A1" w:rsidRDefault="003F24A1" w:rsidP="003F24A1">
      <w:pPr>
        <w:spacing w:before="360" w:after="360" w:line="360" w:lineRule="auto"/>
        <w:jc w:val="both"/>
        <w:rPr>
          <w:bCs/>
          <w:sz w:val="26"/>
          <w:szCs w:val="26"/>
        </w:rPr>
      </w:pPr>
    </w:p>
    <w:tbl>
      <w:tblPr>
        <w:tblW w:w="8190" w:type="dxa"/>
        <w:jc w:val="center"/>
        <w:tblCellMar>
          <w:left w:w="70" w:type="dxa"/>
          <w:right w:w="70" w:type="dxa"/>
        </w:tblCellMar>
        <w:tblLook w:val="0000" w:firstRow="0" w:lastRow="0" w:firstColumn="0" w:lastColumn="0" w:noHBand="0" w:noVBand="0"/>
      </w:tblPr>
      <w:tblGrid>
        <w:gridCol w:w="996"/>
        <w:gridCol w:w="2093"/>
        <w:gridCol w:w="1695"/>
        <w:gridCol w:w="1722"/>
        <w:gridCol w:w="1684"/>
      </w:tblGrid>
      <w:tr w:rsidR="003F24A1" w:rsidRPr="00574257" w:rsidTr="004B3C2F">
        <w:trPr>
          <w:trHeight w:val="434"/>
          <w:jc w:val="center"/>
        </w:trPr>
        <w:tc>
          <w:tcPr>
            <w:tcW w:w="8190" w:type="dxa"/>
            <w:gridSpan w:val="5"/>
            <w:tcBorders>
              <w:top w:val="nil"/>
              <w:left w:val="nil"/>
              <w:bottom w:val="single" w:sz="4" w:space="0" w:color="FFFFFF" w:themeColor="background1"/>
              <w:right w:val="nil"/>
            </w:tcBorders>
            <w:shd w:val="clear" w:color="auto" w:fill="auto"/>
            <w:vAlign w:val="center"/>
          </w:tcPr>
          <w:p w:rsidR="003F24A1" w:rsidRDefault="003F24A1" w:rsidP="004B3C2F">
            <w:pPr>
              <w:jc w:val="center"/>
              <w:rPr>
                <w:sz w:val="26"/>
                <w:szCs w:val="26"/>
              </w:rPr>
            </w:pPr>
          </w:p>
          <w:p w:rsidR="003F24A1" w:rsidRPr="00574257" w:rsidRDefault="003F24A1" w:rsidP="004B3C2F">
            <w:pPr>
              <w:jc w:val="center"/>
              <w:rPr>
                <w:b/>
                <w:bCs/>
                <w:sz w:val="22"/>
                <w:szCs w:val="22"/>
              </w:rPr>
            </w:pPr>
            <w:r w:rsidRPr="00574257">
              <w:rPr>
                <w:sz w:val="26"/>
                <w:szCs w:val="26"/>
              </w:rPr>
              <w:br w:type="column"/>
            </w:r>
            <w:r w:rsidRPr="00574257">
              <w:rPr>
                <w:b/>
                <w:bCs/>
                <w:sz w:val="22"/>
                <w:szCs w:val="22"/>
              </w:rPr>
              <w:t>RELACIÓN MUNDIAL EXISTENCIAS-UTILIZACIÓN</w:t>
            </w:r>
          </w:p>
          <w:p w:rsidR="003F24A1" w:rsidRPr="00574257" w:rsidRDefault="003F24A1" w:rsidP="004B3C2F">
            <w:pPr>
              <w:jc w:val="center"/>
              <w:rPr>
                <w:b/>
                <w:bCs/>
                <w:sz w:val="22"/>
                <w:szCs w:val="22"/>
              </w:rPr>
            </w:pPr>
            <w:r w:rsidRPr="00574257">
              <w:rPr>
                <w:b/>
                <w:iCs/>
                <w:sz w:val="22"/>
                <w:szCs w:val="22"/>
              </w:rPr>
              <w:t>- Por ciento -</w:t>
            </w:r>
          </w:p>
        </w:tc>
      </w:tr>
      <w:tr w:rsidR="003F24A1" w:rsidRPr="00574257" w:rsidTr="004B3C2F">
        <w:trPr>
          <w:trHeight w:val="955"/>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20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w:t>
            </w:r>
          </w:p>
        </w:tc>
        <w:tc>
          <w:tcPr>
            <w:tcW w:w="1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trigo</w:t>
            </w:r>
          </w:p>
        </w:tc>
        <w:tc>
          <w:tcPr>
            <w:tcW w:w="1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6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arroz</w:t>
            </w:r>
          </w:p>
        </w:tc>
      </w:tr>
      <w:tr w:rsidR="003F24A1" w:rsidRPr="00574257" w:rsidTr="004B3C2F">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2093"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Pr>
                <w:sz w:val="20"/>
                <w:szCs w:val="20"/>
              </w:rPr>
              <w:t>21.6</w:t>
            </w:r>
          </w:p>
        </w:tc>
        <w:tc>
          <w:tcPr>
            <w:tcW w:w="1695"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26.</w:t>
            </w:r>
            <w:r>
              <w:rPr>
                <w:sz w:val="20"/>
                <w:szCs w:val="20"/>
              </w:rPr>
              <w:t>4</w:t>
            </w:r>
          </w:p>
        </w:tc>
        <w:tc>
          <w:tcPr>
            <w:tcW w:w="1722"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615"/>
              <w:jc w:val="right"/>
              <w:rPr>
                <w:sz w:val="20"/>
                <w:szCs w:val="20"/>
              </w:rPr>
            </w:pPr>
            <w:r w:rsidRPr="00574257">
              <w:rPr>
                <w:sz w:val="20"/>
                <w:szCs w:val="20"/>
              </w:rPr>
              <w:t>14.</w:t>
            </w:r>
            <w:r>
              <w:rPr>
                <w:sz w:val="20"/>
                <w:szCs w:val="20"/>
              </w:rPr>
              <w:t>8</w:t>
            </w:r>
          </w:p>
        </w:tc>
        <w:tc>
          <w:tcPr>
            <w:tcW w:w="168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Pr>
                <w:sz w:val="20"/>
                <w:szCs w:val="20"/>
              </w:rPr>
              <w:t>31.0</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20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sidRPr="00574257">
              <w:rPr>
                <w:sz w:val="20"/>
                <w:szCs w:val="20"/>
              </w:rPr>
              <w:t>22.</w:t>
            </w:r>
            <w:r>
              <w:rPr>
                <w:sz w:val="20"/>
                <w:szCs w:val="20"/>
              </w:rPr>
              <w:t>4</w:t>
            </w:r>
          </w:p>
        </w:tc>
        <w:tc>
          <w:tcPr>
            <w:tcW w:w="169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26.3</w:t>
            </w:r>
          </w:p>
        </w:tc>
        <w:tc>
          <w:tcPr>
            <w:tcW w:w="172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615"/>
              <w:jc w:val="right"/>
              <w:rPr>
                <w:sz w:val="20"/>
                <w:szCs w:val="20"/>
              </w:rPr>
            </w:pPr>
            <w:r>
              <w:rPr>
                <w:sz w:val="20"/>
                <w:szCs w:val="20"/>
              </w:rPr>
              <w:t>15.4</w:t>
            </w:r>
          </w:p>
        </w:tc>
        <w:tc>
          <w:tcPr>
            <w:tcW w:w="168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sidRPr="00574257">
              <w:rPr>
                <w:sz w:val="20"/>
                <w:szCs w:val="20"/>
              </w:rPr>
              <w:t>33.</w:t>
            </w:r>
            <w:r>
              <w:rPr>
                <w:sz w:val="20"/>
                <w:szCs w:val="20"/>
              </w:rPr>
              <w:t>9</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20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42"/>
              <w:jc w:val="right"/>
              <w:rPr>
                <w:sz w:val="20"/>
                <w:szCs w:val="20"/>
              </w:rPr>
            </w:pPr>
            <w:r>
              <w:rPr>
                <w:sz w:val="20"/>
                <w:szCs w:val="20"/>
              </w:rPr>
              <w:t>21.0</w:t>
            </w:r>
          </w:p>
        </w:tc>
        <w:tc>
          <w:tcPr>
            <w:tcW w:w="169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591"/>
              <w:jc w:val="right"/>
              <w:rPr>
                <w:sz w:val="20"/>
                <w:szCs w:val="20"/>
              </w:rPr>
            </w:pPr>
            <w:r w:rsidRPr="00574257">
              <w:rPr>
                <w:sz w:val="20"/>
                <w:szCs w:val="20"/>
              </w:rPr>
              <w:t>2</w:t>
            </w:r>
            <w:r>
              <w:rPr>
                <w:sz w:val="20"/>
                <w:szCs w:val="20"/>
              </w:rPr>
              <w:t>3</w:t>
            </w:r>
            <w:r w:rsidRPr="00574257">
              <w:rPr>
                <w:sz w:val="20"/>
                <w:szCs w:val="20"/>
              </w:rPr>
              <w:t>.</w:t>
            </w:r>
            <w:r>
              <w:rPr>
                <w:sz w:val="20"/>
                <w:szCs w:val="20"/>
              </w:rPr>
              <w:t>1</w:t>
            </w:r>
          </w:p>
        </w:tc>
        <w:tc>
          <w:tcPr>
            <w:tcW w:w="172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615"/>
              <w:jc w:val="right"/>
              <w:rPr>
                <w:sz w:val="20"/>
                <w:szCs w:val="20"/>
              </w:rPr>
            </w:pPr>
            <w:r w:rsidRPr="00574257">
              <w:rPr>
                <w:sz w:val="20"/>
                <w:szCs w:val="20"/>
              </w:rPr>
              <w:t>13.</w:t>
            </w:r>
            <w:r>
              <w:rPr>
                <w:sz w:val="20"/>
                <w:szCs w:val="20"/>
              </w:rPr>
              <w:t>9</w:t>
            </w:r>
          </w:p>
        </w:tc>
        <w:tc>
          <w:tcPr>
            <w:tcW w:w="168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431" w:right="700"/>
              <w:jc w:val="right"/>
              <w:rPr>
                <w:sz w:val="20"/>
                <w:szCs w:val="20"/>
              </w:rPr>
            </w:pPr>
            <w:r>
              <w:rPr>
                <w:sz w:val="20"/>
                <w:szCs w:val="20"/>
              </w:rPr>
              <w:t>35.7</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20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742"/>
              <w:jc w:val="right"/>
              <w:rPr>
                <w:sz w:val="20"/>
                <w:szCs w:val="20"/>
              </w:rPr>
            </w:pPr>
            <w:r w:rsidRPr="00574257">
              <w:rPr>
                <w:sz w:val="20"/>
                <w:szCs w:val="20"/>
              </w:rPr>
              <w:t>2</w:t>
            </w:r>
            <w:r>
              <w:rPr>
                <w:sz w:val="20"/>
                <w:szCs w:val="20"/>
              </w:rPr>
              <w:t>3</w:t>
            </w:r>
            <w:r w:rsidRPr="00574257">
              <w:rPr>
                <w:sz w:val="20"/>
                <w:szCs w:val="20"/>
              </w:rPr>
              <w:t>.</w:t>
            </w:r>
            <w:r>
              <w:rPr>
                <w:sz w:val="20"/>
                <w:szCs w:val="20"/>
              </w:rPr>
              <w:t>5</w:t>
            </w:r>
          </w:p>
        </w:tc>
        <w:tc>
          <w:tcPr>
            <w:tcW w:w="169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591"/>
              <w:jc w:val="right"/>
              <w:rPr>
                <w:sz w:val="20"/>
                <w:szCs w:val="20"/>
              </w:rPr>
            </w:pPr>
            <w:r w:rsidRPr="00574257">
              <w:rPr>
                <w:sz w:val="20"/>
                <w:szCs w:val="20"/>
              </w:rPr>
              <w:t>2</w:t>
            </w:r>
            <w:r>
              <w:rPr>
                <w:sz w:val="20"/>
                <w:szCs w:val="20"/>
              </w:rPr>
              <w:t>5.4</w:t>
            </w:r>
          </w:p>
        </w:tc>
        <w:tc>
          <w:tcPr>
            <w:tcW w:w="172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615"/>
              <w:jc w:val="right"/>
              <w:rPr>
                <w:sz w:val="20"/>
                <w:szCs w:val="20"/>
              </w:rPr>
            </w:pPr>
            <w:r w:rsidRPr="00574257">
              <w:rPr>
                <w:sz w:val="20"/>
                <w:szCs w:val="20"/>
              </w:rPr>
              <w:t>1</w:t>
            </w:r>
            <w:r>
              <w:rPr>
                <w:sz w:val="20"/>
                <w:szCs w:val="20"/>
              </w:rPr>
              <w:t>7</w:t>
            </w:r>
            <w:r w:rsidRPr="00574257">
              <w:rPr>
                <w:sz w:val="20"/>
                <w:szCs w:val="20"/>
              </w:rPr>
              <w:t>.</w:t>
            </w:r>
            <w:r>
              <w:rPr>
                <w:sz w:val="20"/>
                <w:szCs w:val="20"/>
              </w:rPr>
              <w:t>5</w:t>
            </w:r>
          </w:p>
        </w:tc>
        <w:tc>
          <w:tcPr>
            <w:tcW w:w="168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700"/>
              <w:jc w:val="right"/>
              <w:rPr>
                <w:sz w:val="20"/>
                <w:szCs w:val="20"/>
              </w:rPr>
            </w:pPr>
            <w:r w:rsidRPr="00574257">
              <w:rPr>
                <w:sz w:val="20"/>
                <w:szCs w:val="20"/>
              </w:rPr>
              <w:t>36.</w:t>
            </w:r>
            <w:r>
              <w:rPr>
                <w:sz w:val="20"/>
                <w:szCs w:val="20"/>
              </w:rPr>
              <w:t>0</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2093"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742"/>
              <w:jc w:val="right"/>
              <w:rPr>
                <w:sz w:val="20"/>
                <w:szCs w:val="20"/>
              </w:rPr>
            </w:pPr>
            <w:r w:rsidRPr="00574257">
              <w:rPr>
                <w:sz w:val="20"/>
                <w:szCs w:val="20"/>
              </w:rPr>
              <w:t>2</w:t>
            </w:r>
            <w:r>
              <w:rPr>
                <w:sz w:val="20"/>
                <w:szCs w:val="20"/>
              </w:rPr>
              <w:t>5</w:t>
            </w:r>
            <w:r w:rsidRPr="00574257">
              <w:rPr>
                <w:sz w:val="20"/>
                <w:szCs w:val="20"/>
              </w:rPr>
              <w:t>.</w:t>
            </w:r>
            <w:r>
              <w:rPr>
                <w:sz w:val="20"/>
                <w:szCs w:val="20"/>
              </w:rPr>
              <w:t>4</w:t>
            </w:r>
          </w:p>
        </w:tc>
        <w:tc>
          <w:tcPr>
            <w:tcW w:w="169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591"/>
              <w:jc w:val="right"/>
              <w:rPr>
                <w:sz w:val="20"/>
                <w:szCs w:val="20"/>
              </w:rPr>
            </w:pPr>
            <w:r w:rsidRPr="00574257">
              <w:rPr>
                <w:sz w:val="20"/>
                <w:szCs w:val="20"/>
              </w:rPr>
              <w:t>2</w:t>
            </w:r>
            <w:r>
              <w:rPr>
                <w:sz w:val="20"/>
                <w:szCs w:val="20"/>
              </w:rPr>
              <w:t>7.9</w:t>
            </w:r>
          </w:p>
        </w:tc>
        <w:tc>
          <w:tcPr>
            <w:tcW w:w="172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615"/>
              <w:jc w:val="right"/>
              <w:rPr>
                <w:sz w:val="20"/>
                <w:szCs w:val="20"/>
              </w:rPr>
            </w:pPr>
            <w:r>
              <w:rPr>
                <w:sz w:val="20"/>
                <w:szCs w:val="20"/>
              </w:rPr>
              <w:t>20.2</w:t>
            </w:r>
          </w:p>
        </w:tc>
        <w:tc>
          <w:tcPr>
            <w:tcW w:w="168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735" w:right="700"/>
              <w:jc w:val="right"/>
              <w:rPr>
                <w:sz w:val="20"/>
                <w:szCs w:val="20"/>
              </w:rPr>
            </w:pPr>
            <w:r w:rsidRPr="00574257">
              <w:rPr>
                <w:sz w:val="20"/>
                <w:szCs w:val="20"/>
              </w:rPr>
              <w:t>3</w:t>
            </w:r>
            <w:r>
              <w:rPr>
                <w:sz w:val="20"/>
                <w:szCs w:val="20"/>
              </w:rPr>
              <w:t>4</w:t>
            </w:r>
            <w:r w:rsidRPr="00574257">
              <w:rPr>
                <w:sz w:val="20"/>
                <w:szCs w:val="20"/>
              </w:rPr>
              <w:t>.</w:t>
            </w:r>
            <w:r>
              <w:rPr>
                <w:sz w:val="20"/>
                <w:szCs w:val="20"/>
              </w:rPr>
              <w:t>3</w:t>
            </w:r>
          </w:p>
        </w:tc>
      </w:tr>
      <w:tr w:rsidR="003F24A1" w:rsidRPr="00574257" w:rsidTr="004B3C2F">
        <w:trPr>
          <w:trHeight w:val="507"/>
          <w:jc w:val="center"/>
        </w:trPr>
        <w:tc>
          <w:tcPr>
            <w:tcW w:w="8190" w:type="dxa"/>
            <w:gridSpan w:val="5"/>
            <w:tcBorders>
              <w:top w:val="single" w:sz="4" w:space="0" w:color="auto"/>
              <w:left w:val="nil"/>
              <w:bottom w:val="nil"/>
              <w:right w:val="nil"/>
            </w:tcBorders>
            <w:shd w:val="clear" w:color="auto" w:fill="auto"/>
            <w:noWrap/>
            <w:vAlign w:val="bottom"/>
          </w:tcPr>
          <w:p w:rsidR="003F24A1" w:rsidRPr="00574257" w:rsidRDefault="003F24A1" w:rsidP="004B3C2F">
            <w:pPr>
              <w:spacing w:before="120"/>
              <w:ind w:left="902" w:hanging="205"/>
              <w:jc w:val="both"/>
              <w:rPr>
                <w:sz w:val="20"/>
                <w:szCs w:val="20"/>
              </w:rPr>
            </w:pPr>
            <w:r w:rsidRPr="00574257">
              <w:rPr>
                <w:sz w:val="20"/>
                <w:szCs w:val="20"/>
              </w:rPr>
              <w:t>*  Estimación.</w:t>
            </w:r>
          </w:p>
          <w:p w:rsidR="003F24A1" w:rsidRPr="009015FA" w:rsidRDefault="003F24A1" w:rsidP="004B3C2F">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ind w:left="903" w:right="-52" w:hanging="861"/>
              <w:jc w:val="both"/>
              <w:rPr>
                <w:sz w:val="20"/>
                <w:szCs w:val="20"/>
              </w:rPr>
            </w:pPr>
            <w:r w:rsidRPr="00574257">
              <w:rPr>
                <w:sz w:val="20"/>
                <w:szCs w:val="20"/>
              </w:rPr>
              <w:t>FUENTE:</w:t>
            </w:r>
            <w:r w:rsidRPr="00574257">
              <w:rPr>
                <w:sz w:val="10"/>
                <w:szCs w:val="20"/>
              </w:rPr>
              <w:t xml:space="preserve"> </w:t>
            </w:r>
            <w:r w:rsidRPr="00574257">
              <w:rPr>
                <w:sz w:val="20"/>
                <w:szCs w:val="20"/>
              </w:rPr>
              <w:t>Elaborado por la Comisión Nacional de los Salarios Mínimos con información de la FAO.</w:t>
            </w:r>
          </w:p>
        </w:tc>
      </w:tr>
    </w:tbl>
    <w:p w:rsidR="003F24A1" w:rsidRPr="009F344C" w:rsidRDefault="003F24A1" w:rsidP="003F24A1">
      <w:pPr>
        <w:spacing w:line="360" w:lineRule="auto"/>
        <w:jc w:val="both"/>
        <w:rPr>
          <w:sz w:val="10"/>
          <w:szCs w:val="26"/>
        </w:rPr>
      </w:pPr>
    </w:p>
    <w:tbl>
      <w:tblPr>
        <w:tblW w:w="7988" w:type="dxa"/>
        <w:jc w:val="center"/>
        <w:tblCellMar>
          <w:left w:w="70" w:type="dxa"/>
          <w:right w:w="70" w:type="dxa"/>
        </w:tblCellMar>
        <w:tblLook w:val="0000" w:firstRow="0" w:lastRow="0" w:firstColumn="0" w:lastColumn="0" w:noHBand="0" w:noVBand="0"/>
      </w:tblPr>
      <w:tblGrid>
        <w:gridCol w:w="996"/>
        <w:gridCol w:w="1782"/>
        <w:gridCol w:w="1778"/>
        <w:gridCol w:w="1668"/>
        <w:gridCol w:w="1764"/>
      </w:tblGrid>
      <w:tr w:rsidR="003F24A1" w:rsidRPr="00574257" w:rsidTr="004B3C2F">
        <w:trPr>
          <w:trHeight w:val="405"/>
          <w:jc w:val="center"/>
        </w:trPr>
        <w:tc>
          <w:tcPr>
            <w:tcW w:w="7988" w:type="dxa"/>
            <w:gridSpan w:val="5"/>
            <w:tcBorders>
              <w:top w:val="nil"/>
              <w:left w:val="nil"/>
              <w:bottom w:val="single" w:sz="4" w:space="0" w:color="FFFFFF" w:themeColor="background1"/>
              <w:right w:val="nil"/>
            </w:tcBorders>
            <w:shd w:val="clear" w:color="auto" w:fill="auto"/>
            <w:vAlign w:val="center"/>
          </w:tcPr>
          <w:p w:rsidR="003F24A1" w:rsidRDefault="003F24A1" w:rsidP="004B3C2F">
            <w:pPr>
              <w:jc w:val="center"/>
              <w:rPr>
                <w:b/>
                <w:bCs/>
                <w:sz w:val="22"/>
                <w:szCs w:val="22"/>
              </w:rPr>
            </w:pPr>
          </w:p>
          <w:p w:rsidR="003F24A1" w:rsidRDefault="003F24A1" w:rsidP="004B3C2F">
            <w:pPr>
              <w:jc w:val="center"/>
              <w:rPr>
                <w:b/>
                <w:bCs/>
                <w:sz w:val="22"/>
                <w:szCs w:val="22"/>
              </w:rPr>
            </w:pPr>
          </w:p>
          <w:p w:rsidR="003F24A1" w:rsidRDefault="003F24A1" w:rsidP="004B3C2F">
            <w:pPr>
              <w:jc w:val="center"/>
              <w:rPr>
                <w:b/>
                <w:bCs/>
                <w:sz w:val="22"/>
                <w:szCs w:val="22"/>
              </w:rPr>
            </w:pPr>
          </w:p>
          <w:p w:rsidR="003F24A1" w:rsidRPr="00574257" w:rsidRDefault="003F24A1" w:rsidP="004B3C2F">
            <w:pPr>
              <w:jc w:val="center"/>
              <w:rPr>
                <w:sz w:val="22"/>
                <w:szCs w:val="22"/>
                <w:vertAlign w:val="superscript"/>
              </w:rPr>
            </w:pPr>
            <w:r w:rsidRPr="00574257">
              <w:rPr>
                <w:b/>
                <w:bCs/>
                <w:sz w:val="22"/>
                <w:szCs w:val="22"/>
              </w:rPr>
              <w:t xml:space="preserve">EXISTENCIAS AL FINAL DEL EJERCICIO </w:t>
            </w:r>
            <w:r w:rsidRPr="00574257">
              <w:rPr>
                <w:sz w:val="22"/>
                <w:szCs w:val="22"/>
                <w:u w:val="single"/>
                <w:vertAlign w:val="superscript"/>
              </w:rPr>
              <w:t>1</w:t>
            </w:r>
            <w:r w:rsidRPr="00574257">
              <w:rPr>
                <w:sz w:val="22"/>
                <w:szCs w:val="22"/>
                <w:vertAlign w:val="superscript"/>
              </w:rPr>
              <w:t>/</w:t>
            </w:r>
          </w:p>
          <w:p w:rsidR="003F24A1" w:rsidRPr="00574257" w:rsidRDefault="003F24A1" w:rsidP="004B3C2F">
            <w:pPr>
              <w:jc w:val="center"/>
              <w:rPr>
                <w:b/>
                <w:bCs/>
                <w:sz w:val="22"/>
                <w:szCs w:val="22"/>
              </w:rPr>
            </w:pPr>
            <w:r w:rsidRPr="00574257">
              <w:rPr>
                <w:b/>
                <w:iCs/>
                <w:sz w:val="22"/>
                <w:szCs w:val="22"/>
              </w:rPr>
              <w:t>- Millones de toneladas -</w:t>
            </w:r>
          </w:p>
        </w:tc>
      </w:tr>
      <w:tr w:rsidR="003F24A1" w:rsidRPr="00574257" w:rsidTr="004B3C2F">
        <w:trPr>
          <w:trHeight w:val="940"/>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17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w:t>
            </w:r>
          </w:p>
        </w:tc>
        <w:tc>
          <w:tcPr>
            <w:tcW w:w="17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trigo</w:t>
            </w:r>
          </w:p>
        </w:tc>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7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arroz</w:t>
            </w:r>
          </w:p>
        </w:tc>
      </w:tr>
      <w:tr w:rsidR="003F24A1" w:rsidRPr="00574257" w:rsidTr="004B3C2F">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1782"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544" w:right="602"/>
              <w:jc w:val="right"/>
              <w:rPr>
                <w:sz w:val="20"/>
                <w:szCs w:val="20"/>
              </w:rPr>
            </w:pPr>
            <w:r w:rsidRPr="00574257">
              <w:rPr>
                <w:sz w:val="20"/>
                <w:szCs w:val="20"/>
              </w:rPr>
              <w:t>50</w:t>
            </w:r>
            <w:r>
              <w:rPr>
                <w:sz w:val="20"/>
                <w:szCs w:val="20"/>
              </w:rPr>
              <w:t>0.7</w:t>
            </w:r>
          </w:p>
        </w:tc>
        <w:tc>
          <w:tcPr>
            <w:tcW w:w="1778"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544" w:right="574"/>
              <w:jc w:val="right"/>
              <w:rPr>
                <w:sz w:val="20"/>
                <w:szCs w:val="20"/>
              </w:rPr>
            </w:pPr>
            <w:r w:rsidRPr="00574257">
              <w:rPr>
                <w:sz w:val="20"/>
                <w:szCs w:val="20"/>
              </w:rPr>
              <w:t>184.</w:t>
            </w:r>
            <w:r>
              <w:rPr>
                <w:sz w:val="20"/>
                <w:szCs w:val="20"/>
              </w:rPr>
              <w:t>6</w:t>
            </w:r>
          </w:p>
        </w:tc>
        <w:tc>
          <w:tcPr>
            <w:tcW w:w="1668"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264" w:right="521"/>
              <w:jc w:val="right"/>
              <w:rPr>
                <w:sz w:val="20"/>
                <w:szCs w:val="20"/>
              </w:rPr>
            </w:pPr>
            <w:r w:rsidRPr="00574257">
              <w:rPr>
                <w:sz w:val="20"/>
                <w:szCs w:val="20"/>
              </w:rPr>
              <w:t>17</w:t>
            </w:r>
            <w:r>
              <w:rPr>
                <w:sz w:val="20"/>
                <w:szCs w:val="20"/>
              </w:rPr>
              <w:t>0.7</w:t>
            </w:r>
          </w:p>
        </w:tc>
        <w:tc>
          <w:tcPr>
            <w:tcW w:w="176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264" w:right="619"/>
              <w:jc w:val="right"/>
              <w:rPr>
                <w:sz w:val="20"/>
                <w:szCs w:val="20"/>
              </w:rPr>
            </w:pPr>
            <w:r w:rsidRPr="00574257">
              <w:rPr>
                <w:sz w:val="20"/>
                <w:szCs w:val="20"/>
              </w:rPr>
              <w:t>145.</w:t>
            </w:r>
            <w:r>
              <w:rPr>
                <w:sz w:val="20"/>
                <w:szCs w:val="20"/>
              </w:rPr>
              <w:t>4</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178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602"/>
              <w:jc w:val="right"/>
              <w:rPr>
                <w:sz w:val="20"/>
                <w:szCs w:val="20"/>
              </w:rPr>
            </w:pPr>
            <w:r w:rsidRPr="00574257">
              <w:rPr>
                <w:sz w:val="20"/>
                <w:szCs w:val="20"/>
              </w:rPr>
              <w:t>52</w:t>
            </w:r>
            <w:r>
              <w:rPr>
                <w:sz w:val="20"/>
                <w:szCs w:val="20"/>
              </w:rPr>
              <w:t>0.9</w:t>
            </w:r>
          </w:p>
        </w:tc>
        <w:tc>
          <w:tcPr>
            <w:tcW w:w="177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574"/>
              <w:jc w:val="right"/>
              <w:rPr>
                <w:sz w:val="20"/>
                <w:szCs w:val="20"/>
              </w:rPr>
            </w:pPr>
            <w:r>
              <w:rPr>
                <w:sz w:val="20"/>
                <w:szCs w:val="20"/>
              </w:rPr>
              <w:t>180.5</w:t>
            </w:r>
          </w:p>
        </w:tc>
        <w:tc>
          <w:tcPr>
            <w:tcW w:w="16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521"/>
              <w:jc w:val="right"/>
              <w:rPr>
                <w:sz w:val="20"/>
                <w:szCs w:val="20"/>
              </w:rPr>
            </w:pPr>
            <w:r>
              <w:rPr>
                <w:sz w:val="20"/>
                <w:szCs w:val="20"/>
              </w:rPr>
              <w:t>178.5</w:t>
            </w:r>
          </w:p>
        </w:tc>
        <w:tc>
          <w:tcPr>
            <w:tcW w:w="17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619"/>
              <w:jc w:val="right"/>
              <w:rPr>
                <w:sz w:val="20"/>
                <w:szCs w:val="20"/>
              </w:rPr>
            </w:pPr>
            <w:r w:rsidRPr="00574257">
              <w:rPr>
                <w:sz w:val="20"/>
                <w:szCs w:val="20"/>
              </w:rPr>
              <w:t>16</w:t>
            </w:r>
            <w:r>
              <w:rPr>
                <w:sz w:val="20"/>
                <w:szCs w:val="20"/>
              </w:rPr>
              <w:t>2</w:t>
            </w:r>
            <w:r w:rsidRPr="00574257">
              <w:rPr>
                <w:sz w:val="20"/>
                <w:szCs w:val="20"/>
              </w:rPr>
              <w:t>.</w:t>
            </w:r>
            <w:r>
              <w:rPr>
                <w:sz w:val="20"/>
                <w:szCs w:val="20"/>
              </w:rPr>
              <w:t>0</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178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602"/>
              <w:jc w:val="right"/>
              <w:rPr>
                <w:sz w:val="20"/>
                <w:szCs w:val="20"/>
              </w:rPr>
            </w:pPr>
            <w:r w:rsidRPr="00574257">
              <w:rPr>
                <w:sz w:val="20"/>
                <w:szCs w:val="20"/>
              </w:rPr>
              <w:t>50</w:t>
            </w:r>
            <w:r>
              <w:rPr>
                <w:sz w:val="20"/>
                <w:szCs w:val="20"/>
              </w:rPr>
              <w:t>5.3</w:t>
            </w:r>
          </w:p>
        </w:tc>
        <w:tc>
          <w:tcPr>
            <w:tcW w:w="177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574"/>
              <w:jc w:val="right"/>
              <w:rPr>
                <w:sz w:val="20"/>
                <w:szCs w:val="20"/>
              </w:rPr>
            </w:pPr>
            <w:r w:rsidRPr="00574257">
              <w:rPr>
                <w:sz w:val="20"/>
                <w:szCs w:val="20"/>
              </w:rPr>
              <w:t>15</w:t>
            </w:r>
            <w:r>
              <w:rPr>
                <w:sz w:val="20"/>
                <w:szCs w:val="20"/>
              </w:rPr>
              <w:t>8</w:t>
            </w:r>
            <w:r w:rsidRPr="00574257">
              <w:rPr>
                <w:sz w:val="20"/>
                <w:szCs w:val="20"/>
              </w:rPr>
              <w:t>.</w:t>
            </w:r>
            <w:r>
              <w:rPr>
                <w:sz w:val="20"/>
                <w:szCs w:val="20"/>
              </w:rPr>
              <w:t>4</w:t>
            </w:r>
          </w:p>
        </w:tc>
        <w:tc>
          <w:tcPr>
            <w:tcW w:w="16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521"/>
              <w:jc w:val="right"/>
              <w:rPr>
                <w:sz w:val="20"/>
                <w:szCs w:val="20"/>
              </w:rPr>
            </w:pPr>
            <w:r>
              <w:rPr>
                <w:sz w:val="20"/>
                <w:szCs w:val="20"/>
              </w:rPr>
              <w:t>171.3</w:t>
            </w:r>
          </w:p>
        </w:tc>
        <w:tc>
          <w:tcPr>
            <w:tcW w:w="17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619"/>
              <w:jc w:val="right"/>
              <w:rPr>
                <w:sz w:val="20"/>
                <w:szCs w:val="20"/>
              </w:rPr>
            </w:pPr>
            <w:r w:rsidRPr="00574257">
              <w:rPr>
                <w:sz w:val="20"/>
                <w:szCs w:val="20"/>
              </w:rPr>
              <w:t>17</w:t>
            </w:r>
            <w:r>
              <w:rPr>
                <w:sz w:val="20"/>
                <w:szCs w:val="20"/>
              </w:rPr>
              <w:t>5.7</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178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602"/>
              <w:jc w:val="right"/>
              <w:rPr>
                <w:sz w:val="20"/>
                <w:szCs w:val="20"/>
              </w:rPr>
            </w:pPr>
            <w:r w:rsidRPr="00574257">
              <w:rPr>
                <w:sz w:val="20"/>
                <w:szCs w:val="20"/>
              </w:rPr>
              <w:t>5</w:t>
            </w:r>
            <w:r>
              <w:rPr>
                <w:sz w:val="20"/>
                <w:szCs w:val="20"/>
              </w:rPr>
              <w:t>80.8</w:t>
            </w:r>
          </w:p>
        </w:tc>
        <w:tc>
          <w:tcPr>
            <w:tcW w:w="177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574"/>
              <w:jc w:val="right"/>
              <w:rPr>
                <w:sz w:val="20"/>
                <w:szCs w:val="20"/>
              </w:rPr>
            </w:pPr>
            <w:r w:rsidRPr="00574257">
              <w:rPr>
                <w:sz w:val="20"/>
                <w:szCs w:val="20"/>
              </w:rPr>
              <w:t>17</w:t>
            </w:r>
            <w:r>
              <w:rPr>
                <w:sz w:val="20"/>
                <w:szCs w:val="20"/>
              </w:rPr>
              <w:t>8.7</w:t>
            </w:r>
          </w:p>
        </w:tc>
        <w:tc>
          <w:tcPr>
            <w:tcW w:w="16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521"/>
              <w:jc w:val="right"/>
              <w:rPr>
                <w:sz w:val="20"/>
                <w:szCs w:val="20"/>
              </w:rPr>
            </w:pPr>
            <w:r w:rsidRPr="00574257">
              <w:rPr>
                <w:sz w:val="20"/>
                <w:szCs w:val="20"/>
              </w:rPr>
              <w:t>2</w:t>
            </w:r>
            <w:r>
              <w:rPr>
                <w:sz w:val="20"/>
                <w:szCs w:val="20"/>
              </w:rPr>
              <w:t>22.1</w:t>
            </w:r>
          </w:p>
        </w:tc>
        <w:tc>
          <w:tcPr>
            <w:tcW w:w="17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619"/>
              <w:jc w:val="right"/>
              <w:rPr>
                <w:sz w:val="20"/>
                <w:szCs w:val="20"/>
              </w:rPr>
            </w:pPr>
            <w:r w:rsidRPr="00574257">
              <w:rPr>
                <w:sz w:val="20"/>
                <w:szCs w:val="20"/>
              </w:rPr>
              <w:t>18</w:t>
            </w:r>
            <w:r>
              <w:rPr>
                <w:sz w:val="20"/>
                <w:szCs w:val="20"/>
              </w:rPr>
              <w:t>0.0</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1782"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602"/>
              <w:jc w:val="right"/>
              <w:rPr>
                <w:sz w:val="20"/>
                <w:szCs w:val="20"/>
              </w:rPr>
            </w:pPr>
            <w:r>
              <w:rPr>
                <w:sz w:val="20"/>
                <w:szCs w:val="20"/>
              </w:rPr>
              <w:t>630.5</w:t>
            </w:r>
          </w:p>
        </w:tc>
        <w:tc>
          <w:tcPr>
            <w:tcW w:w="177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44" w:right="574"/>
              <w:jc w:val="right"/>
              <w:rPr>
                <w:sz w:val="20"/>
                <w:szCs w:val="20"/>
              </w:rPr>
            </w:pPr>
            <w:r w:rsidRPr="00574257">
              <w:rPr>
                <w:sz w:val="20"/>
                <w:szCs w:val="20"/>
              </w:rPr>
              <w:t>1</w:t>
            </w:r>
            <w:r>
              <w:rPr>
                <w:sz w:val="20"/>
                <w:szCs w:val="20"/>
              </w:rPr>
              <w:t>98.6</w:t>
            </w:r>
          </w:p>
        </w:tc>
        <w:tc>
          <w:tcPr>
            <w:tcW w:w="16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521"/>
              <w:jc w:val="right"/>
              <w:rPr>
                <w:sz w:val="20"/>
                <w:szCs w:val="20"/>
              </w:rPr>
            </w:pPr>
            <w:r w:rsidRPr="00574257">
              <w:rPr>
                <w:sz w:val="20"/>
                <w:szCs w:val="20"/>
              </w:rPr>
              <w:t>2</w:t>
            </w:r>
            <w:r>
              <w:rPr>
                <w:sz w:val="20"/>
                <w:szCs w:val="20"/>
              </w:rPr>
              <w:t>55.7</w:t>
            </w:r>
          </w:p>
        </w:tc>
        <w:tc>
          <w:tcPr>
            <w:tcW w:w="17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264" w:right="619"/>
              <w:jc w:val="right"/>
              <w:rPr>
                <w:sz w:val="20"/>
                <w:szCs w:val="20"/>
              </w:rPr>
            </w:pPr>
            <w:r w:rsidRPr="00574257">
              <w:rPr>
                <w:sz w:val="20"/>
                <w:szCs w:val="20"/>
              </w:rPr>
              <w:t>1</w:t>
            </w:r>
            <w:r>
              <w:rPr>
                <w:sz w:val="20"/>
                <w:szCs w:val="20"/>
              </w:rPr>
              <w:t>76.2</w:t>
            </w:r>
          </w:p>
        </w:tc>
      </w:tr>
      <w:tr w:rsidR="003F24A1" w:rsidRPr="00574257" w:rsidTr="004B3C2F">
        <w:trPr>
          <w:trHeight w:val="968"/>
          <w:jc w:val="center"/>
        </w:trPr>
        <w:tc>
          <w:tcPr>
            <w:tcW w:w="7988" w:type="dxa"/>
            <w:gridSpan w:val="5"/>
            <w:tcBorders>
              <w:top w:val="single" w:sz="4" w:space="0" w:color="auto"/>
              <w:left w:val="nil"/>
              <w:bottom w:val="nil"/>
              <w:right w:val="nil"/>
            </w:tcBorders>
            <w:shd w:val="clear" w:color="auto" w:fill="auto"/>
            <w:noWrap/>
            <w:vAlign w:val="bottom"/>
          </w:tcPr>
          <w:p w:rsidR="003F24A1" w:rsidRPr="00574257" w:rsidRDefault="003F24A1" w:rsidP="004B3C2F">
            <w:pPr>
              <w:spacing w:before="120"/>
              <w:ind w:left="904" w:right="-55" w:hanging="168"/>
              <w:jc w:val="both"/>
              <w:rPr>
                <w:sz w:val="20"/>
                <w:szCs w:val="20"/>
              </w:rPr>
            </w:pPr>
            <w:r w:rsidRPr="00574257">
              <w:rPr>
                <w:sz w:val="20"/>
                <w:szCs w:val="20"/>
                <w:u w:val="single"/>
                <w:vertAlign w:val="superscript"/>
              </w:rPr>
              <w:t>1</w:t>
            </w:r>
            <w:r w:rsidRPr="00574257">
              <w:rPr>
                <w:sz w:val="20"/>
                <w:szCs w:val="20"/>
                <w:vertAlign w:val="superscript"/>
              </w:rPr>
              <w:t xml:space="preserve">/ </w:t>
            </w:r>
            <w:r w:rsidRPr="00574257">
              <w:rPr>
                <w:sz w:val="20"/>
                <w:szCs w:val="20"/>
              </w:rPr>
              <w:t xml:space="preserve">Puede no ser igual a la diferencia entre suministros y utilización debido a las diferencias en las cosechas comerciales de los distintos países. </w:t>
            </w:r>
          </w:p>
          <w:p w:rsidR="003F24A1" w:rsidRPr="00574257" w:rsidRDefault="003F24A1" w:rsidP="004B3C2F">
            <w:pPr>
              <w:ind w:left="922" w:right="-55" w:hanging="224"/>
              <w:jc w:val="both"/>
              <w:rPr>
                <w:sz w:val="20"/>
                <w:szCs w:val="20"/>
              </w:rPr>
            </w:pPr>
            <w:r w:rsidRPr="00574257">
              <w:rPr>
                <w:sz w:val="20"/>
                <w:szCs w:val="20"/>
              </w:rPr>
              <w:t>*  Estimación.</w:t>
            </w:r>
          </w:p>
          <w:p w:rsidR="003F24A1" w:rsidRPr="00574257" w:rsidRDefault="003F24A1" w:rsidP="004B3C2F">
            <w:pPr>
              <w:ind w:left="899" w:right="-67" w:hanging="258"/>
              <w:jc w:val="both"/>
              <w:rPr>
                <w:sz w:val="20"/>
                <w:szCs w:val="20"/>
              </w:rPr>
            </w:pPr>
            <w:r w:rsidRPr="00574257">
              <w:rPr>
                <w:sz w:val="20"/>
                <w:szCs w:val="20"/>
              </w:rPr>
              <w:t xml:space="preserve">** </w:t>
            </w:r>
            <w:r w:rsidRPr="009015FA">
              <w:rPr>
                <w:sz w:val="20"/>
                <w:szCs w:val="20"/>
              </w:rPr>
              <w:t xml:space="preserve">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tabs>
                <w:tab w:val="left" w:pos="3140"/>
              </w:tabs>
              <w:ind w:left="904" w:right="-55" w:hanging="878"/>
              <w:jc w:val="both"/>
              <w:rPr>
                <w:sz w:val="20"/>
                <w:szCs w:val="20"/>
              </w:rPr>
            </w:pPr>
            <w:r w:rsidRPr="00574257">
              <w:rPr>
                <w:sz w:val="20"/>
                <w:szCs w:val="20"/>
              </w:rPr>
              <w:t>FUENTE: Elaborado por la Comisión Nacional de los Salarios Mínimos con información de la FAO.</w:t>
            </w:r>
          </w:p>
        </w:tc>
      </w:tr>
    </w:tbl>
    <w:p w:rsidR="003F24A1" w:rsidRPr="00574257" w:rsidRDefault="003F24A1" w:rsidP="003F24A1">
      <w:pPr>
        <w:spacing w:before="360" w:after="360" w:line="360" w:lineRule="auto"/>
        <w:jc w:val="both"/>
        <w:rPr>
          <w:sz w:val="26"/>
        </w:rPr>
      </w:pPr>
      <w:r w:rsidRPr="00743CE0">
        <w:rPr>
          <w:sz w:val="26"/>
        </w:rPr>
        <w:t>Las previsiones sobre el comercio mundial de cereales en 2014/15 se han incrementado en casi 3 millones de toneladas desde el informe anterior hasta los</w:t>
      </w:r>
      <w:r>
        <w:rPr>
          <w:sz w:val="26"/>
        </w:rPr>
        <w:t xml:space="preserve">       </w:t>
      </w:r>
      <w:r w:rsidRPr="00743CE0">
        <w:rPr>
          <w:sz w:val="26"/>
        </w:rPr>
        <w:t xml:space="preserve"> 344</w:t>
      </w:r>
      <w:r>
        <w:rPr>
          <w:sz w:val="26"/>
        </w:rPr>
        <w:t>.2</w:t>
      </w:r>
      <w:r w:rsidRPr="00743CE0">
        <w:rPr>
          <w:sz w:val="26"/>
        </w:rPr>
        <w:t xml:space="preserve"> millones de toneladas, aunque esto todavía supondría una reducción del 3</w:t>
      </w:r>
      <w:r>
        <w:rPr>
          <w:sz w:val="26"/>
        </w:rPr>
        <w:t>.</w:t>
      </w:r>
      <w:r w:rsidRPr="00743CE0">
        <w:rPr>
          <w:sz w:val="26"/>
        </w:rPr>
        <w:t xml:space="preserve">7% </w:t>
      </w:r>
      <w:r>
        <w:rPr>
          <w:sz w:val="26"/>
        </w:rPr>
        <w:t xml:space="preserve">   </w:t>
      </w:r>
      <w:r w:rsidRPr="00743CE0">
        <w:rPr>
          <w:sz w:val="26"/>
        </w:rPr>
        <w:t>(13 millones de toneladas) en comparación con el récord alcanzado en 2013/14. La revisión al alza desde el mes pasado atañe a los cereales secundarios y obedece principalmente al aumento previsto de las importaciones de sorgo por parte de China. Actualmente, se prevé que el comercio mundial de cereales secundarios alcance los 15</w:t>
      </w:r>
      <w:r>
        <w:rPr>
          <w:sz w:val="26"/>
        </w:rPr>
        <w:t>1.8</w:t>
      </w:r>
      <w:r w:rsidRPr="00743CE0">
        <w:rPr>
          <w:sz w:val="26"/>
        </w:rPr>
        <w:t xml:space="preserve"> millones de toneladas, alrededor de 2</w:t>
      </w:r>
      <w:r>
        <w:rPr>
          <w:sz w:val="26"/>
        </w:rPr>
        <w:t>.</w:t>
      </w:r>
      <w:r w:rsidRPr="00743CE0">
        <w:rPr>
          <w:sz w:val="26"/>
        </w:rPr>
        <w:t xml:space="preserve">3 millones de toneladas más de lo previsto </w:t>
      </w:r>
      <w:r w:rsidRPr="00743CE0">
        <w:rPr>
          <w:sz w:val="26"/>
        </w:rPr>
        <w:lastRenderedPageBreak/>
        <w:t>anteriormente, aunque todavía un 4</w:t>
      </w:r>
      <w:r>
        <w:rPr>
          <w:sz w:val="26"/>
        </w:rPr>
        <w:t>.0</w:t>
      </w:r>
      <w:r w:rsidRPr="00743CE0">
        <w:rPr>
          <w:sz w:val="26"/>
        </w:rPr>
        <w:t>% (7 millones de toneladas) por debajo del nivel récord registrado en la campaña anterior. El comercio total de sorgo se estima en 10 millones de toneladas, aproximadamente un 53</w:t>
      </w:r>
      <w:r>
        <w:rPr>
          <w:sz w:val="26"/>
        </w:rPr>
        <w:t>.0</w:t>
      </w:r>
      <w:r w:rsidRPr="00743CE0">
        <w:rPr>
          <w:sz w:val="26"/>
        </w:rPr>
        <w:t>% (3</w:t>
      </w:r>
      <w:r>
        <w:rPr>
          <w:sz w:val="26"/>
        </w:rPr>
        <w:t>.</w:t>
      </w:r>
      <w:r w:rsidRPr="00743CE0">
        <w:rPr>
          <w:sz w:val="26"/>
        </w:rPr>
        <w:t>5 millones de toneladas) más que en la campaña anterior. El pronóstico sobre el comercio de maíz permanece sin cambios en 114</w:t>
      </w:r>
      <w:r>
        <w:rPr>
          <w:sz w:val="26"/>
        </w:rPr>
        <w:t>.</w:t>
      </w:r>
      <w:r w:rsidRPr="00743CE0">
        <w:rPr>
          <w:sz w:val="26"/>
        </w:rPr>
        <w:t>5 millones de toneladas, casi un 8</w:t>
      </w:r>
      <w:r>
        <w:rPr>
          <w:sz w:val="26"/>
        </w:rPr>
        <w:t>.0</w:t>
      </w:r>
      <w:r w:rsidRPr="00743CE0">
        <w:rPr>
          <w:sz w:val="26"/>
        </w:rPr>
        <w:t>% (10 millones de toneladas) por debajo del nivel correspondiente a 2013/14. El comercio mundial de trigo también permanece invariable con respecto al mes anterior y se sitúa en 151 millones de toneladas, un 3</w:t>
      </w:r>
      <w:r>
        <w:rPr>
          <w:sz w:val="26"/>
        </w:rPr>
        <w:t>.</w:t>
      </w:r>
      <w:r w:rsidRPr="00743CE0">
        <w:rPr>
          <w:sz w:val="26"/>
        </w:rPr>
        <w:t>6% (5</w:t>
      </w:r>
      <w:r>
        <w:rPr>
          <w:sz w:val="26"/>
        </w:rPr>
        <w:t>.</w:t>
      </w:r>
      <w:r w:rsidRPr="00743CE0">
        <w:rPr>
          <w:sz w:val="26"/>
        </w:rPr>
        <w:t>6 millones de toneladas) por debajo del récord estimado de 2013/</w:t>
      </w:r>
      <w:r>
        <w:rPr>
          <w:sz w:val="26"/>
        </w:rPr>
        <w:t>20</w:t>
      </w:r>
      <w:r w:rsidRPr="00743CE0">
        <w:rPr>
          <w:sz w:val="26"/>
        </w:rPr>
        <w:t>14. Se prevé que las exportaciones de trigo de los Estados Unidos</w:t>
      </w:r>
      <w:r>
        <w:rPr>
          <w:sz w:val="26"/>
        </w:rPr>
        <w:t xml:space="preserve"> de Norteamérica</w:t>
      </w:r>
      <w:r w:rsidRPr="00743CE0">
        <w:rPr>
          <w:sz w:val="26"/>
        </w:rPr>
        <w:t xml:space="preserve"> experimenten el mayor descenso, aunque también es probable que se reduzcan los envíos de India y Kazajstán. Por otro lado, respecto del mes pasado, las previsiones sobre el comercio de arroz en 2015 (año</w:t>
      </w:r>
      <w:r>
        <w:rPr>
          <w:sz w:val="26"/>
        </w:rPr>
        <w:t xml:space="preserve"> </w:t>
      </w:r>
      <w:r w:rsidRPr="00743CE0">
        <w:rPr>
          <w:sz w:val="26"/>
        </w:rPr>
        <w:t>civil) han aumentado ligeramente, hasta los 41</w:t>
      </w:r>
      <w:r>
        <w:rPr>
          <w:sz w:val="26"/>
        </w:rPr>
        <w:t>.</w:t>
      </w:r>
      <w:r w:rsidRPr="00743CE0">
        <w:rPr>
          <w:sz w:val="26"/>
        </w:rPr>
        <w:t>4 millones de toneladas, volumen que todavía apunta a una contracción del 1</w:t>
      </w:r>
      <w:r>
        <w:rPr>
          <w:sz w:val="26"/>
        </w:rPr>
        <w:t>.</w:t>
      </w:r>
      <w:r w:rsidRPr="00743CE0">
        <w:rPr>
          <w:sz w:val="26"/>
        </w:rPr>
        <w:t>6% respecto del nivel récord estimado actualmente para 2014.</w:t>
      </w:r>
    </w:p>
    <w:tbl>
      <w:tblPr>
        <w:tblW w:w="8491" w:type="dxa"/>
        <w:jc w:val="center"/>
        <w:tblCellMar>
          <w:left w:w="70" w:type="dxa"/>
          <w:right w:w="70" w:type="dxa"/>
        </w:tblCellMar>
        <w:tblLook w:val="0000" w:firstRow="0" w:lastRow="0" w:firstColumn="0" w:lastColumn="0" w:noHBand="0" w:noVBand="0"/>
      </w:tblPr>
      <w:tblGrid>
        <w:gridCol w:w="858"/>
        <w:gridCol w:w="138"/>
        <w:gridCol w:w="1680"/>
        <w:gridCol w:w="1885"/>
        <w:gridCol w:w="2125"/>
        <w:gridCol w:w="1805"/>
      </w:tblGrid>
      <w:tr w:rsidR="003F24A1" w:rsidRPr="00574257" w:rsidTr="004B3C2F">
        <w:trPr>
          <w:trHeight w:val="392"/>
          <w:jc w:val="center"/>
        </w:trPr>
        <w:tc>
          <w:tcPr>
            <w:tcW w:w="8491" w:type="dxa"/>
            <w:gridSpan w:val="6"/>
            <w:tcBorders>
              <w:top w:val="nil"/>
              <w:left w:val="nil"/>
              <w:bottom w:val="single" w:sz="4" w:space="0" w:color="FFFFFF" w:themeColor="background1"/>
              <w:right w:val="nil"/>
            </w:tcBorders>
            <w:shd w:val="clear" w:color="auto" w:fill="auto"/>
            <w:vAlign w:val="center"/>
          </w:tcPr>
          <w:p w:rsidR="003F24A1" w:rsidRPr="00574257" w:rsidRDefault="003F24A1" w:rsidP="004B3C2F">
            <w:pPr>
              <w:jc w:val="center"/>
              <w:rPr>
                <w:sz w:val="22"/>
                <w:szCs w:val="22"/>
                <w:vertAlign w:val="superscript"/>
              </w:rPr>
            </w:pPr>
            <w:r w:rsidRPr="00574257">
              <w:rPr>
                <w:b/>
                <w:bCs/>
                <w:sz w:val="22"/>
                <w:szCs w:val="22"/>
              </w:rPr>
              <w:t xml:space="preserve">COMERCIO </w:t>
            </w:r>
            <w:r w:rsidRPr="00574257">
              <w:rPr>
                <w:sz w:val="22"/>
                <w:szCs w:val="22"/>
                <w:u w:val="single"/>
                <w:vertAlign w:val="superscript"/>
              </w:rPr>
              <w:t>1</w:t>
            </w:r>
            <w:r w:rsidRPr="00574257">
              <w:rPr>
                <w:sz w:val="22"/>
                <w:szCs w:val="22"/>
                <w:vertAlign w:val="superscript"/>
              </w:rPr>
              <w:t>/</w:t>
            </w:r>
          </w:p>
          <w:p w:rsidR="003F24A1" w:rsidRPr="00574257" w:rsidRDefault="003F24A1" w:rsidP="004B3C2F">
            <w:pPr>
              <w:jc w:val="center"/>
              <w:rPr>
                <w:b/>
                <w:bCs/>
                <w:sz w:val="22"/>
                <w:szCs w:val="22"/>
              </w:rPr>
            </w:pPr>
            <w:r w:rsidRPr="00574257">
              <w:rPr>
                <w:b/>
                <w:iCs/>
                <w:sz w:val="22"/>
                <w:szCs w:val="22"/>
              </w:rPr>
              <w:t>- Millones de toneladas -</w:t>
            </w:r>
          </w:p>
        </w:tc>
      </w:tr>
      <w:tr w:rsidR="003F24A1" w:rsidRPr="00574257" w:rsidTr="004B3C2F">
        <w:trPr>
          <w:trHeight w:val="941"/>
          <w:jc w:val="center"/>
        </w:trPr>
        <w:tc>
          <w:tcPr>
            <w:tcW w:w="9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16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w:t>
            </w:r>
          </w:p>
        </w:tc>
        <w:tc>
          <w:tcPr>
            <w:tcW w:w="18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trigo</w:t>
            </w:r>
          </w:p>
        </w:tc>
        <w:tc>
          <w:tcPr>
            <w:tcW w:w="2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 de arroz</w:t>
            </w:r>
          </w:p>
        </w:tc>
      </w:tr>
      <w:tr w:rsidR="003F24A1" w:rsidRPr="00574257" w:rsidTr="004B3C2F">
        <w:trPr>
          <w:trHeight w:val="255"/>
          <w:jc w:val="center"/>
        </w:trPr>
        <w:tc>
          <w:tcPr>
            <w:tcW w:w="996" w:type="dxa"/>
            <w:gridSpan w:val="2"/>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1680"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333" w:right="512"/>
              <w:jc w:val="right"/>
              <w:rPr>
                <w:sz w:val="20"/>
                <w:szCs w:val="20"/>
              </w:rPr>
            </w:pPr>
            <w:r w:rsidRPr="00574257">
              <w:rPr>
                <w:sz w:val="20"/>
                <w:szCs w:val="20"/>
              </w:rPr>
              <w:t>288.</w:t>
            </w:r>
            <w:r>
              <w:rPr>
                <w:sz w:val="20"/>
                <w:szCs w:val="20"/>
              </w:rPr>
              <w:t>7</w:t>
            </w:r>
          </w:p>
        </w:tc>
        <w:tc>
          <w:tcPr>
            <w:tcW w:w="1885"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333" w:right="627"/>
              <w:jc w:val="right"/>
              <w:rPr>
                <w:sz w:val="20"/>
                <w:szCs w:val="20"/>
              </w:rPr>
            </w:pPr>
            <w:r w:rsidRPr="00574257">
              <w:rPr>
                <w:sz w:val="20"/>
                <w:szCs w:val="20"/>
              </w:rPr>
              <w:t>128.</w:t>
            </w:r>
            <w:r>
              <w:rPr>
                <w:sz w:val="20"/>
                <w:szCs w:val="20"/>
              </w:rPr>
              <w:t>0</w:t>
            </w:r>
          </w:p>
        </w:tc>
        <w:tc>
          <w:tcPr>
            <w:tcW w:w="2125"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333" w:right="694"/>
              <w:jc w:val="right"/>
              <w:rPr>
                <w:sz w:val="20"/>
                <w:szCs w:val="20"/>
              </w:rPr>
            </w:pPr>
            <w:r>
              <w:rPr>
                <w:sz w:val="20"/>
                <w:szCs w:val="20"/>
              </w:rPr>
              <w:t>124.5</w:t>
            </w:r>
          </w:p>
        </w:tc>
        <w:tc>
          <w:tcPr>
            <w:tcW w:w="1805"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right="627"/>
              <w:jc w:val="right"/>
              <w:rPr>
                <w:sz w:val="20"/>
                <w:szCs w:val="20"/>
              </w:rPr>
            </w:pPr>
            <w:r w:rsidRPr="00574257">
              <w:rPr>
                <w:sz w:val="20"/>
                <w:szCs w:val="20"/>
              </w:rPr>
              <w:t>36.</w:t>
            </w:r>
            <w:r>
              <w:rPr>
                <w:sz w:val="20"/>
                <w:szCs w:val="20"/>
              </w:rPr>
              <w:t>1</w:t>
            </w:r>
          </w:p>
        </w:tc>
      </w:tr>
      <w:tr w:rsidR="003F24A1" w:rsidRPr="00574257" w:rsidTr="004B3C2F">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168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512"/>
              <w:jc w:val="right"/>
              <w:rPr>
                <w:sz w:val="20"/>
                <w:szCs w:val="20"/>
              </w:rPr>
            </w:pPr>
            <w:r>
              <w:rPr>
                <w:sz w:val="20"/>
                <w:szCs w:val="20"/>
              </w:rPr>
              <w:t>321.0</w:t>
            </w:r>
          </w:p>
        </w:tc>
        <w:tc>
          <w:tcPr>
            <w:tcW w:w="188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27"/>
              <w:jc w:val="right"/>
              <w:rPr>
                <w:sz w:val="20"/>
                <w:szCs w:val="20"/>
              </w:rPr>
            </w:pPr>
            <w:r>
              <w:rPr>
                <w:sz w:val="20"/>
                <w:szCs w:val="20"/>
              </w:rPr>
              <w:t>148.2</w:t>
            </w:r>
          </w:p>
        </w:tc>
        <w:tc>
          <w:tcPr>
            <w:tcW w:w="212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94"/>
              <w:jc w:val="right"/>
              <w:rPr>
                <w:sz w:val="20"/>
                <w:szCs w:val="20"/>
              </w:rPr>
            </w:pPr>
            <w:r w:rsidRPr="00574257">
              <w:rPr>
                <w:sz w:val="20"/>
                <w:szCs w:val="20"/>
              </w:rPr>
              <w:t>13</w:t>
            </w:r>
            <w:r>
              <w:rPr>
                <w:sz w:val="20"/>
                <w:szCs w:val="20"/>
              </w:rPr>
              <w:t>4.1</w:t>
            </w:r>
          </w:p>
        </w:tc>
        <w:tc>
          <w:tcPr>
            <w:tcW w:w="18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right="627"/>
              <w:jc w:val="right"/>
              <w:rPr>
                <w:sz w:val="20"/>
                <w:szCs w:val="20"/>
              </w:rPr>
            </w:pPr>
            <w:r>
              <w:rPr>
                <w:sz w:val="20"/>
                <w:szCs w:val="20"/>
              </w:rPr>
              <w:t>38.7</w:t>
            </w:r>
          </w:p>
        </w:tc>
      </w:tr>
      <w:tr w:rsidR="003F24A1" w:rsidRPr="00574257" w:rsidTr="004B3C2F">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168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512"/>
              <w:jc w:val="right"/>
              <w:rPr>
                <w:sz w:val="20"/>
                <w:szCs w:val="20"/>
              </w:rPr>
            </w:pPr>
            <w:r>
              <w:rPr>
                <w:sz w:val="20"/>
                <w:szCs w:val="20"/>
              </w:rPr>
              <w:t>314.1</w:t>
            </w:r>
          </w:p>
        </w:tc>
        <w:tc>
          <w:tcPr>
            <w:tcW w:w="188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27"/>
              <w:jc w:val="right"/>
              <w:rPr>
                <w:sz w:val="20"/>
                <w:szCs w:val="20"/>
              </w:rPr>
            </w:pPr>
            <w:r w:rsidRPr="00574257">
              <w:rPr>
                <w:sz w:val="20"/>
                <w:szCs w:val="20"/>
              </w:rPr>
              <w:t>14</w:t>
            </w:r>
            <w:r>
              <w:rPr>
                <w:sz w:val="20"/>
                <w:szCs w:val="20"/>
              </w:rPr>
              <w:t>1.8</w:t>
            </w:r>
          </w:p>
        </w:tc>
        <w:tc>
          <w:tcPr>
            <w:tcW w:w="212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94"/>
              <w:jc w:val="right"/>
              <w:rPr>
                <w:sz w:val="20"/>
                <w:szCs w:val="20"/>
              </w:rPr>
            </w:pPr>
            <w:r>
              <w:rPr>
                <w:sz w:val="20"/>
                <w:szCs w:val="20"/>
              </w:rPr>
              <w:t>135.2</w:t>
            </w:r>
          </w:p>
        </w:tc>
        <w:tc>
          <w:tcPr>
            <w:tcW w:w="18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right="627"/>
              <w:jc w:val="right"/>
              <w:rPr>
                <w:sz w:val="20"/>
                <w:szCs w:val="20"/>
              </w:rPr>
            </w:pPr>
            <w:r w:rsidRPr="00574257">
              <w:rPr>
                <w:sz w:val="20"/>
                <w:szCs w:val="20"/>
              </w:rPr>
              <w:t>37.</w:t>
            </w:r>
            <w:r>
              <w:rPr>
                <w:sz w:val="20"/>
                <w:szCs w:val="20"/>
              </w:rPr>
              <w:t>1</w:t>
            </w:r>
          </w:p>
        </w:tc>
      </w:tr>
      <w:tr w:rsidR="003F24A1" w:rsidRPr="00574257" w:rsidTr="004B3C2F">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168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512"/>
              <w:jc w:val="right"/>
              <w:rPr>
                <w:sz w:val="20"/>
                <w:szCs w:val="20"/>
              </w:rPr>
            </w:pPr>
            <w:r w:rsidRPr="00574257">
              <w:rPr>
                <w:sz w:val="20"/>
                <w:szCs w:val="20"/>
              </w:rPr>
              <w:t>3</w:t>
            </w:r>
            <w:r>
              <w:rPr>
                <w:sz w:val="20"/>
                <w:szCs w:val="20"/>
              </w:rPr>
              <w:t>57.4</w:t>
            </w:r>
          </w:p>
        </w:tc>
        <w:tc>
          <w:tcPr>
            <w:tcW w:w="188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27"/>
              <w:jc w:val="right"/>
              <w:rPr>
                <w:sz w:val="20"/>
                <w:szCs w:val="20"/>
              </w:rPr>
            </w:pPr>
            <w:r w:rsidRPr="00574257">
              <w:rPr>
                <w:sz w:val="20"/>
                <w:szCs w:val="20"/>
              </w:rPr>
              <w:t>15</w:t>
            </w:r>
            <w:r>
              <w:rPr>
                <w:sz w:val="20"/>
                <w:szCs w:val="20"/>
              </w:rPr>
              <w:t>6.6</w:t>
            </w:r>
          </w:p>
        </w:tc>
        <w:tc>
          <w:tcPr>
            <w:tcW w:w="212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94"/>
              <w:jc w:val="right"/>
              <w:rPr>
                <w:sz w:val="20"/>
                <w:szCs w:val="20"/>
              </w:rPr>
            </w:pPr>
            <w:r w:rsidRPr="00574257">
              <w:rPr>
                <w:sz w:val="20"/>
                <w:szCs w:val="20"/>
              </w:rPr>
              <w:t>15</w:t>
            </w:r>
            <w:r>
              <w:rPr>
                <w:sz w:val="20"/>
                <w:szCs w:val="20"/>
              </w:rPr>
              <w:t>8.7</w:t>
            </w:r>
          </w:p>
        </w:tc>
        <w:tc>
          <w:tcPr>
            <w:tcW w:w="18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right="627"/>
              <w:jc w:val="right"/>
              <w:rPr>
                <w:sz w:val="20"/>
                <w:szCs w:val="20"/>
              </w:rPr>
            </w:pPr>
            <w:r>
              <w:rPr>
                <w:sz w:val="20"/>
                <w:szCs w:val="20"/>
              </w:rPr>
              <w:t>42.0</w:t>
            </w:r>
          </w:p>
        </w:tc>
      </w:tr>
      <w:tr w:rsidR="003F24A1" w:rsidRPr="00574257" w:rsidTr="004B3C2F">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1680"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512"/>
              <w:jc w:val="right"/>
              <w:rPr>
                <w:sz w:val="20"/>
                <w:szCs w:val="20"/>
              </w:rPr>
            </w:pPr>
            <w:r>
              <w:rPr>
                <w:sz w:val="20"/>
                <w:szCs w:val="20"/>
              </w:rPr>
              <w:t>344.2</w:t>
            </w:r>
          </w:p>
        </w:tc>
        <w:tc>
          <w:tcPr>
            <w:tcW w:w="188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27"/>
              <w:jc w:val="right"/>
              <w:rPr>
                <w:sz w:val="20"/>
                <w:szCs w:val="20"/>
              </w:rPr>
            </w:pPr>
            <w:r w:rsidRPr="00574257">
              <w:rPr>
                <w:sz w:val="20"/>
                <w:szCs w:val="20"/>
              </w:rPr>
              <w:t>1</w:t>
            </w:r>
            <w:r>
              <w:rPr>
                <w:sz w:val="20"/>
                <w:szCs w:val="20"/>
              </w:rPr>
              <w:t>51.0</w:t>
            </w:r>
          </w:p>
        </w:tc>
        <w:tc>
          <w:tcPr>
            <w:tcW w:w="212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333" w:right="694"/>
              <w:jc w:val="right"/>
              <w:rPr>
                <w:sz w:val="20"/>
                <w:szCs w:val="20"/>
              </w:rPr>
            </w:pPr>
            <w:r>
              <w:rPr>
                <w:sz w:val="20"/>
                <w:szCs w:val="20"/>
              </w:rPr>
              <w:t>151.8</w:t>
            </w:r>
          </w:p>
        </w:tc>
        <w:tc>
          <w:tcPr>
            <w:tcW w:w="18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right="627"/>
              <w:jc w:val="right"/>
              <w:rPr>
                <w:sz w:val="20"/>
                <w:szCs w:val="20"/>
              </w:rPr>
            </w:pPr>
            <w:r>
              <w:rPr>
                <w:sz w:val="20"/>
                <w:szCs w:val="20"/>
              </w:rPr>
              <w:t>41.4</w:t>
            </w:r>
          </w:p>
        </w:tc>
      </w:tr>
      <w:tr w:rsidR="003F24A1" w:rsidRPr="00574257" w:rsidTr="004B3C2F">
        <w:trPr>
          <w:trHeight w:val="1581"/>
          <w:jc w:val="center"/>
        </w:trPr>
        <w:tc>
          <w:tcPr>
            <w:tcW w:w="858" w:type="dxa"/>
            <w:tcBorders>
              <w:top w:val="single" w:sz="4" w:space="0" w:color="auto"/>
              <w:left w:val="nil"/>
              <w:bottom w:val="nil"/>
              <w:right w:val="nil"/>
            </w:tcBorders>
            <w:shd w:val="clear" w:color="auto" w:fill="auto"/>
            <w:noWrap/>
          </w:tcPr>
          <w:p w:rsidR="003F24A1" w:rsidRPr="00574257" w:rsidRDefault="003F24A1" w:rsidP="004B3C2F">
            <w:pPr>
              <w:spacing w:before="120"/>
              <w:ind w:left="-275" w:right="-74"/>
              <w:jc w:val="right"/>
              <w:rPr>
                <w:sz w:val="20"/>
                <w:szCs w:val="20"/>
              </w:rPr>
            </w:pPr>
            <w:r w:rsidRPr="00574257">
              <w:rPr>
                <w:sz w:val="20"/>
                <w:szCs w:val="20"/>
                <w:u w:val="single"/>
                <w:vertAlign w:val="superscript"/>
              </w:rPr>
              <w:t>1</w:t>
            </w:r>
            <w:r w:rsidRPr="00574257">
              <w:rPr>
                <w:sz w:val="20"/>
                <w:szCs w:val="20"/>
                <w:vertAlign w:val="superscript"/>
              </w:rPr>
              <w:t xml:space="preserve">/  </w:t>
            </w:r>
          </w:p>
          <w:p w:rsidR="003F24A1" w:rsidRPr="00574257" w:rsidRDefault="003F24A1" w:rsidP="004B3C2F">
            <w:pPr>
              <w:ind w:left="-275" w:right="-72" w:firstLine="10"/>
              <w:jc w:val="right"/>
              <w:rPr>
                <w:sz w:val="20"/>
                <w:szCs w:val="20"/>
              </w:rPr>
            </w:pPr>
          </w:p>
          <w:p w:rsidR="003F24A1" w:rsidRPr="00574257" w:rsidRDefault="003F24A1" w:rsidP="004B3C2F">
            <w:pPr>
              <w:ind w:left="-275" w:right="-72" w:firstLine="10"/>
              <w:jc w:val="right"/>
              <w:rPr>
                <w:sz w:val="20"/>
                <w:szCs w:val="20"/>
              </w:rPr>
            </w:pPr>
          </w:p>
          <w:p w:rsidR="003F24A1" w:rsidRPr="00574257" w:rsidRDefault="003F24A1" w:rsidP="004B3C2F">
            <w:pPr>
              <w:ind w:left="-275" w:right="-72" w:firstLine="10"/>
              <w:jc w:val="right"/>
              <w:rPr>
                <w:sz w:val="20"/>
                <w:szCs w:val="20"/>
              </w:rPr>
            </w:pPr>
            <w:r w:rsidRPr="00574257">
              <w:rPr>
                <w:sz w:val="20"/>
                <w:szCs w:val="20"/>
              </w:rPr>
              <w:t xml:space="preserve">* </w:t>
            </w:r>
          </w:p>
          <w:p w:rsidR="003F24A1" w:rsidRPr="00574257" w:rsidRDefault="003F24A1" w:rsidP="004B3C2F">
            <w:pPr>
              <w:ind w:left="-275" w:right="-72" w:firstLine="10"/>
              <w:jc w:val="right"/>
              <w:rPr>
                <w:sz w:val="20"/>
                <w:szCs w:val="20"/>
              </w:rPr>
            </w:pPr>
            <w:r w:rsidRPr="00574257">
              <w:rPr>
                <w:sz w:val="20"/>
                <w:szCs w:val="20"/>
              </w:rPr>
              <w:t xml:space="preserve"> **</w:t>
            </w:r>
          </w:p>
          <w:p w:rsidR="003F24A1" w:rsidRPr="00574257" w:rsidRDefault="003F24A1" w:rsidP="004B3C2F">
            <w:pPr>
              <w:ind w:left="-275" w:right="-72" w:firstLine="10"/>
              <w:jc w:val="right"/>
              <w:rPr>
                <w:sz w:val="20"/>
                <w:szCs w:val="20"/>
              </w:rPr>
            </w:pPr>
            <w:r w:rsidRPr="00574257">
              <w:rPr>
                <w:sz w:val="20"/>
                <w:szCs w:val="20"/>
              </w:rPr>
              <w:t xml:space="preserve"> FUENTE:</w:t>
            </w:r>
            <w:r w:rsidRPr="00574257">
              <w:rPr>
                <w:sz w:val="14"/>
                <w:szCs w:val="20"/>
              </w:rPr>
              <w:t xml:space="preserve"> </w:t>
            </w:r>
          </w:p>
        </w:tc>
        <w:tc>
          <w:tcPr>
            <w:tcW w:w="7633" w:type="dxa"/>
            <w:gridSpan w:val="5"/>
            <w:tcBorders>
              <w:top w:val="single" w:sz="4" w:space="0" w:color="auto"/>
              <w:left w:val="nil"/>
              <w:bottom w:val="nil"/>
              <w:right w:val="nil"/>
            </w:tcBorders>
          </w:tcPr>
          <w:p w:rsidR="003F24A1" w:rsidRPr="00574257" w:rsidRDefault="003F24A1" w:rsidP="004B3C2F">
            <w:pPr>
              <w:spacing w:before="120"/>
              <w:ind w:left="107" w:right="-72"/>
              <w:jc w:val="both"/>
              <w:rPr>
                <w:sz w:val="20"/>
                <w:szCs w:val="20"/>
              </w:rPr>
            </w:pPr>
            <w:r w:rsidRPr="00574257">
              <w:rPr>
                <w:sz w:val="20"/>
                <w:szCs w:val="20"/>
              </w:rPr>
              <w:t>Los datos sobre comercio se refieren a las exportaciones durante la cosecha comercial, que va de julio a junio en el caso del trigo y los cereales secundarios y de enero a diciembre en el caso del arroz (segundo año indicado).</w:t>
            </w:r>
          </w:p>
          <w:p w:rsidR="003F24A1" w:rsidRPr="00574257" w:rsidRDefault="003F24A1" w:rsidP="004B3C2F">
            <w:pPr>
              <w:ind w:left="107" w:right="-72"/>
              <w:jc w:val="both"/>
              <w:rPr>
                <w:sz w:val="20"/>
                <w:szCs w:val="20"/>
              </w:rPr>
            </w:pPr>
            <w:r w:rsidRPr="00574257">
              <w:rPr>
                <w:sz w:val="20"/>
                <w:szCs w:val="20"/>
              </w:rPr>
              <w:t>Estimación.</w:t>
            </w:r>
          </w:p>
          <w:p w:rsidR="003F24A1" w:rsidRPr="00574257" w:rsidRDefault="003F24A1" w:rsidP="004B3C2F">
            <w:pPr>
              <w:ind w:left="348" w:right="-67" w:hanging="226"/>
              <w:jc w:val="both"/>
              <w:rPr>
                <w:sz w:val="20"/>
                <w:szCs w:val="20"/>
              </w:rPr>
            </w:pPr>
            <w:r w:rsidRPr="009015FA">
              <w:rPr>
                <w:sz w:val="20"/>
                <w:szCs w:val="20"/>
              </w:rPr>
              <w:t xml:space="preserve">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ind w:left="107" w:right="-72"/>
              <w:jc w:val="both"/>
              <w:rPr>
                <w:sz w:val="20"/>
                <w:szCs w:val="20"/>
                <w:u w:val="single"/>
                <w:vertAlign w:val="superscript"/>
              </w:rPr>
            </w:pPr>
            <w:r w:rsidRPr="00574257">
              <w:rPr>
                <w:sz w:val="20"/>
                <w:szCs w:val="20"/>
              </w:rPr>
              <w:t>Elaborado por la Comisión Nacional de los Salarios Mínimos con información de la FAO.</w:t>
            </w:r>
          </w:p>
        </w:tc>
      </w:tr>
    </w:tbl>
    <w:p w:rsidR="003F24A1" w:rsidRDefault="003F24A1" w:rsidP="003F24A1"/>
    <w:p w:rsidR="003F24A1" w:rsidRDefault="004A0A61" w:rsidP="003F24A1">
      <w:r>
        <w:br w:type="column"/>
      </w:r>
    </w:p>
    <w:tbl>
      <w:tblPr>
        <w:tblW w:w="8293" w:type="dxa"/>
        <w:jc w:val="center"/>
        <w:tblCellMar>
          <w:left w:w="70" w:type="dxa"/>
          <w:right w:w="70" w:type="dxa"/>
        </w:tblCellMar>
        <w:tblLook w:val="0000" w:firstRow="0" w:lastRow="0" w:firstColumn="0" w:lastColumn="0" w:noHBand="0" w:noVBand="0"/>
      </w:tblPr>
      <w:tblGrid>
        <w:gridCol w:w="996"/>
        <w:gridCol w:w="1964"/>
        <w:gridCol w:w="1868"/>
        <w:gridCol w:w="1871"/>
        <w:gridCol w:w="1594"/>
      </w:tblGrid>
      <w:tr w:rsidR="003F24A1" w:rsidRPr="00574257" w:rsidTr="004B3C2F">
        <w:trPr>
          <w:trHeight w:val="448"/>
          <w:jc w:val="center"/>
        </w:trPr>
        <w:tc>
          <w:tcPr>
            <w:tcW w:w="8293" w:type="dxa"/>
            <w:gridSpan w:val="5"/>
            <w:tcBorders>
              <w:top w:val="nil"/>
              <w:left w:val="nil"/>
              <w:bottom w:val="single" w:sz="4" w:space="0" w:color="FFFFFF" w:themeColor="background1"/>
              <w:right w:val="nil"/>
            </w:tcBorders>
            <w:shd w:val="clear" w:color="auto" w:fill="auto"/>
            <w:vAlign w:val="center"/>
          </w:tcPr>
          <w:p w:rsidR="003F24A1" w:rsidRPr="00574257" w:rsidRDefault="003F24A1" w:rsidP="004B3C2F">
            <w:pPr>
              <w:jc w:val="center"/>
              <w:rPr>
                <w:sz w:val="22"/>
                <w:szCs w:val="22"/>
                <w:vertAlign w:val="superscript"/>
              </w:rPr>
            </w:pPr>
            <w:r w:rsidRPr="00574257">
              <w:rPr>
                <w:b/>
                <w:bCs/>
                <w:sz w:val="22"/>
                <w:szCs w:val="22"/>
              </w:rPr>
              <w:t xml:space="preserve">SUMINISTROS </w:t>
            </w:r>
            <w:r w:rsidRPr="00574257">
              <w:rPr>
                <w:sz w:val="22"/>
                <w:szCs w:val="22"/>
                <w:u w:val="single"/>
                <w:vertAlign w:val="superscript"/>
              </w:rPr>
              <w:t>1</w:t>
            </w:r>
            <w:r w:rsidRPr="00574257">
              <w:rPr>
                <w:sz w:val="22"/>
                <w:szCs w:val="22"/>
                <w:vertAlign w:val="superscript"/>
              </w:rPr>
              <w:t>/</w:t>
            </w:r>
          </w:p>
          <w:p w:rsidR="003F24A1" w:rsidRPr="00574257" w:rsidRDefault="003F24A1" w:rsidP="004B3C2F">
            <w:pPr>
              <w:jc w:val="center"/>
              <w:rPr>
                <w:b/>
                <w:bCs/>
                <w:sz w:val="22"/>
                <w:szCs w:val="22"/>
              </w:rPr>
            </w:pPr>
            <w:r w:rsidRPr="00574257">
              <w:rPr>
                <w:b/>
                <w:iCs/>
                <w:sz w:val="22"/>
                <w:szCs w:val="22"/>
              </w:rPr>
              <w:t>- Millones de toneladas -</w:t>
            </w:r>
          </w:p>
        </w:tc>
      </w:tr>
      <w:tr w:rsidR="003F24A1" w:rsidRPr="00574257" w:rsidTr="004B3C2F">
        <w:trPr>
          <w:trHeight w:val="968"/>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19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w:t>
            </w:r>
          </w:p>
        </w:tc>
        <w:tc>
          <w:tcPr>
            <w:tcW w:w="18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trigo</w:t>
            </w:r>
          </w:p>
        </w:tc>
        <w:tc>
          <w:tcPr>
            <w:tcW w:w="18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 secundarios</w:t>
            </w:r>
          </w:p>
        </w:tc>
        <w:tc>
          <w:tcPr>
            <w:tcW w:w="15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ind w:left="-96" w:right="-62"/>
              <w:jc w:val="center"/>
              <w:rPr>
                <w:b/>
                <w:bCs/>
                <w:color w:val="FFFFFF" w:themeColor="background1"/>
                <w:sz w:val="20"/>
                <w:szCs w:val="20"/>
              </w:rPr>
            </w:pPr>
            <w:r w:rsidRPr="00574257">
              <w:rPr>
                <w:b/>
                <w:bCs/>
                <w:color w:val="FFFFFF" w:themeColor="background1"/>
                <w:sz w:val="20"/>
                <w:szCs w:val="20"/>
              </w:rPr>
              <w:t>Mercado</w:t>
            </w:r>
          </w:p>
          <w:p w:rsidR="003F24A1" w:rsidRPr="00574257" w:rsidRDefault="003F24A1" w:rsidP="004B3C2F">
            <w:pPr>
              <w:ind w:left="-95" w:right="-65"/>
              <w:jc w:val="center"/>
              <w:rPr>
                <w:b/>
                <w:bCs/>
                <w:color w:val="FFFFFF" w:themeColor="background1"/>
                <w:sz w:val="20"/>
                <w:szCs w:val="20"/>
              </w:rPr>
            </w:pPr>
            <w:r w:rsidRPr="00574257">
              <w:rPr>
                <w:b/>
                <w:bCs/>
                <w:color w:val="FFFFFF" w:themeColor="background1"/>
                <w:sz w:val="20"/>
                <w:szCs w:val="20"/>
              </w:rPr>
              <w:t>mundial de arroz</w:t>
            </w:r>
          </w:p>
        </w:tc>
      </w:tr>
      <w:tr w:rsidR="003F24A1" w:rsidRPr="00574257" w:rsidTr="004B3C2F">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196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Pr>
                <w:sz w:val="20"/>
                <w:szCs w:val="20"/>
              </w:rPr>
              <w:t>2 776.8</w:t>
            </w:r>
          </w:p>
        </w:tc>
        <w:tc>
          <w:tcPr>
            <w:tcW w:w="1868"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84</w:t>
            </w:r>
            <w:r>
              <w:rPr>
                <w:sz w:val="20"/>
                <w:szCs w:val="20"/>
              </w:rPr>
              <w:t>3.6</w:t>
            </w:r>
          </w:p>
        </w:tc>
        <w:tc>
          <w:tcPr>
            <w:tcW w:w="1871"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1 32</w:t>
            </w:r>
            <w:r>
              <w:rPr>
                <w:sz w:val="20"/>
                <w:szCs w:val="20"/>
              </w:rPr>
              <w:t>5.6</w:t>
            </w:r>
          </w:p>
        </w:tc>
        <w:tc>
          <w:tcPr>
            <w:tcW w:w="159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631" w:right="519"/>
              <w:jc w:val="right"/>
              <w:rPr>
                <w:sz w:val="20"/>
                <w:szCs w:val="20"/>
              </w:rPr>
            </w:pPr>
            <w:r w:rsidRPr="00574257">
              <w:rPr>
                <w:sz w:val="20"/>
                <w:szCs w:val="20"/>
              </w:rPr>
              <w:t>607.</w:t>
            </w:r>
            <w:r>
              <w:rPr>
                <w:sz w:val="20"/>
                <w:szCs w:val="20"/>
              </w:rPr>
              <w:t>6</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19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 xml:space="preserve">2 </w:t>
            </w:r>
            <w:r>
              <w:rPr>
                <w:sz w:val="20"/>
                <w:szCs w:val="20"/>
              </w:rPr>
              <w:t>850.4</w:t>
            </w:r>
          </w:p>
        </w:tc>
        <w:tc>
          <w:tcPr>
            <w:tcW w:w="18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Pr>
                <w:sz w:val="20"/>
                <w:szCs w:val="20"/>
              </w:rPr>
              <w:t>886.5</w:t>
            </w:r>
          </w:p>
        </w:tc>
        <w:tc>
          <w:tcPr>
            <w:tcW w:w="187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Pr>
                <w:sz w:val="20"/>
                <w:szCs w:val="20"/>
              </w:rPr>
              <w:t>1 332.4</w:t>
            </w:r>
          </w:p>
        </w:tc>
        <w:tc>
          <w:tcPr>
            <w:tcW w:w="159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519"/>
              <w:jc w:val="right"/>
              <w:rPr>
                <w:sz w:val="20"/>
                <w:szCs w:val="20"/>
              </w:rPr>
            </w:pPr>
            <w:r w:rsidRPr="00574257">
              <w:rPr>
                <w:sz w:val="20"/>
                <w:szCs w:val="20"/>
              </w:rPr>
              <w:t>631.</w:t>
            </w:r>
            <w:r>
              <w:rPr>
                <w:sz w:val="20"/>
                <w:szCs w:val="20"/>
              </w:rPr>
              <w:t>5</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19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2 82</w:t>
            </w:r>
            <w:r>
              <w:rPr>
                <w:sz w:val="20"/>
                <w:szCs w:val="20"/>
              </w:rPr>
              <w:t>0.5</w:t>
            </w:r>
          </w:p>
        </w:tc>
        <w:tc>
          <w:tcPr>
            <w:tcW w:w="18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84</w:t>
            </w:r>
            <w:r>
              <w:rPr>
                <w:sz w:val="20"/>
                <w:szCs w:val="20"/>
              </w:rPr>
              <w:t>0.0</w:t>
            </w:r>
          </w:p>
        </w:tc>
        <w:tc>
          <w:tcPr>
            <w:tcW w:w="187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Pr>
                <w:sz w:val="20"/>
                <w:szCs w:val="20"/>
              </w:rPr>
              <w:t>1 328.1</w:t>
            </w:r>
          </w:p>
        </w:tc>
        <w:tc>
          <w:tcPr>
            <w:tcW w:w="159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519"/>
              <w:jc w:val="right"/>
              <w:rPr>
                <w:sz w:val="20"/>
                <w:szCs w:val="20"/>
              </w:rPr>
            </w:pPr>
            <w:r w:rsidRPr="00574257">
              <w:rPr>
                <w:sz w:val="20"/>
                <w:szCs w:val="20"/>
              </w:rPr>
              <w:t>65</w:t>
            </w:r>
            <w:r>
              <w:rPr>
                <w:sz w:val="20"/>
                <w:szCs w:val="20"/>
              </w:rPr>
              <w:t>2.5</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19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3 0</w:t>
            </w:r>
            <w:r>
              <w:rPr>
                <w:sz w:val="20"/>
                <w:szCs w:val="20"/>
              </w:rPr>
              <w:t>27.5</w:t>
            </w:r>
          </w:p>
        </w:tc>
        <w:tc>
          <w:tcPr>
            <w:tcW w:w="18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87</w:t>
            </w:r>
            <w:r>
              <w:rPr>
                <w:sz w:val="20"/>
                <w:szCs w:val="20"/>
              </w:rPr>
              <w:t>4.8</w:t>
            </w:r>
          </w:p>
        </w:tc>
        <w:tc>
          <w:tcPr>
            <w:tcW w:w="187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1 4</w:t>
            </w:r>
            <w:r>
              <w:rPr>
                <w:sz w:val="20"/>
                <w:szCs w:val="20"/>
              </w:rPr>
              <w:t>80.1</w:t>
            </w:r>
          </w:p>
        </w:tc>
        <w:tc>
          <w:tcPr>
            <w:tcW w:w="159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519"/>
              <w:jc w:val="right"/>
              <w:rPr>
                <w:sz w:val="20"/>
                <w:szCs w:val="20"/>
              </w:rPr>
            </w:pPr>
            <w:r w:rsidRPr="00574257">
              <w:rPr>
                <w:sz w:val="20"/>
                <w:szCs w:val="20"/>
              </w:rPr>
              <w:t>67</w:t>
            </w:r>
            <w:r>
              <w:rPr>
                <w:sz w:val="20"/>
                <w:szCs w:val="20"/>
              </w:rPr>
              <w:t>2.6</w:t>
            </w:r>
          </w:p>
        </w:tc>
      </w:tr>
      <w:tr w:rsidR="003F24A1" w:rsidRPr="00574257" w:rsidTr="004B3C2F">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196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 xml:space="preserve">3 </w:t>
            </w:r>
            <w:r>
              <w:rPr>
                <w:sz w:val="20"/>
                <w:szCs w:val="20"/>
              </w:rPr>
              <w:t>122.6</w:t>
            </w:r>
          </w:p>
        </w:tc>
        <w:tc>
          <w:tcPr>
            <w:tcW w:w="186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Pr>
                <w:sz w:val="20"/>
                <w:szCs w:val="20"/>
              </w:rPr>
              <w:t>905.9</w:t>
            </w:r>
          </w:p>
        </w:tc>
        <w:tc>
          <w:tcPr>
            <w:tcW w:w="1871"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631"/>
              <w:jc w:val="right"/>
              <w:rPr>
                <w:sz w:val="20"/>
                <w:szCs w:val="20"/>
              </w:rPr>
            </w:pPr>
            <w:r w:rsidRPr="00574257">
              <w:rPr>
                <w:sz w:val="20"/>
                <w:szCs w:val="20"/>
              </w:rPr>
              <w:t xml:space="preserve">1 </w:t>
            </w:r>
            <w:r>
              <w:rPr>
                <w:sz w:val="20"/>
                <w:szCs w:val="20"/>
              </w:rPr>
              <w:t>540.8</w:t>
            </w:r>
          </w:p>
        </w:tc>
        <w:tc>
          <w:tcPr>
            <w:tcW w:w="1594"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631" w:right="519"/>
              <w:jc w:val="right"/>
              <w:rPr>
                <w:sz w:val="20"/>
                <w:szCs w:val="20"/>
              </w:rPr>
            </w:pPr>
            <w:r w:rsidRPr="00574257">
              <w:rPr>
                <w:sz w:val="20"/>
                <w:szCs w:val="20"/>
              </w:rPr>
              <w:t>6</w:t>
            </w:r>
            <w:r>
              <w:rPr>
                <w:sz w:val="20"/>
                <w:szCs w:val="20"/>
              </w:rPr>
              <w:t>75.9</w:t>
            </w:r>
          </w:p>
        </w:tc>
      </w:tr>
      <w:tr w:rsidR="003F24A1" w:rsidRPr="00574257" w:rsidTr="004B3C2F">
        <w:trPr>
          <w:trHeight w:val="745"/>
          <w:jc w:val="center"/>
        </w:trPr>
        <w:tc>
          <w:tcPr>
            <w:tcW w:w="8293" w:type="dxa"/>
            <w:gridSpan w:val="5"/>
            <w:tcBorders>
              <w:top w:val="single" w:sz="4" w:space="0" w:color="auto"/>
              <w:left w:val="nil"/>
              <w:bottom w:val="nil"/>
              <w:right w:val="nil"/>
            </w:tcBorders>
            <w:shd w:val="clear" w:color="auto" w:fill="auto"/>
            <w:noWrap/>
            <w:vAlign w:val="bottom"/>
          </w:tcPr>
          <w:p w:rsidR="003F24A1" w:rsidRPr="00574257" w:rsidRDefault="003F24A1" w:rsidP="004B3C2F">
            <w:pPr>
              <w:spacing w:before="120"/>
              <w:ind w:left="754" w:hanging="33"/>
              <w:jc w:val="both"/>
              <w:rPr>
                <w:sz w:val="20"/>
                <w:szCs w:val="20"/>
              </w:rPr>
            </w:pPr>
            <w:r w:rsidRPr="00574257">
              <w:rPr>
                <w:sz w:val="20"/>
                <w:szCs w:val="20"/>
                <w:u w:val="single"/>
                <w:vertAlign w:val="superscript"/>
              </w:rPr>
              <w:t>1</w:t>
            </w:r>
            <w:r w:rsidRPr="00574257">
              <w:rPr>
                <w:sz w:val="20"/>
                <w:szCs w:val="20"/>
                <w:vertAlign w:val="superscript"/>
              </w:rPr>
              <w:t>/</w:t>
            </w:r>
            <w:r w:rsidRPr="00574257">
              <w:rPr>
                <w:sz w:val="20"/>
                <w:szCs w:val="20"/>
              </w:rPr>
              <w:t xml:space="preserve"> Producción más existencias al inicio del ejercicio.</w:t>
            </w:r>
          </w:p>
          <w:p w:rsidR="003F24A1" w:rsidRPr="00574257" w:rsidRDefault="003F24A1" w:rsidP="004B3C2F">
            <w:pPr>
              <w:ind w:left="899" w:hanging="224"/>
              <w:jc w:val="both"/>
              <w:rPr>
                <w:sz w:val="20"/>
                <w:szCs w:val="20"/>
              </w:rPr>
            </w:pPr>
            <w:r w:rsidRPr="00574257">
              <w:rPr>
                <w:sz w:val="20"/>
                <w:szCs w:val="20"/>
              </w:rPr>
              <w:t>*  Estimación.</w:t>
            </w:r>
          </w:p>
          <w:p w:rsidR="003F24A1" w:rsidRPr="009015FA" w:rsidRDefault="003F24A1" w:rsidP="004B3C2F">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ind w:left="923" w:hanging="923"/>
              <w:jc w:val="both"/>
            </w:pPr>
            <w:r w:rsidRPr="00574257">
              <w:rPr>
                <w:sz w:val="20"/>
                <w:szCs w:val="20"/>
              </w:rPr>
              <w:t>FUENTE: Elaborado por la Comisión Nacional de los Salarios Mínimos con información de la FAO.</w:t>
            </w:r>
          </w:p>
        </w:tc>
      </w:tr>
    </w:tbl>
    <w:p w:rsidR="003F24A1" w:rsidRDefault="003F24A1" w:rsidP="003F24A1">
      <w:pPr>
        <w:spacing w:line="360" w:lineRule="auto"/>
        <w:jc w:val="both"/>
        <w:rPr>
          <w:szCs w:val="26"/>
          <w:lang w:val="es-MX"/>
        </w:rPr>
      </w:pPr>
    </w:p>
    <w:p w:rsidR="003F24A1" w:rsidRPr="00574257" w:rsidRDefault="003F24A1" w:rsidP="003F24A1">
      <w:pPr>
        <w:spacing w:line="360" w:lineRule="auto"/>
        <w:jc w:val="both"/>
        <w:rPr>
          <w:szCs w:val="26"/>
          <w:lang w:val="es-MX"/>
        </w:rPr>
      </w:pPr>
    </w:p>
    <w:tbl>
      <w:tblPr>
        <w:tblW w:w="8041" w:type="dxa"/>
        <w:jc w:val="center"/>
        <w:tblCellMar>
          <w:left w:w="70" w:type="dxa"/>
          <w:right w:w="70" w:type="dxa"/>
        </w:tblCellMar>
        <w:tblLook w:val="0000" w:firstRow="0" w:lastRow="0" w:firstColumn="0" w:lastColumn="0" w:noHBand="0" w:noVBand="0"/>
      </w:tblPr>
      <w:tblGrid>
        <w:gridCol w:w="1063"/>
        <w:gridCol w:w="1866"/>
        <w:gridCol w:w="1818"/>
        <w:gridCol w:w="1789"/>
        <w:gridCol w:w="1505"/>
      </w:tblGrid>
      <w:tr w:rsidR="003F24A1" w:rsidRPr="00574257" w:rsidTr="004B3C2F">
        <w:trPr>
          <w:trHeight w:val="684"/>
          <w:jc w:val="center"/>
        </w:trPr>
        <w:tc>
          <w:tcPr>
            <w:tcW w:w="8041" w:type="dxa"/>
            <w:gridSpan w:val="5"/>
            <w:tcBorders>
              <w:top w:val="nil"/>
              <w:left w:val="nil"/>
              <w:bottom w:val="single" w:sz="4" w:space="0" w:color="FFFFFF" w:themeColor="background1"/>
              <w:right w:val="nil"/>
            </w:tcBorders>
            <w:shd w:val="clear" w:color="auto" w:fill="auto"/>
            <w:vAlign w:val="center"/>
          </w:tcPr>
          <w:p w:rsidR="003F24A1" w:rsidRDefault="003F24A1" w:rsidP="004B3C2F">
            <w:pPr>
              <w:ind w:left="-142" w:right="-91"/>
              <w:jc w:val="center"/>
              <w:rPr>
                <w:b/>
                <w:bCs/>
                <w:sz w:val="22"/>
                <w:szCs w:val="22"/>
              </w:rPr>
            </w:pPr>
          </w:p>
          <w:p w:rsidR="003F24A1" w:rsidRDefault="003F24A1" w:rsidP="004B3C2F">
            <w:pPr>
              <w:ind w:left="-142" w:right="-91"/>
              <w:jc w:val="center"/>
              <w:rPr>
                <w:b/>
                <w:bCs/>
                <w:sz w:val="22"/>
                <w:szCs w:val="22"/>
              </w:rPr>
            </w:pPr>
          </w:p>
          <w:p w:rsidR="003F24A1" w:rsidRPr="00574257" w:rsidRDefault="003F24A1" w:rsidP="004B3C2F">
            <w:pPr>
              <w:ind w:left="-142" w:right="-91"/>
              <w:jc w:val="center"/>
              <w:rPr>
                <w:sz w:val="22"/>
                <w:szCs w:val="22"/>
                <w:vertAlign w:val="superscript"/>
              </w:rPr>
            </w:pPr>
            <w:r w:rsidRPr="00574257">
              <w:rPr>
                <w:b/>
                <w:bCs/>
                <w:sz w:val="22"/>
                <w:szCs w:val="22"/>
              </w:rPr>
              <w:t xml:space="preserve">RELACIÓN EXISTENCIAS-DESAPARICIÓN EN LOS PRINCIPALES EXPORTADORES </w:t>
            </w:r>
            <w:r w:rsidRPr="00574257">
              <w:rPr>
                <w:sz w:val="22"/>
                <w:szCs w:val="22"/>
                <w:u w:val="single"/>
                <w:vertAlign w:val="superscript"/>
              </w:rPr>
              <w:t>1</w:t>
            </w:r>
            <w:r w:rsidRPr="00574257">
              <w:rPr>
                <w:sz w:val="22"/>
                <w:szCs w:val="22"/>
                <w:vertAlign w:val="superscript"/>
              </w:rPr>
              <w:t>/</w:t>
            </w:r>
          </w:p>
          <w:p w:rsidR="003F24A1" w:rsidRPr="00574257" w:rsidRDefault="003F24A1" w:rsidP="004B3C2F">
            <w:pPr>
              <w:jc w:val="center"/>
              <w:rPr>
                <w:b/>
                <w:bCs/>
                <w:sz w:val="22"/>
                <w:szCs w:val="22"/>
              </w:rPr>
            </w:pPr>
            <w:r w:rsidRPr="00574257">
              <w:rPr>
                <w:b/>
                <w:iCs/>
                <w:sz w:val="22"/>
                <w:szCs w:val="22"/>
              </w:rPr>
              <w:t>- Por ciento -</w:t>
            </w:r>
          </w:p>
        </w:tc>
      </w:tr>
      <w:tr w:rsidR="003F24A1" w:rsidRPr="00574257" w:rsidTr="004B3C2F">
        <w:trPr>
          <w:trHeight w:val="941"/>
          <w:jc w:val="center"/>
        </w:trPr>
        <w:tc>
          <w:tcPr>
            <w:tcW w:w="10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Período</w:t>
            </w:r>
          </w:p>
        </w:tc>
        <w:tc>
          <w:tcPr>
            <w:tcW w:w="1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de cereales</w:t>
            </w:r>
          </w:p>
        </w:tc>
        <w:tc>
          <w:tcPr>
            <w:tcW w:w="18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ind w:left="101"/>
              <w:jc w:val="center"/>
              <w:rPr>
                <w:b/>
                <w:bCs/>
                <w:color w:val="FFFFFF" w:themeColor="background1"/>
                <w:sz w:val="20"/>
                <w:szCs w:val="20"/>
              </w:rPr>
            </w:pPr>
            <w:r w:rsidRPr="00574257">
              <w:rPr>
                <w:b/>
                <w:bCs/>
                <w:color w:val="FFFFFF" w:themeColor="background1"/>
                <w:sz w:val="20"/>
                <w:szCs w:val="20"/>
              </w:rPr>
              <w:t>de trigo</w:t>
            </w:r>
          </w:p>
        </w:tc>
        <w:tc>
          <w:tcPr>
            <w:tcW w:w="17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jc w:val="center"/>
              <w:rPr>
                <w:b/>
                <w:bCs/>
                <w:color w:val="FFFFFF" w:themeColor="background1"/>
                <w:sz w:val="20"/>
                <w:szCs w:val="20"/>
              </w:rPr>
            </w:pPr>
            <w:r w:rsidRPr="00574257">
              <w:rPr>
                <w:b/>
                <w:bCs/>
                <w:color w:val="FFFFFF" w:themeColor="background1"/>
                <w:sz w:val="20"/>
                <w:szCs w:val="20"/>
              </w:rPr>
              <w:t>Mercado mundial</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5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3F24A1" w:rsidRPr="00574257" w:rsidRDefault="003F24A1" w:rsidP="004B3C2F">
            <w:pPr>
              <w:spacing w:before="160"/>
              <w:ind w:left="-96" w:right="-62"/>
              <w:jc w:val="center"/>
              <w:rPr>
                <w:b/>
                <w:bCs/>
                <w:color w:val="FFFFFF" w:themeColor="background1"/>
                <w:sz w:val="20"/>
                <w:szCs w:val="20"/>
              </w:rPr>
            </w:pPr>
            <w:r w:rsidRPr="00574257">
              <w:rPr>
                <w:b/>
                <w:bCs/>
                <w:color w:val="FFFFFF" w:themeColor="background1"/>
                <w:sz w:val="20"/>
                <w:szCs w:val="20"/>
              </w:rPr>
              <w:t>Mercado</w:t>
            </w:r>
          </w:p>
          <w:p w:rsidR="003F24A1" w:rsidRPr="00574257" w:rsidRDefault="003F24A1" w:rsidP="004B3C2F">
            <w:pPr>
              <w:jc w:val="center"/>
              <w:rPr>
                <w:b/>
                <w:bCs/>
                <w:color w:val="FFFFFF" w:themeColor="background1"/>
                <w:sz w:val="20"/>
                <w:szCs w:val="20"/>
              </w:rPr>
            </w:pPr>
            <w:r w:rsidRPr="00574257">
              <w:rPr>
                <w:b/>
                <w:bCs/>
                <w:color w:val="FFFFFF" w:themeColor="background1"/>
                <w:sz w:val="20"/>
                <w:szCs w:val="20"/>
              </w:rPr>
              <w:t>mundial de arroz</w:t>
            </w:r>
          </w:p>
        </w:tc>
      </w:tr>
      <w:tr w:rsidR="003F24A1" w:rsidRPr="00574257" w:rsidTr="004B3C2F">
        <w:trPr>
          <w:trHeight w:val="255"/>
          <w:jc w:val="center"/>
        </w:trPr>
        <w:tc>
          <w:tcPr>
            <w:tcW w:w="1063"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2010/11</w:t>
            </w:r>
          </w:p>
        </w:tc>
        <w:tc>
          <w:tcPr>
            <w:tcW w:w="1866"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580" w:right="696"/>
              <w:jc w:val="right"/>
              <w:rPr>
                <w:sz w:val="20"/>
                <w:szCs w:val="20"/>
              </w:rPr>
            </w:pPr>
            <w:r w:rsidRPr="00574257">
              <w:rPr>
                <w:sz w:val="20"/>
                <w:szCs w:val="20"/>
              </w:rPr>
              <w:t>17.4</w:t>
            </w:r>
          </w:p>
        </w:tc>
        <w:tc>
          <w:tcPr>
            <w:tcW w:w="1818"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580" w:right="610"/>
              <w:jc w:val="right"/>
              <w:rPr>
                <w:sz w:val="20"/>
                <w:szCs w:val="20"/>
              </w:rPr>
            </w:pPr>
            <w:r w:rsidRPr="00574257">
              <w:rPr>
                <w:sz w:val="20"/>
                <w:szCs w:val="20"/>
              </w:rPr>
              <w:t>20.7</w:t>
            </w:r>
          </w:p>
        </w:tc>
        <w:tc>
          <w:tcPr>
            <w:tcW w:w="1789"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580" w:right="628"/>
              <w:jc w:val="right"/>
              <w:rPr>
                <w:sz w:val="20"/>
                <w:szCs w:val="20"/>
              </w:rPr>
            </w:pPr>
            <w:r w:rsidRPr="00574257">
              <w:rPr>
                <w:sz w:val="20"/>
                <w:szCs w:val="20"/>
              </w:rPr>
              <w:t>10.7</w:t>
            </w:r>
          </w:p>
        </w:tc>
        <w:tc>
          <w:tcPr>
            <w:tcW w:w="1505"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574257" w:rsidRDefault="003F24A1" w:rsidP="004B3C2F">
            <w:pPr>
              <w:ind w:left="-1580" w:right="589"/>
              <w:jc w:val="right"/>
              <w:rPr>
                <w:sz w:val="20"/>
                <w:szCs w:val="20"/>
              </w:rPr>
            </w:pPr>
            <w:r w:rsidRPr="00574257">
              <w:rPr>
                <w:sz w:val="20"/>
                <w:szCs w:val="20"/>
              </w:rPr>
              <w:t>20.7</w:t>
            </w:r>
          </w:p>
        </w:tc>
      </w:tr>
      <w:tr w:rsidR="003F24A1" w:rsidRPr="00574257" w:rsidTr="004B3C2F">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2011/12</w:t>
            </w:r>
          </w:p>
        </w:tc>
        <w:tc>
          <w:tcPr>
            <w:tcW w:w="1866"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96"/>
              <w:jc w:val="right"/>
              <w:rPr>
                <w:sz w:val="20"/>
                <w:szCs w:val="20"/>
              </w:rPr>
            </w:pPr>
            <w:r>
              <w:rPr>
                <w:sz w:val="20"/>
                <w:szCs w:val="20"/>
              </w:rPr>
              <w:t>17.9</w:t>
            </w:r>
          </w:p>
        </w:tc>
        <w:tc>
          <w:tcPr>
            <w:tcW w:w="181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10"/>
              <w:jc w:val="right"/>
              <w:rPr>
                <w:sz w:val="20"/>
                <w:szCs w:val="20"/>
              </w:rPr>
            </w:pPr>
            <w:r>
              <w:rPr>
                <w:sz w:val="20"/>
                <w:szCs w:val="20"/>
              </w:rPr>
              <w:t>18.0</w:t>
            </w:r>
          </w:p>
        </w:tc>
        <w:tc>
          <w:tcPr>
            <w:tcW w:w="1789"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28"/>
              <w:jc w:val="right"/>
              <w:rPr>
                <w:sz w:val="20"/>
                <w:szCs w:val="20"/>
              </w:rPr>
            </w:pPr>
            <w:r w:rsidRPr="00574257">
              <w:rPr>
                <w:sz w:val="20"/>
                <w:szCs w:val="20"/>
              </w:rPr>
              <w:t>10.8</w:t>
            </w:r>
          </w:p>
        </w:tc>
        <w:tc>
          <w:tcPr>
            <w:tcW w:w="15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589"/>
              <w:jc w:val="right"/>
              <w:rPr>
                <w:sz w:val="20"/>
                <w:szCs w:val="20"/>
              </w:rPr>
            </w:pPr>
            <w:r>
              <w:rPr>
                <w:sz w:val="20"/>
                <w:szCs w:val="20"/>
              </w:rPr>
              <w:t>25.0</w:t>
            </w:r>
          </w:p>
        </w:tc>
      </w:tr>
      <w:tr w:rsidR="003F24A1" w:rsidRPr="00574257" w:rsidTr="004B3C2F">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2012/13</w:t>
            </w:r>
          </w:p>
        </w:tc>
        <w:tc>
          <w:tcPr>
            <w:tcW w:w="1866"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96"/>
              <w:jc w:val="right"/>
              <w:rPr>
                <w:sz w:val="20"/>
                <w:szCs w:val="20"/>
              </w:rPr>
            </w:pPr>
            <w:r w:rsidRPr="00574257">
              <w:rPr>
                <w:sz w:val="20"/>
                <w:szCs w:val="20"/>
              </w:rPr>
              <w:t>16.</w:t>
            </w:r>
            <w:r>
              <w:rPr>
                <w:sz w:val="20"/>
                <w:szCs w:val="20"/>
              </w:rPr>
              <w:t>9</w:t>
            </w:r>
          </w:p>
        </w:tc>
        <w:tc>
          <w:tcPr>
            <w:tcW w:w="181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10"/>
              <w:jc w:val="right"/>
              <w:rPr>
                <w:sz w:val="20"/>
                <w:szCs w:val="20"/>
              </w:rPr>
            </w:pPr>
            <w:r w:rsidRPr="00574257">
              <w:rPr>
                <w:sz w:val="20"/>
                <w:szCs w:val="20"/>
              </w:rPr>
              <w:t>14.1</w:t>
            </w:r>
          </w:p>
        </w:tc>
        <w:tc>
          <w:tcPr>
            <w:tcW w:w="1789"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28"/>
              <w:jc w:val="right"/>
              <w:rPr>
                <w:sz w:val="20"/>
                <w:szCs w:val="20"/>
              </w:rPr>
            </w:pPr>
            <w:r w:rsidRPr="00574257">
              <w:rPr>
                <w:sz w:val="20"/>
                <w:szCs w:val="20"/>
              </w:rPr>
              <w:t>8.</w:t>
            </w:r>
            <w:r>
              <w:rPr>
                <w:sz w:val="20"/>
                <w:szCs w:val="20"/>
              </w:rPr>
              <w:t>4</w:t>
            </w:r>
          </w:p>
        </w:tc>
        <w:tc>
          <w:tcPr>
            <w:tcW w:w="15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589"/>
              <w:jc w:val="right"/>
              <w:rPr>
                <w:sz w:val="20"/>
                <w:szCs w:val="20"/>
              </w:rPr>
            </w:pPr>
            <w:r w:rsidRPr="00574257">
              <w:rPr>
                <w:sz w:val="20"/>
                <w:szCs w:val="20"/>
              </w:rPr>
              <w:t>28.</w:t>
            </w:r>
            <w:r>
              <w:rPr>
                <w:sz w:val="20"/>
                <w:szCs w:val="20"/>
              </w:rPr>
              <w:t>2</w:t>
            </w:r>
          </w:p>
        </w:tc>
      </w:tr>
      <w:tr w:rsidR="003F24A1" w:rsidRPr="00574257" w:rsidTr="004B3C2F">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2013/14*</w:t>
            </w:r>
          </w:p>
        </w:tc>
        <w:tc>
          <w:tcPr>
            <w:tcW w:w="1866"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96"/>
              <w:jc w:val="right"/>
              <w:rPr>
                <w:sz w:val="20"/>
                <w:szCs w:val="20"/>
              </w:rPr>
            </w:pPr>
            <w:r w:rsidRPr="00574257">
              <w:rPr>
                <w:sz w:val="20"/>
                <w:szCs w:val="20"/>
              </w:rPr>
              <w:t>1</w:t>
            </w:r>
            <w:r>
              <w:rPr>
                <w:sz w:val="20"/>
                <w:szCs w:val="20"/>
              </w:rPr>
              <w:t>7</w:t>
            </w:r>
            <w:r w:rsidRPr="00574257">
              <w:rPr>
                <w:sz w:val="20"/>
                <w:szCs w:val="20"/>
              </w:rPr>
              <w:t>.</w:t>
            </w:r>
            <w:r>
              <w:rPr>
                <w:sz w:val="20"/>
                <w:szCs w:val="20"/>
              </w:rPr>
              <w:t>4</w:t>
            </w:r>
          </w:p>
        </w:tc>
        <w:tc>
          <w:tcPr>
            <w:tcW w:w="181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10"/>
              <w:jc w:val="right"/>
              <w:rPr>
                <w:sz w:val="20"/>
                <w:szCs w:val="20"/>
              </w:rPr>
            </w:pPr>
            <w:r w:rsidRPr="00574257">
              <w:rPr>
                <w:sz w:val="20"/>
                <w:szCs w:val="20"/>
              </w:rPr>
              <w:t>1</w:t>
            </w:r>
            <w:r>
              <w:rPr>
                <w:sz w:val="20"/>
                <w:szCs w:val="20"/>
              </w:rPr>
              <w:t>4</w:t>
            </w:r>
            <w:r w:rsidRPr="00574257">
              <w:rPr>
                <w:sz w:val="20"/>
                <w:szCs w:val="20"/>
              </w:rPr>
              <w:t>.</w:t>
            </w:r>
            <w:r>
              <w:rPr>
                <w:sz w:val="20"/>
                <w:szCs w:val="20"/>
              </w:rPr>
              <w:t>3</w:t>
            </w:r>
          </w:p>
        </w:tc>
        <w:tc>
          <w:tcPr>
            <w:tcW w:w="1789"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28"/>
              <w:jc w:val="right"/>
              <w:rPr>
                <w:sz w:val="20"/>
                <w:szCs w:val="20"/>
              </w:rPr>
            </w:pPr>
            <w:r w:rsidRPr="00574257">
              <w:rPr>
                <w:sz w:val="20"/>
                <w:szCs w:val="20"/>
              </w:rPr>
              <w:t>1</w:t>
            </w:r>
            <w:r>
              <w:rPr>
                <w:sz w:val="20"/>
                <w:szCs w:val="20"/>
              </w:rPr>
              <w:t>1</w:t>
            </w:r>
            <w:r w:rsidRPr="00574257">
              <w:rPr>
                <w:sz w:val="20"/>
                <w:szCs w:val="20"/>
              </w:rPr>
              <w:t>.</w:t>
            </w:r>
            <w:r>
              <w:rPr>
                <w:sz w:val="20"/>
                <w:szCs w:val="20"/>
              </w:rPr>
              <w:t>4</w:t>
            </w:r>
          </w:p>
        </w:tc>
        <w:tc>
          <w:tcPr>
            <w:tcW w:w="15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589"/>
              <w:jc w:val="right"/>
              <w:rPr>
                <w:sz w:val="20"/>
                <w:szCs w:val="20"/>
              </w:rPr>
            </w:pPr>
            <w:r w:rsidRPr="00574257">
              <w:rPr>
                <w:sz w:val="20"/>
                <w:szCs w:val="20"/>
              </w:rPr>
              <w:t>2</w:t>
            </w:r>
            <w:r>
              <w:rPr>
                <w:sz w:val="20"/>
                <w:szCs w:val="20"/>
              </w:rPr>
              <w:t>6.6</w:t>
            </w:r>
          </w:p>
        </w:tc>
      </w:tr>
      <w:tr w:rsidR="003F24A1" w:rsidRPr="00574257" w:rsidTr="004B3C2F">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3F24A1" w:rsidRPr="00574257" w:rsidRDefault="003F24A1" w:rsidP="004B3C2F">
            <w:pPr>
              <w:rPr>
                <w:sz w:val="20"/>
                <w:szCs w:val="20"/>
              </w:rPr>
            </w:pPr>
            <w:r w:rsidRPr="00574257">
              <w:rPr>
                <w:sz w:val="20"/>
                <w:szCs w:val="20"/>
              </w:rPr>
              <w:t>2014/15**</w:t>
            </w:r>
          </w:p>
        </w:tc>
        <w:tc>
          <w:tcPr>
            <w:tcW w:w="1866"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96"/>
              <w:jc w:val="right"/>
              <w:rPr>
                <w:sz w:val="20"/>
                <w:szCs w:val="20"/>
              </w:rPr>
            </w:pPr>
            <w:r w:rsidRPr="00574257">
              <w:rPr>
                <w:sz w:val="20"/>
                <w:szCs w:val="20"/>
              </w:rPr>
              <w:t>18.</w:t>
            </w:r>
            <w:r>
              <w:rPr>
                <w:sz w:val="20"/>
                <w:szCs w:val="20"/>
              </w:rPr>
              <w:t>3</w:t>
            </w:r>
          </w:p>
        </w:tc>
        <w:tc>
          <w:tcPr>
            <w:tcW w:w="1818"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10"/>
              <w:jc w:val="right"/>
              <w:rPr>
                <w:sz w:val="20"/>
                <w:szCs w:val="20"/>
              </w:rPr>
            </w:pPr>
            <w:r w:rsidRPr="00574257">
              <w:rPr>
                <w:sz w:val="20"/>
                <w:szCs w:val="20"/>
              </w:rPr>
              <w:t>1</w:t>
            </w:r>
            <w:r>
              <w:rPr>
                <w:sz w:val="20"/>
                <w:szCs w:val="20"/>
              </w:rPr>
              <w:t>6.4</w:t>
            </w:r>
          </w:p>
        </w:tc>
        <w:tc>
          <w:tcPr>
            <w:tcW w:w="1789"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628"/>
              <w:jc w:val="right"/>
              <w:rPr>
                <w:sz w:val="20"/>
                <w:szCs w:val="20"/>
              </w:rPr>
            </w:pPr>
            <w:r>
              <w:rPr>
                <w:sz w:val="20"/>
                <w:szCs w:val="20"/>
              </w:rPr>
              <w:t>14.7</w:t>
            </w:r>
          </w:p>
        </w:tc>
        <w:tc>
          <w:tcPr>
            <w:tcW w:w="1505" w:type="dxa"/>
            <w:tcBorders>
              <w:top w:val="nil"/>
              <w:left w:val="nil"/>
              <w:bottom w:val="single" w:sz="4" w:space="0" w:color="auto"/>
              <w:right w:val="single" w:sz="4" w:space="0" w:color="auto"/>
            </w:tcBorders>
            <w:shd w:val="clear" w:color="auto" w:fill="auto"/>
            <w:noWrap/>
            <w:vAlign w:val="bottom"/>
          </w:tcPr>
          <w:p w:rsidR="003F24A1" w:rsidRPr="00574257" w:rsidRDefault="003F24A1" w:rsidP="004B3C2F">
            <w:pPr>
              <w:ind w:left="-1580" w:right="589"/>
              <w:jc w:val="right"/>
              <w:rPr>
                <w:sz w:val="20"/>
                <w:szCs w:val="20"/>
              </w:rPr>
            </w:pPr>
            <w:r w:rsidRPr="00574257">
              <w:rPr>
                <w:sz w:val="20"/>
                <w:szCs w:val="20"/>
              </w:rPr>
              <w:t>2</w:t>
            </w:r>
            <w:r>
              <w:rPr>
                <w:sz w:val="20"/>
                <w:szCs w:val="20"/>
              </w:rPr>
              <w:t>3.7</w:t>
            </w:r>
          </w:p>
        </w:tc>
      </w:tr>
      <w:tr w:rsidR="003F24A1" w:rsidRPr="00574257" w:rsidTr="004B3C2F">
        <w:trPr>
          <w:trHeight w:val="2145"/>
          <w:jc w:val="center"/>
        </w:trPr>
        <w:tc>
          <w:tcPr>
            <w:tcW w:w="1063" w:type="dxa"/>
            <w:tcBorders>
              <w:top w:val="single" w:sz="4" w:space="0" w:color="auto"/>
              <w:left w:val="nil"/>
              <w:bottom w:val="nil"/>
              <w:right w:val="nil"/>
            </w:tcBorders>
            <w:shd w:val="clear" w:color="auto" w:fill="auto"/>
            <w:noWrap/>
          </w:tcPr>
          <w:p w:rsidR="003F24A1" w:rsidRPr="00574257" w:rsidRDefault="003F24A1" w:rsidP="004B3C2F">
            <w:pPr>
              <w:spacing w:before="120"/>
              <w:ind w:right="-74"/>
              <w:jc w:val="right"/>
              <w:rPr>
                <w:sz w:val="20"/>
                <w:szCs w:val="20"/>
              </w:rPr>
            </w:pPr>
            <w:r w:rsidRPr="00574257">
              <w:rPr>
                <w:sz w:val="20"/>
                <w:szCs w:val="20"/>
                <w:u w:val="single"/>
                <w:vertAlign w:val="superscript"/>
              </w:rPr>
              <w:t>1</w:t>
            </w:r>
            <w:r w:rsidRPr="00574257">
              <w:rPr>
                <w:sz w:val="20"/>
                <w:szCs w:val="20"/>
                <w:vertAlign w:val="superscript"/>
              </w:rPr>
              <w:t xml:space="preserve">/  </w:t>
            </w:r>
          </w:p>
          <w:p w:rsidR="003F24A1" w:rsidRPr="00574257" w:rsidRDefault="003F24A1" w:rsidP="004B3C2F">
            <w:pPr>
              <w:ind w:right="-72" w:firstLine="10"/>
              <w:jc w:val="right"/>
              <w:rPr>
                <w:sz w:val="20"/>
                <w:szCs w:val="20"/>
              </w:rPr>
            </w:pPr>
          </w:p>
          <w:p w:rsidR="003F24A1" w:rsidRPr="00574257" w:rsidRDefault="003F24A1" w:rsidP="004B3C2F">
            <w:pPr>
              <w:ind w:right="-72" w:firstLine="10"/>
              <w:jc w:val="right"/>
              <w:rPr>
                <w:sz w:val="20"/>
                <w:szCs w:val="20"/>
              </w:rPr>
            </w:pPr>
          </w:p>
          <w:p w:rsidR="003F24A1" w:rsidRPr="00574257" w:rsidRDefault="003F24A1" w:rsidP="004B3C2F">
            <w:pPr>
              <w:ind w:right="-72" w:firstLine="10"/>
              <w:jc w:val="right"/>
              <w:rPr>
                <w:sz w:val="20"/>
                <w:szCs w:val="20"/>
              </w:rPr>
            </w:pPr>
          </w:p>
          <w:p w:rsidR="003F24A1" w:rsidRPr="00574257" w:rsidRDefault="003F24A1" w:rsidP="004B3C2F">
            <w:pPr>
              <w:ind w:right="-72"/>
              <w:jc w:val="right"/>
              <w:rPr>
                <w:sz w:val="20"/>
                <w:szCs w:val="20"/>
              </w:rPr>
            </w:pPr>
          </w:p>
          <w:p w:rsidR="003F24A1" w:rsidRPr="00574257" w:rsidRDefault="003F24A1" w:rsidP="004B3C2F">
            <w:pPr>
              <w:ind w:right="-72"/>
              <w:jc w:val="right"/>
              <w:rPr>
                <w:sz w:val="20"/>
                <w:szCs w:val="20"/>
              </w:rPr>
            </w:pPr>
            <w:r w:rsidRPr="00574257">
              <w:rPr>
                <w:sz w:val="20"/>
                <w:szCs w:val="20"/>
              </w:rPr>
              <w:t xml:space="preserve">* </w:t>
            </w:r>
          </w:p>
          <w:p w:rsidR="003F24A1" w:rsidRPr="00574257" w:rsidRDefault="003F24A1" w:rsidP="004B3C2F">
            <w:pPr>
              <w:ind w:right="-72" w:firstLine="10"/>
              <w:jc w:val="right"/>
              <w:rPr>
                <w:sz w:val="20"/>
                <w:szCs w:val="20"/>
              </w:rPr>
            </w:pPr>
            <w:r w:rsidRPr="00574257">
              <w:rPr>
                <w:sz w:val="20"/>
                <w:szCs w:val="20"/>
              </w:rPr>
              <w:t xml:space="preserve"> ** FUENTE:</w:t>
            </w:r>
            <w:r w:rsidRPr="00574257">
              <w:rPr>
                <w:sz w:val="14"/>
                <w:szCs w:val="20"/>
              </w:rPr>
              <w:t xml:space="preserve"> </w:t>
            </w:r>
          </w:p>
        </w:tc>
        <w:tc>
          <w:tcPr>
            <w:tcW w:w="6978" w:type="dxa"/>
            <w:gridSpan w:val="4"/>
            <w:tcBorders>
              <w:top w:val="single" w:sz="4" w:space="0" w:color="auto"/>
              <w:left w:val="nil"/>
              <w:bottom w:val="nil"/>
              <w:right w:val="nil"/>
            </w:tcBorders>
          </w:tcPr>
          <w:p w:rsidR="003F24A1" w:rsidRPr="00574257" w:rsidRDefault="003F24A1" w:rsidP="004B3C2F">
            <w:pPr>
              <w:spacing w:before="120"/>
              <w:ind w:left="23" w:right="-74"/>
              <w:jc w:val="both"/>
              <w:rPr>
                <w:sz w:val="20"/>
                <w:szCs w:val="20"/>
              </w:rPr>
            </w:pPr>
            <w:r w:rsidRPr="00574257">
              <w:rPr>
                <w:sz w:val="20"/>
                <w:szCs w:val="20"/>
              </w:rPr>
              <w:t>Los cinco mayores exportadores de granos son Argentina, Australia, Canadá, la Unión Europea y Estados Unidos de Norteamérica; los mayores exportadores de arroz son  India, Pakistán, Tailandia, Estados Unidos de Norteamérica y Vietnam. Por “desaparición” se entiende la utilización interna más las exportaciones para una cosecha dada.</w:t>
            </w:r>
          </w:p>
          <w:p w:rsidR="003F24A1" w:rsidRPr="00574257" w:rsidRDefault="003F24A1" w:rsidP="004B3C2F">
            <w:pPr>
              <w:ind w:left="23" w:right="-74"/>
              <w:jc w:val="both"/>
              <w:rPr>
                <w:sz w:val="20"/>
                <w:szCs w:val="20"/>
              </w:rPr>
            </w:pPr>
            <w:r w:rsidRPr="00574257">
              <w:rPr>
                <w:sz w:val="20"/>
                <w:szCs w:val="20"/>
              </w:rPr>
              <w:t>Estimación.</w:t>
            </w:r>
          </w:p>
          <w:p w:rsidR="003F24A1" w:rsidRPr="009015FA" w:rsidRDefault="003F24A1" w:rsidP="004B3C2F">
            <w:pPr>
              <w:ind w:left="899" w:right="-67" w:hanging="884"/>
              <w:jc w:val="both"/>
              <w:rPr>
                <w:sz w:val="20"/>
                <w:szCs w:val="20"/>
              </w:rPr>
            </w:pPr>
            <w:r w:rsidRPr="009015FA">
              <w:rPr>
                <w:sz w:val="20"/>
                <w:szCs w:val="20"/>
              </w:rPr>
              <w:t xml:space="preserve">Pronóstico al </w:t>
            </w:r>
            <w:r>
              <w:rPr>
                <w:sz w:val="20"/>
                <w:szCs w:val="20"/>
              </w:rPr>
              <w:t>5</w:t>
            </w:r>
            <w:r w:rsidRPr="009015FA">
              <w:rPr>
                <w:sz w:val="20"/>
                <w:szCs w:val="20"/>
              </w:rPr>
              <w:t xml:space="preserve"> de </w:t>
            </w:r>
            <w:r>
              <w:rPr>
                <w:sz w:val="20"/>
                <w:szCs w:val="20"/>
              </w:rPr>
              <w:t>marzo</w:t>
            </w:r>
            <w:r w:rsidRPr="009015FA">
              <w:rPr>
                <w:sz w:val="20"/>
                <w:szCs w:val="20"/>
              </w:rPr>
              <w:t xml:space="preserve"> de 201</w:t>
            </w:r>
            <w:r>
              <w:rPr>
                <w:sz w:val="20"/>
                <w:szCs w:val="20"/>
              </w:rPr>
              <w:t>5</w:t>
            </w:r>
            <w:r w:rsidRPr="009015FA">
              <w:rPr>
                <w:sz w:val="20"/>
                <w:szCs w:val="20"/>
              </w:rPr>
              <w:t>.</w:t>
            </w:r>
          </w:p>
          <w:p w:rsidR="003F24A1" w:rsidRPr="00574257" w:rsidRDefault="003F24A1" w:rsidP="004B3C2F">
            <w:pPr>
              <w:ind w:left="21" w:right="-72"/>
              <w:jc w:val="both"/>
              <w:rPr>
                <w:sz w:val="20"/>
                <w:szCs w:val="20"/>
                <w:u w:val="single"/>
                <w:vertAlign w:val="superscript"/>
              </w:rPr>
            </w:pPr>
            <w:r w:rsidRPr="00574257">
              <w:rPr>
                <w:sz w:val="20"/>
                <w:szCs w:val="20"/>
              </w:rPr>
              <w:t>Elaborado por la Comisión Nacional de los Salarios Mínimos con información de la FAO.</w:t>
            </w:r>
          </w:p>
        </w:tc>
      </w:tr>
    </w:tbl>
    <w:p w:rsidR="003F24A1" w:rsidRPr="00574257" w:rsidRDefault="003F24A1" w:rsidP="003F24A1">
      <w:pPr>
        <w:spacing w:line="360" w:lineRule="auto"/>
        <w:jc w:val="both"/>
        <w:rPr>
          <w:b/>
          <w:sz w:val="20"/>
          <w:szCs w:val="20"/>
        </w:rPr>
      </w:pPr>
    </w:p>
    <w:p w:rsidR="003F24A1" w:rsidRPr="00574257" w:rsidRDefault="003F24A1" w:rsidP="003F24A1">
      <w:pPr>
        <w:ind w:left="406"/>
        <w:rPr>
          <w:b/>
          <w:sz w:val="20"/>
          <w:szCs w:val="20"/>
        </w:rPr>
      </w:pPr>
      <w:r w:rsidRPr="00574257">
        <w:rPr>
          <w:b/>
          <w:sz w:val="20"/>
          <w:szCs w:val="20"/>
        </w:rPr>
        <w:t xml:space="preserve">Fuente de información: </w:t>
      </w:r>
    </w:p>
    <w:p w:rsidR="003F24A1" w:rsidRPr="002832E5" w:rsidRDefault="00935135" w:rsidP="003F24A1">
      <w:pPr>
        <w:ind w:left="406"/>
        <w:rPr>
          <w:sz w:val="20"/>
          <w:szCs w:val="20"/>
        </w:rPr>
      </w:pPr>
      <w:hyperlink r:id="rId46" w:history="1">
        <w:r w:rsidR="003F24A1" w:rsidRPr="00574257">
          <w:rPr>
            <w:color w:val="0000FF"/>
            <w:sz w:val="20"/>
            <w:szCs w:val="20"/>
            <w:u w:val="single"/>
          </w:rPr>
          <w:t>http://www.fao.org/worldfoodsituation/csdb/es/</w:t>
        </w:r>
      </w:hyperlink>
      <w:r w:rsidR="003F24A1" w:rsidRPr="00574257">
        <w:rPr>
          <w:sz w:val="20"/>
          <w:szCs w:val="20"/>
        </w:rPr>
        <w:t xml:space="preserve"> </w:t>
      </w:r>
      <w:r w:rsidR="003F24A1" w:rsidRPr="002832E5">
        <w:rPr>
          <w:sz w:val="20"/>
          <w:szCs w:val="20"/>
        </w:rPr>
        <w:t xml:space="preserve"> </w:t>
      </w:r>
    </w:p>
    <w:p w:rsidR="003F24A1" w:rsidRPr="00E313B7" w:rsidRDefault="00364D4D" w:rsidP="004A0A61">
      <w:pPr>
        <w:pStyle w:val="Ttulo1"/>
        <w:spacing w:before="360" w:after="360"/>
        <w:jc w:val="left"/>
        <w:rPr>
          <w:color w:val="0000FF"/>
          <w:sz w:val="26"/>
          <w:szCs w:val="26"/>
        </w:rPr>
      </w:pPr>
      <w:r>
        <w:br w:type="column"/>
      </w:r>
      <w:r w:rsidR="003F24A1" w:rsidRPr="00E313B7">
        <w:rPr>
          <w:color w:val="0000FF"/>
          <w:sz w:val="26"/>
          <w:szCs w:val="26"/>
        </w:rPr>
        <w:lastRenderedPageBreak/>
        <w:t xml:space="preserve">Inflación mensual en el área de la OCDE </w:t>
      </w:r>
    </w:p>
    <w:p w:rsidR="003F24A1" w:rsidRPr="003F24A1" w:rsidRDefault="003F24A1" w:rsidP="004A0A61">
      <w:pPr>
        <w:tabs>
          <w:tab w:val="left" w:pos="4395"/>
        </w:tabs>
        <w:autoSpaceDE w:val="0"/>
        <w:autoSpaceDN w:val="0"/>
        <w:adjustRightInd w:val="0"/>
        <w:spacing w:before="360" w:after="360" w:line="360" w:lineRule="auto"/>
        <w:jc w:val="both"/>
        <w:rPr>
          <w:sz w:val="26"/>
          <w:szCs w:val="26"/>
          <w:lang w:val="es-MX" w:eastAsia="es-MX"/>
        </w:rPr>
      </w:pPr>
      <w:r w:rsidRPr="003F24A1">
        <w:rPr>
          <w:color w:val="000000" w:themeColor="text1"/>
          <w:sz w:val="26"/>
          <w:szCs w:val="26"/>
          <w:lang w:val="es-MX" w:eastAsia="es-MX"/>
        </w:rPr>
        <w:t>La Organización para la Cooperación y el Desarrollo Económicos (OCDE) informó el 3</w:t>
      </w:r>
      <w:r w:rsidRPr="003F24A1">
        <w:rPr>
          <w:sz w:val="26"/>
          <w:szCs w:val="26"/>
          <w:lang w:val="es-MX" w:eastAsia="es-MX"/>
        </w:rPr>
        <w:t xml:space="preserve"> de marzo </w:t>
      </w:r>
      <w:r w:rsidRPr="003F24A1">
        <w:rPr>
          <w:color w:val="000000" w:themeColor="text1"/>
          <w:sz w:val="26"/>
          <w:szCs w:val="26"/>
          <w:lang w:val="es-MX" w:eastAsia="es-MX"/>
        </w:rPr>
        <w:t>de 2015, que en el mes de enero</w:t>
      </w:r>
      <w:r w:rsidRPr="003F24A1">
        <w:rPr>
          <w:color w:val="404040" w:themeColor="text1" w:themeTint="BF"/>
          <w:sz w:val="26"/>
          <w:szCs w:val="26"/>
          <w:lang w:val="es-MX" w:eastAsia="es-MX"/>
        </w:rPr>
        <w:t xml:space="preserve"> de 2015,</w:t>
      </w:r>
      <w:r w:rsidRPr="003F24A1">
        <w:rPr>
          <w:sz w:val="26"/>
          <w:szCs w:val="26"/>
          <w:lang w:val="es-MX" w:eastAsia="es-MX"/>
        </w:rPr>
        <w:t xml:space="preserve"> el Índice de Precios al Consumidor en el área de la Organización registró un decremento (-0.5%) en contraste con el nivel mostrado en el mismo lapso del año anterior (0.1%). La variación de enero de 2015 se originó, principalmente, por el decremento en los precios de la energía       (-5.0%), cuya variación fue inferior a la observada en el </w:t>
      </w:r>
      <w:r w:rsidR="00F97F64" w:rsidRPr="003F24A1">
        <w:rPr>
          <w:sz w:val="26"/>
          <w:szCs w:val="26"/>
          <w:lang w:val="es-MX" w:eastAsia="es-MX"/>
        </w:rPr>
        <w:t>mismo mes</w:t>
      </w:r>
      <w:r w:rsidRPr="003F24A1">
        <w:rPr>
          <w:sz w:val="26"/>
          <w:szCs w:val="26"/>
          <w:lang w:val="es-MX" w:eastAsia="es-MX"/>
        </w:rPr>
        <w:t xml:space="preserve"> de 2014 (1.1%). Por otra parte, el indicador de alimentos (0.6%) reportó </w:t>
      </w:r>
      <w:r w:rsidR="00F97F64" w:rsidRPr="003F24A1">
        <w:rPr>
          <w:sz w:val="26"/>
          <w:szCs w:val="26"/>
          <w:lang w:val="es-MX" w:eastAsia="es-MX"/>
        </w:rPr>
        <w:t>una variación</w:t>
      </w:r>
      <w:r w:rsidRPr="003F24A1">
        <w:rPr>
          <w:sz w:val="26"/>
          <w:szCs w:val="26"/>
          <w:lang w:val="es-MX" w:eastAsia="es-MX"/>
        </w:rPr>
        <w:t xml:space="preserve"> inferior al registrado en el mismo período del año anterior (0.7%). Asimismo, el índice de todos los rubros, excluyendo alimentos y energía (-0.2%), tuvo una variación menor a la ocurrida el mismo mes del año anterior (-0.1%). </w:t>
      </w:r>
    </w:p>
    <w:p w:rsidR="003F24A1" w:rsidRPr="003F24A1" w:rsidRDefault="003F24A1" w:rsidP="003F24A1">
      <w:pPr>
        <w:jc w:val="center"/>
        <w:rPr>
          <w:b/>
          <w:bCs/>
          <w:color w:val="000000"/>
          <w:sz w:val="22"/>
          <w:szCs w:val="22"/>
        </w:rPr>
      </w:pPr>
      <w:r w:rsidRPr="003F24A1">
        <w:rPr>
          <w:b/>
          <w:bCs/>
          <w:sz w:val="22"/>
          <w:szCs w:val="22"/>
        </w:rPr>
        <w:t xml:space="preserve">PRECIOS AL CONSUMIDOR EN LA OCDE </w:t>
      </w:r>
      <w:r w:rsidRPr="003F24A1">
        <w:rPr>
          <w:b/>
          <w:bCs/>
          <w:color w:val="000000"/>
          <w:sz w:val="22"/>
          <w:szCs w:val="22"/>
          <w:u w:val="single"/>
          <w:vertAlign w:val="superscript"/>
        </w:rPr>
        <w:t>1</w:t>
      </w:r>
      <w:r w:rsidRPr="003F24A1">
        <w:rPr>
          <w:b/>
          <w:bCs/>
          <w:color w:val="000000"/>
          <w:sz w:val="22"/>
          <w:szCs w:val="22"/>
          <w:vertAlign w:val="superscript"/>
        </w:rPr>
        <w:t>/</w:t>
      </w:r>
    </w:p>
    <w:p w:rsidR="003F24A1" w:rsidRPr="003F24A1" w:rsidRDefault="003F24A1" w:rsidP="003F24A1">
      <w:pPr>
        <w:jc w:val="center"/>
        <w:rPr>
          <w:bCs/>
          <w:sz w:val="22"/>
          <w:szCs w:val="22"/>
        </w:rPr>
      </w:pPr>
      <w:r w:rsidRPr="003F24A1">
        <w:rPr>
          <w:bCs/>
          <w:sz w:val="22"/>
          <w:szCs w:val="22"/>
        </w:rPr>
        <w:t>- Variación con respecto al mes previo -</w:t>
      </w:r>
    </w:p>
    <w:p w:rsidR="003F24A1" w:rsidRPr="003F24A1" w:rsidRDefault="003F24A1" w:rsidP="003F24A1">
      <w:pPr>
        <w:jc w:val="center"/>
        <w:rPr>
          <w:bCs/>
          <w:sz w:val="22"/>
          <w:szCs w:val="22"/>
        </w:rPr>
      </w:pPr>
      <w:r w:rsidRPr="003F24A1">
        <w:rPr>
          <w:bCs/>
          <w:sz w:val="22"/>
          <w:szCs w:val="22"/>
        </w:rPr>
        <w:t>Julio 2013 - enero 2015</w:t>
      </w:r>
    </w:p>
    <w:p w:rsidR="003F24A1" w:rsidRPr="003F24A1" w:rsidRDefault="003F24A1" w:rsidP="003F24A1">
      <w:pPr>
        <w:jc w:val="center"/>
        <w:rPr>
          <w:bCs/>
          <w:sz w:val="22"/>
          <w:szCs w:val="22"/>
        </w:rPr>
      </w:pPr>
      <w:r w:rsidRPr="003F24A1">
        <w:rPr>
          <w:bCs/>
          <w:sz w:val="22"/>
          <w:szCs w:val="22"/>
        </w:rPr>
        <w:t>- Por ciento -</w:t>
      </w:r>
    </w:p>
    <w:tbl>
      <w:tblPr>
        <w:tblW w:w="9986" w:type="dxa"/>
        <w:jc w:val="center"/>
        <w:tblLayout w:type="fixed"/>
        <w:tblCellMar>
          <w:left w:w="70" w:type="dxa"/>
          <w:right w:w="70" w:type="dxa"/>
        </w:tblCellMar>
        <w:tblLook w:val="04A0" w:firstRow="1" w:lastRow="0" w:firstColumn="1" w:lastColumn="0" w:noHBand="0" w:noVBand="1"/>
      </w:tblPr>
      <w:tblGrid>
        <w:gridCol w:w="1144"/>
        <w:gridCol w:w="450"/>
        <w:gridCol w:w="430"/>
        <w:gridCol w:w="422"/>
        <w:gridCol w:w="476"/>
        <w:gridCol w:w="489"/>
        <w:gridCol w:w="479"/>
        <w:gridCol w:w="429"/>
        <w:gridCol w:w="443"/>
        <w:gridCol w:w="476"/>
        <w:gridCol w:w="437"/>
        <w:gridCol w:w="459"/>
        <w:gridCol w:w="462"/>
        <w:gridCol w:w="471"/>
        <w:gridCol w:w="484"/>
        <w:gridCol w:w="465"/>
        <w:gridCol w:w="475"/>
        <w:gridCol w:w="477"/>
        <w:gridCol w:w="495"/>
        <w:gridCol w:w="506"/>
        <w:gridCol w:w="17"/>
      </w:tblGrid>
      <w:tr w:rsidR="003F24A1" w:rsidRPr="003F24A1" w:rsidTr="004B3C2F">
        <w:trPr>
          <w:gridAfter w:val="1"/>
          <w:wAfter w:w="17" w:type="dxa"/>
          <w:trHeight w:val="300"/>
          <w:jc w:val="center"/>
        </w:trPr>
        <w:tc>
          <w:tcPr>
            <w:tcW w:w="1144"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3F24A1" w:rsidRPr="003F24A1" w:rsidRDefault="003F24A1" w:rsidP="003F24A1">
            <w:pPr>
              <w:jc w:val="center"/>
              <w:rPr>
                <w:b/>
                <w:bCs/>
                <w:color w:val="FFFFFF" w:themeColor="background1"/>
                <w:sz w:val="18"/>
                <w:szCs w:val="18"/>
              </w:rPr>
            </w:pPr>
            <w:r w:rsidRPr="003F24A1">
              <w:rPr>
                <w:b/>
                <w:bCs/>
                <w:color w:val="FFFFFF" w:themeColor="background1"/>
                <w:sz w:val="18"/>
                <w:szCs w:val="18"/>
              </w:rPr>
              <w:t> </w:t>
            </w:r>
          </w:p>
        </w:tc>
        <w:tc>
          <w:tcPr>
            <w:tcW w:w="2746" w:type="dxa"/>
            <w:gridSpan w:val="6"/>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8"/>
                <w:szCs w:val="18"/>
              </w:rPr>
            </w:pPr>
            <w:r w:rsidRPr="003F24A1">
              <w:rPr>
                <w:b/>
                <w:bCs/>
                <w:color w:val="FFFFFF" w:themeColor="background1"/>
                <w:sz w:val="18"/>
                <w:szCs w:val="18"/>
              </w:rPr>
              <w:t>2013</w:t>
            </w:r>
          </w:p>
        </w:tc>
        <w:tc>
          <w:tcPr>
            <w:tcW w:w="5573" w:type="dxa"/>
            <w:gridSpan w:val="1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8"/>
                <w:szCs w:val="18"/>
              </w:rPr>
            </w:pPr>
            <w:r w:rsidRPr="003F24A1">
              <w:rPr>
                <w:b/>
                <w:bCs/>
                <w:color w:val="FFFFFF" w:themeColor="background1"/>
                <w:sz w:val="18"/>
                <w:szCs w:val="18"/>
              </w:rPr>
              <w:t>2014</w:t>
            </w:r>
          </w:p>
        </w:tc>
        <w:tc>
          <w:tcPr>
            <w:tcW w:w="506"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8"/>
                <w:szCs w:val="18"/>
              </w:rPr>
            </w:pPr>
            <w:r w:rsidRPr="003F24A1">
              <w:rPr>
                <w:b/>
                <w:bCs/>
                <w:color w:val="FFFFFF" w:themeColor="background1"/>
                <w:sz w:val="18"/>
                <w:szCs w:val="18"/>
              </w:rPr>
              <w:t>2015</w:t>
            </w:r>
          </w:p>
        </w:tc>
      </w:tr>
      <w:tr w:rsidR="003F24A1" w:rsidRPr="003F24A1" w:rsidTr="004B3C2F">
        <w:trPr>
          <w:gridAfter w:val="1"/>
          <w:wAfter w:w="17" w:type="dxa"/>
          <w:trHeight w:val="300"/>
          <w:jc w:val="center"/>
        </w:trPr>
        <w:tc>
          <w:tcPr>
            <w:tcW w:w="1144"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3F24A1" w:rsidRPr="003F24A1" w:rsidRDefault="003F24A1" w:rsidP="003F24A1">
            <w:pPr>
              <w:jc w:val="center"/>
              <w:rPr>
                <w:b/>
                <w:bCs/>
                <w:color w:val="FFFFFF" w:themeColor="background1"/>
                <w:sz w:val="16"/>
                <w:szCs w:val="16"/>
              </w:rPr>
            </w:pPr>
          </w:p>
        </w:tc>
        <w:tc>
          <w:tcPr>
            <w:tcW w:w="4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2045" w:right="41"/>
              <w:jc w:val="right"/>
              <w:rPr>
                <w:b/>
                <w:bCs/>
                <w:color w:val="FFFFFF" w:themeColor="background1"/>
                <w:sz w:val="16"/>
                <w:szCs w:val="16"/>
              </w:rPr>
            </w:pPr>
            <w:r w:rsidRPr="003F24A1">
              <w:rPr>
                <w:b/>
                <w:bCs/>
                <w:color w:val="FFFFFF" w:themeColor="background1"/>
                <w:sz w:val="16"/>
                <w:szCs w:val="16"/>
              </w:rPr>
              <w:t>Jul</w:t>
            </w:r>
          </w:p>
        </w:tc>
        <w:tc>
          <w:tcPr>
            <w:tcW w:w="4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proofErr w:type="spellStart"/>
            <w:r w:rsidRPr="003F24A1">
              <w:rPr>
                <w:b/>
                <w:bCs/>
                <w:color w:val="FFFFFF" w:themeColor="background1"/>
                <w:sz w:val="16"/>
                <w:szCs w:val="16"/>
              </w:rPr>
              <w:t>Ago</w:t>
            </w:r>
            <w:proofErr w:type="spellEnd"/>
          </w:p>
        </w:tc>
        <w:tc>
          <w:tcPr>
            <w:tcW w:w="4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678"/>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Oct</w:t>
            </w:r>
          </w:p>
        </w:tc>
        <w:tc>
          <w:tcPr>
            <w:tcW w:w="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1001" w:right="42"/>
              <w:jc w:val="right"/>
              <w:rPr>
                <w:b/>
                <w:bCs/>
                <w:color w:val="FFFFFF" w:themeColor="background1"/>
                <w:sz w:val="16"/>
                <w:szCs w:val="16"/>
              </w:rPr>
            </w:pPr>
            <w:r w:rsidRPr="003F24A1">
              <w:rPr>
                <w:b/>
                <w:bCs/>
                <w:color w:val="FFFFFF" w:themeColor="background1"/>
                <w:sz w:val="16"/>
                <w:szCs w:val="16"/>
              </w:rPr>
              <w:t>Nov</w:t>
            </w:r>
          </w:p>
        </w:tc>
        <w:tc>
          <w:tcPr>
            <w:tcW w:w="4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Dic</w:t>
            </w:r>
          </w:p>
        </w:tc>
        <w:tc>
          <w:tcPr>
            <w:tcW w:w="4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Ene</w:t>
            </w:r>
          </w:p>
        </w:tc>
        <w:tc>
          <w:tcPr>
            <w:tcW w:w="4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Feb</w:t>
            </w:r>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Mar</w:t>
            </w:r>
          </w:p>
        </w:tc>
        <w:tc>
          <w:tcPr>
            <w:tcW w:w="4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1078"/>
              <w:jc w:val="right"/>
              <w:rPr>
                <w:b/>
                <w:bCs/>
                <w:color w:val="FFFFFF" w:themeColor="background1"/>
                <w:sz w:val="16"/>
                <w:szCs w:val="16"/>
              </w:rPr>
            </w:pPr>
            <w:r w:rsidRPr="003F24A1">
              <w:rPr>
                <w:b/>
                <w:bCs/>
                <w:color w:val="FFFFFF" w:themeColor="background1"/>
                <w:sz w:val="16"/>
                <w:szCs w:val="16"/>
              </w:rPr>
              <w:t>Abr</w:t>
            </w:r>
          </w:p>
        </w:tc>
        <w:tc>
          <w:tcPr>
            <w:tcW w:w="4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rPr>
                <w:b/>
                <w:bCs/>
                <w:color w:val="FFFFFF" w:themeColor="background1"/>
                <w:sz w:val="16"/>
                <w:szCs w:val="16"/>
              </w:rPr>
            </w:pPr>
            <w:proofErr w:type="spellStart"/>
            <w:r w:rsidRPr="003F24A1">
              <w:rPr>
                <w:b/>
                <w:bCs/>
                <w:color w:val="FFFFFF" w:themeColor="background1"/>
                <w:sz w:val="16"/>
                <w:szCs w:val="16"/>
              </w:rPr>
              <w:t>May</w:t>
            </w:r>
            <w:proofErr w:type="spellEnd"/>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rPr>
                <w:b/>
                <w:bCs/>
                <w:color w:val="FFFFFF" w:themeColor="background1"/>
                <w:sz w:val="16"/>
                <w:szCs w:val="16"/>
              </w:rPr>
            </w:pPr>
            <w:r w:rsidRPr="003F24A1">
              <w:rPr>
                <w:b/>
                <w:bCs/>
                <w:color w:val="FFFFFF" w:themeColor="background1"/>
                <w:sz w:val="16"/>
                <w:szCs w:val="16"/>
              </w:rPr>
              <w:t>Jun</w:t>
            </w:r>
          </w:p>
        </w:tc>
        <w:tc>
          <w:tcPr>
            <w:tcW w:w="4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rPr>
                <w:b/>
                <w:bCs/>
                <w:color w:val="FFFFFF" w:themeColor="background1"/>
                <w:sz w:val="16"/>
                <w:szCs w:val="16"/>
              </w:rPr>
            </w:pPr>
            <w:r w:rsidRPr="003F24A1">
              <w:rPr>
                <w:b/>
                <w:bCs/>
                <w:color w:val="FFFFFF" w:themeColor="background1"/>
                <w:sz w:val="16"/>
                <w:szCs w:val="16"/>
              </w:rPr>
              <w:t>Jul</w:t>
            </w:r>
          </w:p>
        </w:tc>
        <w:tc>
          <w:tcPr>
            <w:tcW w:w="4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1747" w:right="86"/>
              <w:jc w:val="right"/>
              <w:rPr>
                <w:b/>
                <w:bCs/>
                <w:color w:val="FFFFFF" w:themeColor="background1"/>
                <w:sz w:val="16"/>
                <w:szCs w:val="16"/>
              </w:rPr>
            </w:pPr>
            <w:proofErr w:type="spellStart"/>
            <w:r w:rsidRPr="003F24A1">
              <w:rPr>
                <w:b/>
                <w:bCs/>
                <w:color w:val="FFFFFF" w:themeColor="background1"/>
                <w:sz w:val="16"/>
                <w:szCs w:val="16"/>
              </w:rPr>
              <w:t>Ago</w:t>
            </w:r>
            <w:proofErr w:type="spellEnd"/>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proofErr w:type="spellStart"/>
            <w:r w:rsidRPr="003F24A1">
              <w:rPr>
                <w:b/>
                <w:bCs/>
                <w:color w:val="FFFFFF" w:themeColor="background1"/>
                <w:sz w:val="16"/>
                <w:szCs w:val="16"/>
              </w:rPr>
              <w:t>Sep</w:t>
            </w:r>
            <w:proofErr w:type="spellEnd"/>
          </w:p>
        </w:tc>
        <w:tc>
          <w:tcPr>
            <w:tcW w:w="4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Oct</w:t>
            </w:r>
          </w:p>
        </w:tc>
        <w:tc>
          <w:tcPr>
            <w:tcW w:w="4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994" w:right="28"/>
              <w:jc w:val="right"/>
              <w:rPr>
                <w:b/>
                <w:bCs/>
                <w:color w:val="FFFFFF" w:themeColor="background1"/>
                <w:sz w:val="16"/>
                <w:szCs w:val="16"/>
              </w:rPr>
            </w:pPr>
            <w:r w:rsidRPr="003F24A1">
              <w:rPr>
                <w:b/>
                <w:bCs/>
                <w:color w:val="FFFFFF" w:themeColor="background1"/>
                <w:sz w:val="16"/>
                <w:szCs w:val="16"/>
              </w:rPr>
              <w:t>Nov</w:t>
            </w:r>
          </w:p>
        </w:tc>
        <w:tc>
          <w:tcPr>
            <w:tcW w:w="4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Dic</w:t>
            </w:r>
          </w:p>
        </w:tc>
        <w:tc>
          <w:tcPr>
            <w:tcW w:w="506" w:type="dxa"/>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3F24A1" w:rsidRPr="003F24A1" w:rsidRDefault="003F24A1" w:rsidP="003F24A1">
            <w:pPr>
              <w:ind w:left="-994" w:right="28"/>
              <w:jc w:val="right"/>
              <w:rPr>
                <w:b/>
                <w:bCs/>
                <w:color w:val="FFFFFF" w:themeColor="background1"/>
                <w:sz w:val="16"/>
                <w:szCs w:val="16"/>
              </w:rPr>
            </w:pPr>
            <w:r w:rsidRPr="003F24A1">
              <w:rPr>
                <w:b/>
                <w:bCs/>
                <w:color w:val="FFFFFF" w:themeColor="background1"/>
                <w:sz w:val="16"/>
                <w:szCs w:val="16"/>
              </w:rPr>
              <w:t>Ene</w:t>
            </w:r>
          </w:p>
        </w:tc>
      </w:tr>
      <w:tr w:rsidR="003F24A1" w:rsidRPr="003F24A1" w:rsidTr="004B3C2F">
        <w:trPr>
          <w:gridAfter w:val="1"/>
          <w:wAfter w:w="17" w:type="dxa"/>
          <w:trHeight w:val="300"/>
          <w:jc w:val="center"/>
        </w:trPr>
        <w:tc>
          <w:tcPr>
            <w:tcW w:w="1144"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Todos los rubros</w:t>
            </w:r>
          </w:p>
        </w:tc>
        <w:tc>
          <w:tcPr>
            <w:tcW w:w="450"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080" w:right="54"/>
              <w:jc w:val="right"/>
              <w:rPr>
                <w:sz w:val="18"/>
                <w:szCs w:val="18"/>
              </w:rPr>
            </w:pPr>
            <w:r w:rsidRPr="003F24A1">
              <w:rPr>
                <w:sz w:val="18"/>
                <w:szCs w:val="18"/>
              </w:rPr>
              <w:t>0.1</w:t>
            </w:r>
          </w:p>
        </w:tc>
        <w:tc>
          <w:tcPr>
            <w:tcW w:w="430"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080" w:right="50"/>
              <w:jc w:val="right"/>
              <w:rPr>
                <w:sz w:val="18"/>
                <w:szCs w:val="18"/>
              </w:rPr>
            </w:pPr>
            <w:r w:rsidRPr="003F24A1">
              <w:rPr>
                <w:sz w:val="18"/>
                <w:szCs w:val="18"/>
              </w:rPr>
              <w:t>0.1</w:t>
            </w:r>
          </w:p>
        </w:tc>
        <w:tc>
          <w:tcPr>
            <w:tcW w:w="422"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080" w:right="52"/>
              <w:jc w:val="right"/>
              <w:rPr>
                <w:sz w:val="18"/>
                <w:szCs w:val="18"/>
              </w:rPr>
            </w:pPr>
            <w:r w:rsidRPr="003F24A1">
              <w:rPr>
                <w:sz w:val="18"/>
                <w:szCs w:val="18"/>
              </w:rPr>
              <w:t>0.2</w:t>
            </w:r>
          </w:p>
        </w:tc>
        <w:tc>
          <w:tcPr>
            <w:tcW w:w="476"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0.0</w:t>
            </w:r>
          </w:p>
        </w:tc>
        <w:tc>
          <w:tcPr>
            <w:tcW w:w="489"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65"/>
              <w:jc w:val="right"/>
              <w:rPr>
                <w:sz w:val="18"/>
                <w:szCs w:val="18"/>
              </w:rPr>
            </w:pPr>
            <w:r w:rsidRPr="003F24A1">
              <w:rPr>
                <w:sz w:val="18"/>
                <w:szCs w:val="18"/>
              </w:rPr>
              <w:t>0.0</w:t>
            </w:r>
          </w:p>
        </w:tc>
        <w:tc>
          <w:tcPr>
            <w:tcW w:w="479" w:type="dxa"/>
            <w:tcBorders>
              <w:top w:val="single" w:sz="4" w:space="0" w:color="FFFFFF" w:themeColor="background1"/>
              <w:left w:val="nil"/>
              <w:bottom w:val="single" w:sz="4" w:space="0" w:color="auto"/>
              <w:right w:val="single" w:sz="4" w:space="0" w:color="auto"/>
            </w:tcBorders>
            <w:shd w:val="clear" w:color="auto" w:fill="FFFFFF" w:themeFill="background1"/>
            <w:vAlign w:val="bottom"/>
          </w:tcPr>
          <w:p w:rsidR="003F24A1" w:rsidRPr="003F24A1" w:rsidRDefault="003F24A1" w:rsidP="003F24A1">
            <w:pPr>
              <w:ind w:left="-1080" w:right="89"/>
              <w:jc w:val="right"/>
              <w:rPr>
                <w:sz w:val="18"/>
                <w:szCs w:val="18"/>
              </w:rPr>
            </w:pPr>
            <w:r w:rsidRPr="003F24A1">
              <w:rPr>
                <w:sz w:val="18"/>
                <w:szCs w:val="18"/>
              </w:rPr>
              <w:t>0.1</w:t>
            </w:r>
          </w:p>
        </w:tc>
        <w:tc>
          <w:tcPr>
            <w:tcW w:w="429"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49"/>
              <w:jc w:val="right"/>
              <w:rPr>
                <w:b/>
                <w:sz w:val="18"/>
                <w:szCs w:val="18"/>
              </w:rPr>
            </w:pPr>
            <w:r w:rsidRPr="003F24A1">
              <w:rPr>
                <w:b/>
                <w:sz w:val="18"/>
                <w:szCs w:val="18"/>
              </w:rPr>
              <w:t>0.1</w:t>
            </w:r>
          </w:p>
        </w:tc>
        <w:tc>
          <w:tcPr>
            <w:tcW w:w="443"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58"/>
              <w:jc w:val="right"/>
              <w:rPr>
                <w:sz w:val="18"/>
                <w:szCs w:val="18"/>
              </w:rPr>
            </w:pPr>
            <w:r w:rsidRPr="003F24A1">
              <w:rPr>
                <w:sz w:val="18"/>
                <w:szCs w:val="18"/>
              </w:rPr>
              <w:t>0.3</w:t>
            </w:r>
          </w:p>
        </w:tc>
        <w:tc>
          <w:tcPr>
            <w:tcW w:w="476"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0.5</w:t>
            </w:r>
          </w:p>
        </w:tc>
        <w:tc>
          <w:tcPr>
            <w:tcW w:w="437"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0.4</w:t>
            </w:r>
          </w:p>
        </w:tc>
        <w:tc>
          <w:tcPr>
            <w:tcW w:w="459"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0.2</w:t>
            </w:r>
          </w:p>
        </w:tc>
        <w:tc>
          <w:tcPr>
            <w:tcW w:w="462"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45"/>
              <w:jc w:val="right"/>
              <w:rPr>
                <w:sz w:val="18"/>
                <w:szCs w:val="18"/>
              </w:rPr>
            </w:pPr>
            <w:r w:rsidRPr="003F24A1">
              <w:rPr>
                <w:sz w:val="18"/>
                <w:szCs w:val="18"/>
              </w:rPr>
              <w:t>0.1</w:t>
            </w:r>
          </w:p>
        </w:tc>
        <w:tc>
          <w:tcPr>
            <w:tcW w:w="471"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54"/>
              <w:jc w:val="right"/>
              <w:rPr>
                <w:sz w:val="18"/>
                <w:szCs w:val="18"/>
              </w:rPr>
            </w:pPr>
            <w:r w:rsidRPr="003F24A1">
              <w:rPr>
                <w:sz w:val="18"/>
                <w:szCs w:val="18"/>
              </w:rPr>
              <w:t>0.0</w:t>
            </w:r>
          </w:p>
        </w:tc>
        <w:tc>
          <w:tcPr>
            <w:tcW w:w="484"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0.0</w:t>
            </w:r>
          </w:p>
        </w:tc>
        <w:tc>
          <w:tcPr>
            <w:tcW w:w="465"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65"/>
              <w:jc w:val="right"/>
              <w:rPr>
                <w:sz w:val="18"/>
                <w:szCs w:val="18"/>
              </w:rPr>
            </w:pPr>
            <w:r w:rsidRPr="003F24A1">
              <w:rPr>
                <w:sz w:val="18"/>
                <w:szCs w:val="18"/>
              </w:rPr>
              <w:t>0.1</w:t>
            </w:r>
          </w:p>
        </w:tc>
        <w:tc>
          <w:tcPr>
            <w:tcW w:w="475"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0" w:right="50"/>
              <w:jc w:val="right"/>
              <w:rPr>
                <w:sz w:val="18"/>
                <w:szCs w:val="18"/>
              </w:rPr>
            </w:pPr>
            <w:r w:rsidRPr="003F24A1">
              <w:rPr>
                <w:sz w:val="18"/>
                <w:szCs w:val="18"/>
              </w:rPr>
              <w:t>0.0</w:t>
            </w:r>
          </w:p>
        </w:tc>
        <w:tc>
          <w:tcPr>
            <w:tcW w:w="477" w:type="dxa"/>
            <w:tcBorders>
              <w:top w:val="single" w:sz="4" w:space="0" w:color="FFFFFF" w:themeColor="background1"/>
              <w:left w:val="nil"/>
              <w:bottom w:val="single" w:sz="4" w:space="0" w:color="auto"/>
              <w:right w:val="single" w:sz="4" w:space="0" w:color="auto"/>
            </w:tcBorders>
            <w:vAlign w:val="bottom"/>
          </w:tcPr>
          <w:p w:rsidR="003F24A1" w:rsidRPr="003F24A1" w:rsidRDefault="003F24A1" w:rsidP="003F24A1">
            <w:pPr>
              <w:ind w:left="-1080" w:right="51"/>
              <w:jc w:val="right"/>
              <w:rPr>
                <w:sz w:val="18"/>
                <w:szCs w:val="18"/>
              </w:rPr>
            </w:pPr>
            <w:r w:rsidRPr="003F24A1">
              <w:rPr>
                <w:sz w:val="18"/>
                <w:szCs w:val="18"/>
              </w:rPr>
              <w:t>-0.3</w:t>
            </w:r>
          </w:p>
        </w:tc>
        <w:tc>
          <w:tcPr>
            <w:tcW w:w="495" w:type="dxa"/>
            <w:tcBorders>
              <w:top w:val="single" w:sz="4" w:space="0" w:color="FFFFFF" w:themeColor="background1"/>
              <w:left w:val="nil"/>
              <w:bottom w:val="single" w:sz="4" w:space="0" w:color="auto"/>
              <w:right w:val="single" w:sz="4" w:space="0" w:color="auto"/>
            </w:tcBorders>
            <w:vAlign w:val="bottom"/>
          </w:tcPr>
          <w:p w:rsidR="003F24A1" w:rsidRPr="003F24A1" w:rsidRDefault="003F24A1" w:rsidP="003F24A1">
            <w:pPr>
              <w:ind w:left="-1080" w:right="56"/>
              <w:jc w:val="right"/>
              <w:rPr>
                <w:sz w:val="18"/>
                <w:szCs w:val="18"/>
              </w:rPr>
            </w:pPr>
            <w:r w:rsidRPr="003F24A1">
              <w:rPr>
                <w:sz w:val="18"/>
                <w:szCs w:val="18"/>
              </w:rPr>
              <w:t>-0.3</w:t>
            </w:r>
          </w:p>
        </w:tc>
        <w:tc>
          <w:tcPr>
            <w:tcW w:w="506" w:type="dxa"/>
            <w:tcBorders>
              <w:top w:val="single" w:sz="4" w:space="0" w:color="FFFFFF" w:themeColor="background1"/>
              <w:left w:val="nil"/>
              <w:bottom w:val="single" w:sz="4" w:space="0" w:color="auto"/>
              <w:right w:val="single" w:sz="4" w:space="0" w:color="auto"/>
            </w:tcBorders>
            <w:vAlign w:val="bottom"/>
          </w:tcPr>
          <w:p w:rsidR="003F24A1" w:rsidRPr="003F24A1" w:rsidRDefault="003F24A1" w:rsidP="003F24A1">
            <w:pPr>
              <w:ind w:left="-1080" w:right="89"/>
              <w:jc w:val="right"/>
              <w:rPr>
                <w:b/>
                <w:sz w:val="18"/>
                <w:szCs w:val="18"/>
              </w:rPr>
            </w:pPr>
            <w:r w:rsidRPr="003F24A1">
              <w:rPr>
                <w:b/>
                <w:sz w:val="18"/>
                <w:szCs w:val="18"/>
              </w:rPr>
              <w:t>-0.5</w:t>
            </w:r>
          </w:p>
        </w:tc>
      </w:tr>
      <w:tr w:rsidR="003F24A1" w:rsidRPr="003F24A1" w:rsidTr="004B3C2F">
        <w:trPr>
          <w:gridAfter w:val="1"/>
          <w:wAfter w:w="17" w:type="dxa"/>
          <w:trHeight w:val="300"/>
          <w:jc w:val="center"/>
        </w:trPr>
        <w:tc>
          <w:tcPr>
            <w:tcW w:w="1144" w:type="dxa"/>
            <w:tcBorders>
              <w:top w:val="nil"/>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Alimentos</w:t>
            </w:r>
          </w:p>
        </w:tc>
        <w:tc>
          <w:tcPr>
            <w:tcW w:w="45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54"/>
              <w:jc w:val="right"/>
              <w:rPr>
                <w:sz w:val="18"/>
                <w:szCs w:val="18"/>
              </w:rPr>
            </w:pPr>
            <w:r w:rsidRPr="003F24A1">
              <w:rPr>
                <w:sz w:val="18"/>
                <w:szCs w:val="18"/>
              </w:rPr>
              <w:t>0.0</w:t>
            </w:r>
          </w:p>
        </w:tc>
        <w:tc>
          <w:tcPr>
            <w:tcW w:w="43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50"/>
              <w:jc w:val="right"/>
              <w:rPr>
                <w:sz w:val="18"/>
                <w:szCs w:val="18"/>
              </w:rPr>
            </w:pPr>
            <w:r w:rsidRPr="003F24A1">
              <w:rPr>
                <w:sz w:val="18"/>
                <w:szCs w:val="18"/>
              </w:rPr>
              <w:t>0.0</w:t>
            </w:r>
          </w:p>
        </w:tc>
        <w:tc>
          <w:tcPr>
            <w:tcW w:w="422"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52"/>
              <w:jc w:val="right"/>
              <w:rPr>
                <w:sz w:val="18"/>
                <w:szCs w:val="18"/>
              </w:rPr>
            </w:pPr>
            <w:r w:rsidRPr="003F24A1">
              <w:rPr>
                <w:sz w:val="18"/>
                <w:szCs w:val="18"/>
              </w:rPr>
              <w:t>0.0</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0.1</w:t>
            </w:r>
          </w:p>
        </w:tc>
        <w:tc>
          <w:tcPr>
            <w:tcW w:w="48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65"/>
              <w:jc w:val="right"/>
              <w:rPr>
                <w:sz w:val="18"/>
                <w:szCs w:val="18"/>
              </w:rPr>
            </w:pPr>
            <w:r w:rsidRPr="003F24A1">
              <w:rPr>
                <w:sz w:val="18"/>
                <w:szCs w:val="18"/>
              </w:rPr>
              <w:t>-0.1</w:t>
            </w:r>
          </w:p>
        </w:tc>
        <w:tc>
          <w:tcPr>
            <w:tcW w:w="479" w:type="dxa"/>
            <w:tcBorders>
              <w:top w:val="single" w:sz="4" w:space="0" w:color="auto"/>
              <w:left w:val="nil"/>
              <w:bottom w:val="single" w:sz="4" w:space="0" w:color="auto"/>
              <w:right w:val="single" w:sz="4" w:space="0" w:color="auto"/>
            </w:tcBorders>
            <w:shd w:val="clear" w:color="auto" w:fill="FFFFFF" w:themeFill="background1"/>
            <w:vAlign w:val="bottom"/>
          </w:tcPr>
          <w:p w:rsidR="003F24A1" w:rsidRPr="003F24A1" w:rsidRDefault="003F24A1" w:rsidP="003F24A1">
            <w:pPr>
              <w:ind w:left="-1080" w:right="89"/>
              <w:jc w:val="right"/>
              <w:rPr>
                <w:sz w:val="18"/>
                <w:szCs w:val="18"/>
              </w:rPr>
            </w:pPr>
            <w:r w:rsidRPr="003F24A1">
              <w:rPr>
                <w:sz w:val="18"/>
                <w:szCs w:val="18"/>
              </w:rPr>
              <w:t>0.4</w:t>
            </w:r>
          </w:p>
        </w:tc>
        <w:tc>
          <w:tcPr>
            <w:tcW w:w="42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49"/>
              <w:jc w:val="right"/>
              <w:rPr>
                <w:b/>
                <w:sz w:val="18"/>
                <w:szCs w:val="18"/>
              </w:rPr>
            </w:pPr>
            <w:r w:rsidRPr="003F24A1">
              <w:rPr>
                <w:b/>
                <w:sz w:val="18"/>
                <w:szCs w:val="18"/>
              </w:rPr>
              <w:t>0.7</w:t>
            </w:r>
          </w:p>
        </w:tc>
        <w:tc>
          <w:tcPr>
            <w:tcW w:w="44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58"/>
              <w:jc w:val="right"/>
              <w:rPr>
                <w:sz w:val="18"/>
                <w:szCs w:val="18"/>
              </w:rPr>
            </w:pPr>
            <w:r w:rsidRPr="003F24A1">
              <w:rPr>
                <w:sz w:val="18"/>
                <w:szCs w:val="18"/>
              </w:rPr>
              <w:t>0.1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0.2</w:t>
            </w:r>
          </w:p>
        </w:tc>
        <w:tc>
          <w:tcPr>
            <w:tcW w:w="43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0.4</w:t>
            </w:r>
          </w:p>
        </w:tc>
        <w:tc>
          <w:tcPr>
            <w:tcW w:w="45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0.2</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45"/>
              <w:jc w:val="right"/>
              <w:rPr>
                <w:sz w:val="18"/>
                <w:szCs w:val="18"/>
              </w:rPr>
            </w:pPr>
            <w:r w:rsidRPr="003F24A1">
              <w:rPr>
                <w:sz w:val="18"/>
                <w:szCs w:val="18"/>
              </w:rPr>
              <w:t>-0.1</w:t>
            </w:r>
          </w:p>
        </w:tc>
        <w:tc>
          <w:tcPr>
            <w:tcW w:w="47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54"/>
              <w:jc w:val="right"/>
              <w:rPr>
                <w:sz w:val="18"/>
                <w:szCs w:val="18"/>
              </w:rPr>
            </w:pPr>
            <w:r w:rsidRPr="003F24A1">
              <w:rPr>
                <w:sz w:val="18"/>
                <w:szCs w:val="18"/>
              </w:rPr>
              <w:t>0.1</w:t>
            </w:r>
          </w:p>
        </w:tc>
        <w:tc>
          <w:tcPr>
            <w:tcW w:w="48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0.2</w:t>
            </w:r>
          </w:p>
        </w:tc>
        <w:tc>
          <w:tcPr>
            <w:tcW w:w="465"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65"/>
              <w:jc w:val="right"/>
              <w:rPr>
                <w:sz w:val="18"/>
                <w:szCs w:val="18"/>
              </w:rPr>
            </w:pPr>
            <w:r w:rsidRPr="003F24A1">
              <w:rPr>
                <w:sz w:val="18"/>
                <w:szCs w:val="18"/>
              </w:rPr>
              <w:t>0.4</w:t>
            </w:r>
          </w:p>
        </w:tc>
        <w:tc>
          <w:tcPr>
            <w:tcW w:w="475"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50"/>
              <w:jc w:val="right"/>
              <w:rPr>
                <w:sz w:val="18"/>
                <w:szCs w:val="18"/>
              </w:rPr>
            </w:pPr>
            <w:r w:rsidRPr="003F24A1">
              <w:rPr>
                <w:sz w:val="18"/>
                <w:szCs w:val="18"/>
              </w:rPr>
              <w:t>0.0</w:t>
            </w:r>
          </w:p>
        </w:tc>
        <w:tc>
          <w:tcPr>
            <w:tcW w:w="477" w:type="dxa"/>
            <w:tcBorders>
              <w:top w:val="nil"/>
              <w:left w:val="nil"/>
              <w:bottom w:val="single" w:sz="4" w:space="0" w:color="auto"/>
              <w:right w:val="single" w:sz="4" w:space="0" w:color="auto"/>
            </w:tcBorders>
            <w:vAlign w:val="bottom"/>
          </w:tcPr>
          <w:p w:rsidR="003F24A1" w:rsidRPr="003F24A1" w:rsidRDefault="003F24A1" w:rsidP="003F24A1">
            <w:pPr>
              <w:ind w:left="-1080" w:right="51"/>
              <w:jc w:val="right"/>
              <w:rPr>
                <w:sz w:val="18"/>
                <w:szCs w:val="18"/>
              </w:rPr>
            </w:pPr>
            <w:r w:rsidRPr="003F24A1">
              <w:rPr>
                <w:sz w:val="18"/>
                <w:szCs w:val="18"/>
              </w:rPr>
              <w:t>-0.1</w:t>
            </w:r>
          </w:p>
        </w:tc>
        <w:tc>
          <w:tcPr>
            <w:tcW w:w="495" w:type="dxa"/>
            <w:tcBorders>
              <w:top w:val="nil"/>
              <w:left w:val="nil"/>
              <w:bottom w:val="single" w:sz="4" w:space="0" w:color="auto"/>
              <w:right w:val="single" w:sz="4" w:space="0" w:color="auto"/>
            </w:tcBorders>
            <w:vAlign w:val="bottom"/>
          </w:tcPr>
          <w:p w:rsidR="003F24A1" w:rsidRPr="003F24A1" w:rsidRDefault="003F24A1" w:rsidP="003F24A1">
            <w:pPr>
              <w:ind w:left="-1080" w:right="56"/>
              <w:jc w:val="right"/>
              <w:rPr>
                <w:sz w:val="18"/>
                <w:szCs w:val="18"/>
              </w:rPr>
            </w:pPr>
            <w:r w:rsidRPr="003F24A1">
              <w:rPr>
                <w:sz w:val="18"/>
                <w:szCs w:val="18"/>
              </w:rPr>
              <w:t>0.4</w:t>
            </w:r>
          </w:p>
        </w:tc>
        <w:tc>
          <w:tcPr>
            <w:tcW w:w="506" w:type="dxa"/>
            <w:tcBorders>
              <w:top w:val="nil"/>
              <w:left w:val="nil"/>
              <w:bottom w:val="single" w:sz="4" w:space="0" w:color="auto"/>
              <w:right w:val="single" w:sz="4" w:space="0" w:color="auto"/>
            </w:tcBorders>
            <w:vAlign w:val="bottom"/>
          </w:tcPr>
          <w:p w:rsidR="003F24A1" w:rsidRPr="003F24A1" w:rsidRDefault="003F24A1" w:rsidP="003F24A1">
            <w:pPr>
              <w:ind w:left="-1080" w:right="89"/>
              <w:jc w:val="right"/>
              <w:rPr>
                <w:b/>
                <w:sz w:val="18"/>
                <w:szCs w:val="18"/>
              </w:rPr>
            </w:pPr>
            <w:r w:rsidRPr="003F24A1">
              <w:rPr>
                <w:b/>
                <w:sz w:val="18"/>
                <w:szCs w:val="18"/>
              </w:rPr>
              <w:t>0.6</w:t>
            </w:r>
          </w:p>
        </w:tc>
      </w:tr>
      <w:tr w:rsidR="003F24A1" w:rsidRPr="003F24A1" w:rsidTr="004B3C2F">
        <w:trPr>
          <w:gridAfter w:val="1"/>
          <w:wAfter w:w="17" w:type="dxa"/>
          <w:trHeight w:val="300"/>
          <w:jc w:val="center"/>
        </w:trPr>
        <w:tc>
          <w:tcPr>
            <w:tcW w:w="1144" w:type="dxa"/>
            <w:tcBorders>
              <w:top w:val="nil"/>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Energía</w:t>
            </w:r>
          </w:p>
        </w:tc>
        <w:tc>
          <w:tcPr>
            <w:tcW w:w="45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54"/>
              <w:jc w:val="right"/>
              <w:rPr>
                <w:sz w:val="18"/>
                <w:szCs w:val="18"/>
              </w:rPr>
            </w:pPr>
            <w:r w:rsidRPr="003F24A1">
              <w:rPr>
                <w:sz w:val="18"/>
                <w:szCs w:val="18"/>
              </w:rPr>
              <w:t>0.5</w:t>
            </w:r>
          </w:p>
        </w:tc>
        <w:tc>
          <w:tcPr>
            <w:tcW w:w="43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50"/>
              <w:jc w:val="right"/>
              <w:rPr>
                <w:sz w:val="18"/>
                <w:szCs w:val="18"/>
              </w:rPr>
            </w:pPr>
            <w:r w:rsidRPr="003F24A1">
              <w:rPr>
                <w:sz w:val="18"/>
                <w:szCs w:val="18"/>
              </w:rPr>
              <w:t>0.1</w:t>
            </w:r>
          </w:p>
        </w:tc>
        <w:tc>
          <w:tcPr>
            <w:tcW w:w="422"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52"/>
              <w:jc w:val="right"/>
              <w:rPr>
                <w:sz w:val="18"/>
                <w:szCs w:val="18"/>
              </w:rPr>
            </w:pPr>
            <w:r w:rsidRPr="003F24A1">
              <w:rPr>
                <w:sz w:val="18"/>
                <w:szCs w:val="18"/>
              </w:rPr>
              <w:t>0.1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-2.1</w:t>
            </w:r>
          </w:p>
        </w:tc>
        <w:tc>
          <w:tcPr>
            <w:tcW w:w="48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65"/>
              <w:jc w:val="right"/>
              <w:rPr>
                <w:sz w:val="18"/>
                <w:szCs w:val="18"/>
              </w:rPr>
            </w:pPr>
            <w:r w:rsidRPr="003F24A1">
              <w:rPr>
                <w:sz w:val="18"/>
                <w:szCs w:val="18"/>
              </w:rPr>
              <w:t>-0.9</w:t>
            </w:r>
          </w:p>
        </w:tc>
        <w:tc>
          <w:tcPr>
            <w:tcW w:w="479" w:type="dxa"/>
            <w:tcBorders>
              <w:top w:val="single" w:sz="4" w:space="0" w:color="auto"/>
              <w:left w:val="nil"/>
              <w:bottom w:val="single" w:sz="4" w:space="0" w:color="auto"/>
              <w:right w:val="single" w:sz="4" w:space="0" w:color="auto"/>
            </w:tcBorders>
            <w:shd w:val="clear" w:color="auto" w:fill="FFFFFF" w:themeFill="background1"/>
            <w:vAlign w:val="bottom"/>
          </w:tcPr>
          <w:p w:rsidR="003F24A1" w:rsidRPr="003F24A1" w:rsidRDefault="003F24A1" w:rsidP="003F24A1">
            <w:pPr>
              <w:ind w:left="-1080" w:right="89"/>
              <w:jc w:val="right"/>
              <w:rPr>
                <w:sz w:val="18"/>
                <w:szCs w:val="18"/>
              </w:rPr>
            </w:pPr>
            <w:r w:rsidRPr="003F24A1">
              <w:rPr>
                <w:sz w:val="18"/>
                <w:szCs w:val="18"/>
              </w:rPr>
              <w:t>0.7</w:t>
            </w:r>
          </w:p>
        </w:tc>
        <w:tc>
          <w:tcPr>
            <w:tcW w:w="42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49"/>
              <w:jc w:val="right"/>
              <w:rPr>
                <w:b/>
                <w:sz w:val="18"/>
                <w:szCs w:val="18"/>
              </w:rPr>
            </w:pPr>
            <w:r w:rsidRPr="003F24A1">
              <w:rPr>
                <w:b/>
                <w:sz w:val="18"/>
                <w:szCs w:val="18"/>
              </w:rPr>
              <w:t>1.1</w:t>
            </w:r>
          </w:p>
        </w:tc>
        <w:tc>
          <w:tcPr>
            <w:tcW w:w="44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58"/>
              <w:jc w:val="right"/>
              <w:rPr>
                <w:sz w:val="18"/>
                <w:szCs w:val="18"/>
              </w:rPr>
            </w:pPr>
            <w:r w:rsidRPr="003F24A1">
              <w:rPr>
                <w:sz w:val="18"/>
                <w:szCs w:val="18"/>
              </w:rPr>
              <w:t>0.5</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1.5</w:t>
            </w:r>
          </w:p>
        </w:tc>
        <w:tc>
          <w:tcPr>
            <w:tcW w:w="43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0.4</w:t>
            </w:r>
          </w:p>
        </w:tc>
        <w:tc>
          <w:tcPr>
            <w:tcW w:w="45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0.7</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45"/>
              <w:jc w:val="right"/>
              <w:rPr>
                <w:sz w:val="18"/>
                <w:szCs w:val="18"/>
              </w:rPr>
            </w:pPr>
            <w:r w:rsidRPr="003F24A1">
              <w:rPr>
                <w:sz w:val="18"/>
                <w:szCs w:val="18"/>
              </w:rPr>
              <w:t>0.8</w:t>
            </w:r>
          </w:p>
        </w:tc>
        <w:tc>
          <w:tcPr>
            <w:tcW w:w="47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54"/>
              <w:jc w:val="right"/>
              <w:rPr>
                <w:sz w:val="18"/>
                <w:szCs w:val="18"/>
              </w:rPr>
            </w:pPr>
            <w:r w:rsidRPr="003F24A1">
              <w:rPr>
                <w:sz w:val="18"/>
                <w:szCs w:val="18"/>
              </w:rPr>
              <w:t>-0.3</w:t>
            </w:r>
          </w:p>
        </w:tc>
        <w:tc>
          <w:tcPr>
            <w:tcW w:w="48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89"/>
              <w:jc w:val="right"/>
              <w:rPr>
                <w:sz w:val="18"/>
                <w:szCs w:val="18"/>
              </w:rPr>
            </w:pPr>
            <w:r w:rsidRPr="003F24A1">
              <w:rPr>
                <w:sz w:val="18"/>
                <w:szCs w:val="18"/>
              </w:rPr>
              <w:t>-1.4</w:t>
            </w:r>
          </w:p>
        </w:tc>
        <w:tc>
          <w:tcPr>
            <w:tcW w:w="465"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65"/>
              <w:jc w:val="right"/>
              <w:rPr>
                <w:sz w:val="18"/>
                <w:szCs w:val="18"/>
              </w:rPr>
            </w:pPr>
            <w:r w:rsidRPr="003F24A1">
              <w:rPr>
                <w:sz w:val="18"/>
                <w:szCs w:val="18"/>
              </w:rPr>
              <w:t>-0.7</w:t>
            </w:r>
          </w:p>
        </w:tc>
        <w:tc>
          <w:tcPr>
            <w:tcW w:w="475"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0" w:right="50"/>
              <w:jc w:val="right"/>
              <w:rPr>
                <w:sz w:val="18"/>
                <w:szCs w:val="18"/>
              </w:rPr>
            </w:pPr>
            <w:r w:rsidRPr="003F24A1">
              <w:rPr>
                <w:sz w:val="18"/>
                <w:szCs w:val="18"/>
              </w:rPr>
              <w:t>-2.3</w:t>
            </w:r>
          </w:p>
        </w:tc>
        <w:tc>
          <w:tcPr>
            <w:tcW w:w="477" w:type="dxa"/>
            <w:tcBorders>
              <w:top w:val="nil"/>
              <w:left w:val="nil"/>
              <w:bottom w:val="single" w:sz="4" w:space="0" w:color="auto"/>
              <w:right w:val="single" w:sz="4" w:space="0" w:color="auto"/>
            </w:tcBorders>
            <w:vAlign w:val="bottom"/>
          </w:tcPr>
          <w:p w:rsidR="003F24A1" w:rsidRPr="003F24A1" w:rsidRDefault="003F24A1" w:rsidP="003F24A1">
            <w:pPr>
              <w:ind w:left="-1080" w:right="51"/>
              <w:jc w:val="right"/>
              <w:rPr>
                <w:sz w:val="18"/>
                <w:szCs w:val="18"/>
              </w:rPr>
            </w:pPr>
            <w:r w:rsidRPr="003F24A1">
              <w:rPr>
                <w:sz w:val="18"/>
                <w:szCs w:val="18"/>
              </w:rPr>
              <w:t>-2.8</w:t>
            </w:r>
          </w:p>
        </w:tc>
        <w:tc>
          <w:tcPr>
            <w:tcW w:w="495" w:type="dxa"/>
            <w:tcBorders>
              <w:top w:val="nil"/>
              <w:left w:val="nil"/>
              <w:bottom w:val="single" w:sz="4" w:space="0" w:color="auto"/>
              <w:right w:val="single" w:sz="4" w:space="0" w:color="auto"/>
            </w:tcBorders>
            <w:vAlign w:val="bottom"/>
          </w:tcPr>
          <w:p w:rsidR="003F24A1" w:rsidRPr="003F24A1" w:rsidRDefault="003F24A1" w:rsidP="003F24A1">
            <w:pPr>
              <w:ind w:left="-1080" w:right="56"/>
              <w:jc w:val="right"/>
              <w:rPr>
                <w:sz w:val="18"/>
                <w:szCs w:val="18"/>
              </w:rPr>
            </w:pPr>
            <w:r w:rsidRPr="003F24A1">
              <w:rPr>
                <w:sz w:val="18"/>
                <w:szCs w:val="18"/>
              </w:rPr>
              <w:t>-3.6</w:t>
            </w:r>
          </w:p>
        </w:tc>
        <w:tc>
          <w:tcPr>
            <w:tcW w:w="506" w:type="dxa"/>
            <w:tcBorders>
              <w:top w:val="nil"/>
              <w:left w:val="nil"/>
              <w:bottom w:val="single" w:sz="4" w:space="0" w:color="auto"/>
              <w:right w:val="single" w:sz="4" w:space="0" w:color="auto"/>
            </w:tcBorders>
            <w:vAlign w:val="bottom"/>
          </w:tcPr>
          <w:p w:rsidR="003F24A1" w:rsidRPr="003F24A1" w:rsidRDefault="003F24A1" w:rsidP="003F24A1">
            <w:pPr>
              <w:ind w:left="-1080" w:right="89"/>
              <w:jc w:val="right"/>
              <w:rPr>
                <w:b/>
                <w:sz w:val="18"/>
                <w:szCs w:val="18"/>
              </w:rPr>
            </w:pPr>
            <w:r w:rsidRPr="003F24A1">
              <w:rPr>
                <w:b/>
                <w:sz w:val="18"/>
                <w:szCs w:val="18"/>
              </w:rPr>
              <w:t>-5.0</w:t>
            </w:r>
          </w:p>
        </w:tc>
      </w:tr>
      <w:tr w:rsidR="003F24A1" w:rsidRPr="003F24A1" w:rsidTr="004B3C2F">
        <w:trPr>
          <w:gridAfter w:val="1"/>
          <w:wAfter w:w="17" w:type="dxa"/>
          <w:trHeight w:val="900"/>
          <w:jc w:val="center"/>
        </w:trPr>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Todos los rubros menos alimentos y energía</w:t>
            </w:r>
          </w:p>
        </w:tc>
        <w:tc>
          <w:tcPr>
            <w:tcW w:w="450"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080" w:right="54"/>
              <w:jc w:val="right"/>
              <w:rPr>
                <w:sz w:val="18"/>
                <w:szCs w:val="18"/>
              </w:rPr>
            </w:pPr>
            <w:r w:rsidRPr="003F24A1">
              <w:rPr>
                <w:sz w:val="18"/>
                <w:szCs w:val="18"/>
              </w:rPr>
              <w:t>0.0</w:t>
            </w:r>
          </w:p>
        </w:tc>
        <w:tc>
          <w:tcPr>
            <w:tcW w:w="430"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080" w:right="50"/>
              <w:jc w:val="right"/>
              <w:rPr>
                <w:sz w:val="18"/>
                <w:szCs w:val="18"/>
              </w:rPr>
            </w:pPr>
            <w:r w:rsidRPr="003F24A1">
              <w:rPr>
                <w:sz w:val="18"/>
                <w:szCs w:val="18"/>
              </w:rPr>
              <w:t>0.2</w:t>
            </w:r>
          </w:p>
        </w:tc>
        <w:tc>
          <w:tcPr>
            <w:tcW w:w="422"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080" w:right="52"/>
              <w:jc w:val="right"/>
              <w:rPr>
                <w:sz w:val="18"/>
                <w:szCs w:val="18"/>
              </w:rPr>
            </w:pPr>
            <w:r w:rsidRPr="003F24A1">
              <w:rPr>
                <w:sz w:val="18"/>
                <w:szCs w:val="18"/>
              </w:rPr>
              <w:t>0.2</w:t>
            </w:r>
          </w:p>
        </w:tc>
        <w:tc>
          <w:tcPr>
            <w:tcW w:w="476"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89"/>
              <w:jc w:val="right"/>
              <w:rPr>
                <w:sz w:val="18"/>
                <w:szCs w:val="18"/>
              </w:rPr>
            </w:pPr>
            <w:r w:rsidRPr="003F24A1">
              <w:rPr>
                <w:sz w:val="18"/>
                <w:szCs w:val="18"/>
              </w:rPr>
              <w:t>0.2</w:t>
            </w:r>
          </w:p>
        </w:tc>
        <w:tc>
          <w:tcPr>
            <w:tcW w:w="489"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65"/>
              <w:jc w:val="right"/>
              <w:rPr>
                <w:sz w:val="18"/>
                <w:szCs w:val="18"/>
              </w:rPr>
            </w:pPr>
            <w:r w:rsidRPr="003F24A1">
              <w:rPr>
                <w:sz w:val="18"/>
                <w:szCs w:val="18"/>
              </w:rPr>
              <w:t>0.1</w:t>
            </w:r>
          </w:p>
        </w:tc>
        <w:tc>
          <w:tcPr>
            <w:tcW w:w="479" w:type="dxa"/>
            <w:tcBorders>
              <w:top w:val="single" w:sz="4" w:space="0" w:color="auto"/>
              <w:left w:val="nil"/>
              <w:bottom w:val="single" w:sz="4" w:space="0" w:color="auto"/>
              <w:right w:val="single" w:sz="4" w:space="0" w:color="auto"/>
            </w:tcBorders>
            <w:shd w:val="clear" w:color="auto" w:fill="FFFFFF" w:themeFill="background1"/>
            <w:vAlign w:val="center"/>
          </w:tcPr>
          <w:p w:rsidR="003F24A1" w:rsidRPr="003F24A1" w:rsidRDefault="003F24A1" w:rsidP="003F24A1">
            <w:pPr>
              <w:ind w:left="-1080" w:right="89"/>
              <w:jc w:val="right"/>
              <w:rPr>
                <w:sz w:val="18"/>
                <w:szCs w:val="18"/>
              </w:rPr>
            </w:pPr>
            <w:r w:rsidRPr="003F24A1">
              <w:rPr>
                <w:sz w:val="18"/>
                <w:szCs w:val="18"/>
              </w:rPr>
              <w:t>0.0</w:t>
            </w:r>
          </w:p>
        </w:tc>
        <w:tc>
          <w:tcPr>
            <w:tcW w:w="429"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49"/>
              <w:jc w:val="right"/>
              <w:rPr>
                <w:b/>
                <w:sz w:val="18"/>
                <w:szCs w:val="18"/>
              </w:rPr>
            </w:pPr>
            <w:r w:rsidRPr="003F24A1">
              <w:rPr>
                <w:b/>
                <w:sz w:val="18"/>
                <w:szCs w:val="18"/>
              </w:rPr>
              <w:t>-0.1</w:t>
            </w:r>
          </w:p>
        </w:tc>
        <w:tc>
          <w:tcPr>
            <w:tcW w:w="443"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58"/>
              <w:jc w:val="right"/>
              <w:rPr>
                <w:sz w:val="18"/>
                <w:szCs w:val="18"/>
              </w:rPr>
            </w:pPr>
            <w:r w:rsidRPr="003F24A1">
              <w:rPr>
                <w:sz w:val="18"/>
                <w:szCs w:val="18"/>
              </w:rPr>
              <w:t>0.3</w:t>
            </w:r>
          </w:p>
        </w:tc>
        <w:tc>
          <w:tcPr>
            <w:tcW w:w="476"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89"/>
              <w:jc w:val="right"/>
              <w:rPr>
                <w:sz w:val="18"/>
                <w:szCs w:val="18"/>
              </w:rPr>
            </w:pPr>
            <w:r w:rsidRPr="003F24A1">
              <w:rPr>
                <w:sz w:val="18"/>
                <w:szCs w:val="18"/>
              </w:rPr>
              <w:t>0.4</w:t>
            </w:r>
          </w:p>
        </w:tc>
        <w:tc>
          <w:tcPr>
            <w:tcW w:w="437"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89"/>
              <w:jc w:val="right"/>
              <w:rPr>
                <w:sz w:val="18"/>
                <w:szCs w:val="18"/>
              </w:rPr>
            </w:pPr>
            <w:r w:rsidRPr="003F24A1">
              <w:rPr>
                <w:sz w:val="18"/>
                <w:szCs w:val="18"/>
              </w:rPr>
              <w:t>0.5</w:t>
            </w:r>
          </w:p>
        </w:tc>
        <w:tc>
          <w:tcPr>
            <w:tcW w:w="459"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89"/>
              <w:jc w:val="right"/>
              <w:rPr>
                <w:sz w:val="18"/>
                <w:szCs w:val="18"/>
              </w:rPr>
            </w:pPr>
            <w:r w:rsidRPr="003F24A1">
              <w:rPr>
                <w:sz w:val="18"/>
                <w:szCs w:val="18"/>
              </w:rPr>
              <w:t>0.1</w:t>
            </w:r>
          </w:p>
        </w:tc>
        <w:tc>
          <w:tcPr>
            <w:tcW w:w="462"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45"/>
              <w:jc w:val="right"/>
              <w:rPr>
                <w:sz w:val="18"/>
                <w:szCs w:val="18"/>
              </w:rPr>
            </w:pPr>
            <w:r w:rsidRPr="003F24A1">
              <w:rPr>
                <w:sz w:val="18"/>
                <w:szCs w:val="18"/>
              </w:rPr>
              <w:t>0.1</w:t>
            </w:r>
          </w:p>
        </w:tc>
        <w:tc>
          <w:tcPr>
            <w:tcW w:w="471"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54"/>
              <w:jc w:val="right"/>
              <w:rPr>
                <w:sz w:val="18"/>
                <w:szCs w:val="18"/>
              </w:rPr>
            </w:pPr>
            <w:r w:rsidRPr="003F24A1">
              <w:rPr>
                <w:sz w:val="18"/>
                <w:szCs w:val="18"/>
              </w:rPr>
              <w:t>0.0</w:t>
            </w:r>
          </w:p>
        </w:tc>
        <w:tc>
          <w:tcPr>
            <w:tcW w:w="484"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89"/>
              <w:jc w:val="right"/>
              <w:rPr>
                <w:sz w:val="18"/>
                <w:szCs w:val="18"/>
              </w:rPr>
            </w:pPr>
            <w:r w:rsidRPr="003F24A1">
              <w:rPr>
                <w:sz w:val="18"/>
                <w:szCs w:val="18"/>
              </w:rPr>
              <w:t>0.2</w:t>
            </w:r>
          </w:p>
        </w:tc>
        <w:tc>
          <w:tcPr>
            <w:tcW w:w="465"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65"/>
              <w:jc w:val="right"/>
              <w:rPr>
                <w:sz w:val="18"/>
                <w:szCs w:val="18"/>
              </w:rPr>
            </w:pPr>
            <w:r w:rsidRPr="003F24A1">
              <w:rPr>
                <w:sz w:val="18"/>
                <w:szCs w:val="18"/>
              </w:rPr>
              <w:t>0.1</w:t>
            </w:r>
          </w:p>
        </w:tc>
        <w:tc>
          <w:tcPr>
            <w:tcW w:w="475"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0" w:right="50"/>
              <w:jc w:val="right"/>
              <w:rPr>
                <w:sz w:val="18"/>
                <w:szCs w:val="18"/>
              </w:rPr>
            </w:pPr>
            <w:r w:rsidRPr="003F24A1">
              <w:rPr>
                <w:sz w:val="18"/>
                <w:szCs w:val="18"/>
              </w:rPr>
              <w:t>0.2</w:t>
            </w:r>
          </w:p>
        </w:tc>
        <w:tc>
          <w:tcPr>
            <w:tcW w:w="477" w:type="dxa"/>
            <w:tcBorders>
              <w:top w:val="single" w:sz="4" w:space="0" w:color="auto"/>
              <w:left w:val="nil"/>
              <w:bottom w:val="single" w:sz="4" w:space="0" w:color="auto"/>
              <w:right w:val="single" w:sz="4" w:space="0" w:color="auto"/>
            </w:tcBorders>
            <w:vAlign w:val="center"/>
          </w:tcPr>
          <w:p w:rsidR="003F24A1" w:rsidRPr="003F24A1" w:rsidRDefault="003F24A1" w:rsidP="003F24A1">
            <w:pPr>
              <w:ind w:left="-1080" w:right="51"/>
              <w:jc w:val="right"/>
              <w:rPr>
                <w:sz w:val="18"/>
                <w:szCs w:val="18"/>
              </w:rPr>
            </w:pPr>
            <w:r w:rsidRPr="003F24A1">
              <w:rPr>
                <w:sz w:val="18"/>
                <w:szCs w:val="18"/>
              </w:rPr>
              <w:t>0.0</w:t>
            </w:r>
          </w:p>
        </w:tc>
        <w:tc>
          <w:tcPr>
            <w:tcW w:w="495" w:type="dxa"/>
            <w:tcBorders>
              <w:top w:val="single" w:sz="4" w:space="0" w:color="auto"/>
              <w:left w:val="nil"/>
              <w:bottom w:val="single" w:sz="4" w:space="0" w:color="auto"/>
              <w:right w:val="single" w:sz="4" w:space="0" w:color="auto"/>
            </w:tcBorders>
            <w:vAlign w:val="center"/>
          </w:tcPr>
          <w:p w:rsidR="003F24A1" w:rsidRPr="003F24A1" w:rsidRDefault="003F24A1" w:rsidP="003F24A1">
            <w:pPr>
              <w:ind w:left="-1080" w:right="56"/>
              <w:jc w:val="right"/>
              <w:rPr>
                <w:sz w:val="18"/>
                <w:szCs w:val="18"/>
              </w:rPr>
            </w:pPr>
            <w:r w:rsidRPr="003F24A1">
              <w:rPr>
                <w:sz w:val="18"/>
                <w:szCs w:val="18"/>
              </w:rPr>
              <w:t>0.0</w:t>
            </w:r>
          </w:p>
        </w:tc>
        <w:tc>
          <w:tcPr>
            <w:tcW w:w="506" w:type="dxa"/>
            <w:tcBorders>
              <w:top w:val="single" w:sz="4" w:space="0" w:color="auto"/>
              <w:left w:val="nil"/>
              <w:bottom w:val="single" w:sz="4" w:space="0" w:color="auto"/>
              <w:right w:val="single" w:sz="4" w:space="0" w:color="auto"/>
            </w:tcBorders>
            <w:vAlign w:val="center"/>
          </w:tcPr>
          <w:p w:rsidR="003F24A1" w:rsidRPr="003F24A1" w:rsidRDefault="003F24A1" w:rsidP="003F24A1">
            <w:pPr>
              <w:ind w:left="-1080" w:right="89"/>
              <w:jc w:val="right"/>
              <w:rPr>
                <w:b/>
                <w:sz w:val="18"/>
                <w:szCs w:val="18"/>
              </w:rPr>
            </w:pPr>
            <w:r w:rsidRPr="003F24A1">
              <w:rPr>
                <w:b/>
                <w:sz w:val="18"/>
                <w:szCs w:val="18"/>
              </w:rPr>
              <w:t>-0.2</w:t>
            </w:r>
          </w:p>
        </w:tc>
      </w:tr>
      <w:tr w:rsidR="003F24A1" w:rsidRPr="003F24A1" w:rsidTr="004B3C2F">
        <w:trPr>
          <w:trHeight w:val="300"/>
          <w:jc w:val="center"/>
        </w:trPr>
        <w:tc>
          <w:tcPr>
            <w:tcW w:w="1144" w:type="dxa"/>
            <w:tcBorders>
              <w:top w:val="single" w:sz="4" w:space="0" w:color="auto"/>
            </w:tcBorders>
            <w:shd w:val="clear" w:color="auto" w:fill="auto"/>
            <w:noWrap/>
            <w:hideMark/>
          </w:tcPr>
          <w:p w:rsidR="003F24A1" w:rsidRPr="003F24A1" w:rsidRDefault="003F24A1" w:rsidP="003F24A1">
            <w:pPr>
              <w:spacing w:before="120"/>
              <w:ind w:right="74"/>
              <w:jc w:val="right"/>
              <w:rPr>
                <w:sz w:val="20"/>
                <w:szCs w:val="20"/>
              </w:rPr>
            </w:pPr>
            <w:r w:rsidRPr="003F24A1">
              <w:rPr>
                <w:bCs/>
                <w:sz w:val="20"/>
                <w:szCs w:val="20"/>
                <w:u w:val="single"/>
                <w:vertAlign w:val="superscript"/>
              </w:rPr>
              <w:t>1</w:t>
            </w:r>
            <w:r w:rsidRPr="003F24A1">
              <w:rPr>
                <w:bCs/>
                <w:sz w:val="20"/>
                <w:szCs w:val="20"/>
                <w:vertAlign w:val="superscript"/>
              </w:rPr>
              <w:t>/</w:t>
            </w:r>
            <w:r w:rsidRPr="003F24A1">
              <w:rPr>
                <w:bCs/>
                <w:sz w:val="20"/>
                <w:szCs w:val="20"/>
              </w:rPr>
              <w:t xml:space="preserve">  </w:t>
            </w:r>
          </w:p>
          <w:p w:rsidR="003F24A1" w:rsidRPr="003F24A1" w:rsidRDefault="003F24A1" w:rsidP="003F24A1">
            <w:pPr>
              <w:ind w:right="76"/>
              <w:jc w:val="right"/>
              <w:rPr>
                <w:sz w:val="20"/>
                <w:szCs w:val="20"/>
              </w:rPr>
            </w:pPr>
          </w:p>
          <w:p w:rsidR="003F24A1" w:rsidRPr="003F24A1" w:rsidRDefault="003F24A1" w:rsidP="003F24A1">
            <w:pPr>
              <w:ind w:left="-1985" w:right="36"/>
              <w:jc w:val="right"/>
              <w:rPr>
                <w:sz w:val="20"/>
                <w:szCs w:val="20"/>
              </w:rPr>
            </w:pPr>
            <w:r w:rsidRPr="003F24A1">
              <w:rPr>
                <w:sz w:val="20"/>
                <w:szCs w:val="20"/>
              </w:rPr>
              <w:t>FUENTE:</w:t>
            </w:r>
          </w:p>
        </w:tc>
        <w:tc>
          <w:tcPr>
            <w:tcW w:w="8842" w:type="dxa"/>
            <w:gridSpan w:val="20"/>
          </w:tcPr>
          <w:p w:rsidR="003F24A1" w:rsidRPr="003F24A1" w:rsidRDefault="003F24A1" w:rsidP="003F24A1">
            <w:pPr>
              <w:spacing w:before="120"/>
              <w:ind w:right="74"/>
              <w:rPr>
                <w:bCs/>
                <w:sz w:val="20"/>
                <w:szCs w:val="20"/>
              </w:rPr>
            </w:pPr>
            <w:r w:rsidRPr="003F24A1">
              <w:rPr>
                <w:bCs/>
                <w:sz w:val="20"/>
                <w:szCs w:val="20"/>
              </w:rPr>
              <w:t>Los datos del cuadro pueden ser consultados en:</w:t>
            </w:r>
          </w:p>
          <w:p w:rsidR="003F24A1" w:rsidRPr="003F24A1" w:rsidRDefault="00935135" w:rsidP="003F24A1">
            <w:pPr>
              <w:ind w:right="76"/>
              <w:rPr>
                <w:sz w:val="20"/>
                <w:szCs w:val="20"/>
              </w:rPr>
            </w:pPr>
            <w:hyperlink r:id="rId47" w:history="1">
              <w:r w:rsidR="003F24A1" w:rsidRPr="003F24A1">
                <w:rPr>
                  <w:bCs/>
                  <w:color w:val="0000FF"/>
                  <w:sz w:val="20"/>
                  <w:szCs w:val="20"/>
                  <w:u w:val="single"/>
                </w:rPr>
                <w:t>http://stats.oecd.org/index.aspx?queryid=22519</w:t>
              </w:r>
            </w:hyperlink>
          </w:p>
          <w:p w:rsidR="003F24A1" w:rsidRPr="003F24A1" w:rsidRDefault="003F24A1" w:rsidP="003F24A1">
            <w:pPr>
              <w:jc w:val="both"/>
              <w:rPr>
                <w:sz w:val="20"/>
                <w:szCs w:val="20"/>
                <w:u w:val="single"/>
              </w:rPr>
            </w:pPr>
            <w:r w:rsidRPr="003F24A1">
              <w:rPr>
                <w:sz w:val="20"/>
                <w:szCs w:val="20"/>
              </w:rPr>
              <w:t>Elaborado por la Comisión Nacional de los Salarios Mínimos, con información de la OCDE del 3 de marzo de 2015.</w:t>
            </w:r>
          </w:p>
          <w:p w:rsidR="003F24A1" w:rsidRPr="003F24A1" w:rsidRDefault="003F24A1" w:rsidP="003F24A1">
            <w:pPr>
              <w:spacing w:before="120"/>
              <w:ind w:right="74"/>
              <w:rPr>
                <w:bCs/>
                <w:sz w:val="20"/>
                <w:szCs w:val="20"/>
              </w:rPr>
            </w:pPr>
          </w:p>
        </w:tc>
      </w:tr>
    </w:tbl>
    <w:p w:rsidR="003F24A1" w:rsidRPr="003F24A1" w:rsidRDefault="003F24A1" w:rsidP="003F24A1">
      <w:pPr>
        <w:ind w:right="76"/>
      </w:pPr>
    </w:p>
    <w:p w:rsidR="003F24A1" w:rsidRPr="003F24A1" w:rsidRDefault="003F24A1" w:rsidP="003F24A1">
      <w:pPr>
        <w:ind w:right="76"/>
      </w:pPr>
    </w:p>
    <w:p w:rsidR="003F24A1" w:rsidRPr="003F24A1" w:rsidRDefault="003F24A1" w:rsidP="003F24A1">
      <w:r w:rsidRPr="003F24A1">
        <w:br w:type="page"/>
      </w:r>
    </w:p>
    <w:p w:rsidR="003F24A1" w:rsidRPr="003F24A1" w:rsidRDefault="003F24A1" w:rsidP="004A0A61">
      <w:pPr>
        <w:spacing w:before="360" w:after="360"/>
        <w:rPr>
          <w:b/>
          <w:sz w:val="26"/>
          <w:szCs w:val="26"/>
        </w:rPr>
      </w:pPr>
      <w:r w:rsidRPr="003F24A1">
        <w:rPr>
          <w:b/>
          <w:sz w:val="26"/>
          <w:szCs w:val="26"/>
        </w:rPr>
        <w:lastRenderedPageBreak/>
        <w:t>Inflación interanual en el área de la OCDE</w:t>
      </w:r>
    </w:p>
    <w:p w:rsidR="003F24A1" w:rsidRPr="003F24A1" w:rsidRDefault="003F24A1" w:rsidP="004A0A61">
      <w:pPr>
        <w:spacing w:before="360" w:after="360" w:line="360" w:lineRule="auto"/>
        <w:jc w:val="both"/>
        <w:rPr>
          <w:bCs/>
          <w:sz w:val="26"/>
          <w:szCs w:val="26"/>
          <w:lang w:val="es-MX"/>
        </w:rPr>
      </w:pPr>
      <w:r w:rsidRPr="003F24A1">
        <w:rPr>
          <w:bCs/>
          <w:color w:val="000000" w:themeColor="text1"/>
          <w:sz w:val="26"/>
          <w:szCs w:val="26"/>
          <w:lang w:val="es-MX"/>
        </w:rPr>
        <w:t>La variación interanual del Índice de Precios al Consumidor en el área de la OCDE, en enero de 2015, fue 0.5</w:t>
      </w:r>
      <w:r w:rsidRPr="003F24A1">
        <w:rPr>
          <w:bCs/>
          <w:sz w:val="26"/>
          <w:szCs w:val="26"/>
          <w:lang w:val="es-MX"/>
        </w:rPr>
        <w:t xml:space="preserve">%, porcentaje inferior al nivel observado en enero de 2014 (1.7%). Este comportamiento se debe a la variación de los precios de la energía             (-12.0%), siendo inferior en 14.2 puntos porcentuales respecto al registrado en enero de 2014 (2.2%). Por su parte, los alimentos presentaron una variación de 2.3%, porcentaje mayor al mostrado en enero de 2014 (1.5%). La inflación anual, excluyendo alimentos y energía creció 1.7%, cantidad ligeramente superior a la mostrada el mismo mes del año anterior (1.6%). </w:t>
      </w:r>
    </w:p>
    <w:p w:rsidR="003F24A1" w:rsidRPr="003F24A1" w:rsidRDefault="003F24A1" w:rsidP="003F24A1">
      <w:pPr>
        <w:jc w:val="center"/>
        <w:rPr>
          <w:b/>
          <w:bCs/>
          <w:color w:val="000000"/>
          <w:sz w:val="22"/>
          <w:szCs w:val="22"/>
        </w:rPr>
      </w:pPr>
      <w:r w:rsidRPr="003F24A1">
        <w:rPr>
          <w:b/>
          <w:bCs/>
          <w:sz w:val="22"/>
          <w:szCs w:val="22"/>
        </w:rPr>
        <w:t xml:space="preserve">PRECIOS AL CONSUMIDOR EN LA OCDE </w:t>
      </w:r>
      <w:r w:rsidRPr="003F24A1">
        <w:rPr>
          <w:b/>
          <w:bCs/>
          <w:color w:val="000000"/>
          <w:sz w:val="22"/>
          <w:szCs w:val="22"/>
          <w:u w:val="single"/>
          <w:vertAlign w:val="superscript"/>
        </w:rPr>
        <w:t>1</w:t>
      </w:r>
      <w:r w:rsidRPr="003F24A1">
        <w:rPr>
          <w:b/>
          <w:bCs/>
          <w:color w:val="000000"/>
          <w:sz w:val="22"/>
          <w:szCs w:val="22"/>
          <w:vertAlign w:val="superscript"/>
        </w:rPr>
        <w:t>/</w:t>
      </w:r>
    </w:p>
    <w:p w:rsidR="003F24A1" w:rsidRPr="003F24A1" w:rsidRDefault="003F24A1" w:rsidP="003F24A1">
      <w:pPr>
        <w:jc w:val="center"/>
        <w:rPr>
          <w:bCs/>
          <w:sz w:val="22"/>
          <w:szCs w:val="22"/>
        </w:rPr>
      </w:pPr>
      <w:r w:rsidRPr="003F24A1">
        <w:rPr>
          <w:bCs/>
          <w:sz w:val="22"/>
          <w:szCs w:val="22"/>
        </w:rPr>
        <w:t>- Variación con respecto al mismo mes del año anterior -</w:t>
      </w:r>
    </w:p>
    <w:p w:rsidR="003F24A1" w:rsidRPr="003F24A1" w:rsidRDefault="003F24A1" w:rsidP="003F24A1">
      <w:pPr>
        <w:jc w:val="center"/>
        <w:rPr>
          <w:bCs/>
          <w:sz w:val="22"/>
          <w:szCs w:val="22"/>
        </w:rPr>
      </w:pPr>
      <w:r w:rsidRPr="003F24A1">
        <w:rPr>
          <w:bCs/>
          <w:sz w:val="22"/>
          <w:szCs w:val="22"/>
        </w:rPr>
        <w:t>Julio 2013 - enero 2015</w:t>
      </w:r>
    </w:p>
    <w:p w:rsidR="003F24A1" w:rsidRPr="003F24A1" w:rsidRDefault="003F24A1" w:rsidP="003F24A1">
      <w:pPr>
        <w:jc w:val="center"/>
        <w:rPr>
          <w:bCs/>
          <w:sz w:val="22"/>
          <w:szCs w:val="22"/>
        </w:rPr>
      </w:pPr>
      <w:r w:rsidRPr="003F24A1">
        <w:rPr>
          <w:bCs/>
          <w:sz w:val="22"/>
          <w:szCs w:val="22"/>
        </w:rPr>
        <w:t>- Por ciento -</w:t>
      </w:r>
    </w:p>
    <w:tbl>
      <w:tblPr>
        <w:tblW w:w="10023" w:type="dxa"/>
        <w:jc w:val="center"/>
        <w:tblLayout w:type="fixed"/>
        <w:tblCellMar>
          <w:left w:w="70" w:type="dxa"/>
          <w:right w:w="70" w:type="dxa"/>
        </w:tblCellMar>
        <w:tblLook w:val="04A0" w:firstRow="1" w:lastRow="0" w:firstColumn="1" w:lastColumn="0" w:noHBand="0" w:noVBand="1"/>
      </w:tblPr>
      <w:tblGrid>
        <w:gridCol w:w="1151"/>
        <w:gridCol w:w="504"/>
        <w:gridCol w:w="465"/>
        <w:gridCol w:w="449"/>
        <w:gridCol w:w="404"/>
        <w:gridCol w:w="493"/>
        <w:gridCol w:w="454"/>
        <w:gridCol w:w="474"/>
        <w:gridCol w:w="444"/>
        <w:gridCol w:w="466"/>
        <w:gridCol w:w="447"/>
        <w:gridCol w:w="457"/>
        <w:gridCol w:w="453"/>
        <w:gridCol w:w="476"/>
        <w:gridCol w:w="499"/>
        <w:gridCol w:w="478"/>
        <w:gridCol w:w="528"/>
        <w:gridCol w:w="441"/>
        <w:gridCol w:w="14"/>
        <w:gridCol w:w="408"/>
        <w:gridCol w:w="12"/>
        <w:gridCol w:w="506"/>
      </w:tblGrid>
      <w:tr w:rsidR="003F24A1" w:rsidRPr="003F24A1" w:rsidTr="004B3C2F">
        <w:trPr>
          <w:trHeight w:val="300"/>
          <w:jc w:val="center"/>
        </w:trPr>
        <w:tc>
          <w:tcPr>
            <w:tcW w:w="1151"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3F24A1" w:rsidRPr="003F24A1" w:rsidRDefault="003F24A1" w:rsidP="003F24A1">
            <w:pPr>
              <w:jc w:val="center"/>
              <w:rPr>
                <w:b/>
                <w:bCs/>
                <w:color w:val="FFFFFF" w:themeColor="background1"/>
                <w:sz w:val="18"/>
                <w:szCs w:val="18"/>
              </w:rPr>
            </w:pPr>
            <w:r w:rsidRPr="003F24A1">
              <w:rPr>
                <w:b/>
                <w:bCs/>
                <w:color w:val="FFFFFF" w:themeColor="background1"/>
                <w:sz w:val="18"/>
                <w:szCs w:val="18"/>
              </w:rPr>
              <w:t> </w:t>
            </w:r>
          </w:p>
        </w:tc>
        <w:tc>
          <w:tcPr>
            <w:tcW w:w="2769" w:type="dxa"/>
            <w:gridSpan w:val="6"/>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8"/>
                <w:szCs w:val="18"/>
              </w:rPr>
            </w:pPr>
            <w:r w:rsidRPr="003F24A1">
              <w:rPr>
                <w:b/>
                <w:bCs/>
                <w:color w:val="FFFFFF" w:themeColor="background1"/>
                <w:sz w:val="18"/>
                <w:szCs w:val="18"/>
              </w:rPr>
              <w:t>2013</w:t>
            </w:r>
          </w:p>
        </w:tc>
        <w:tc>
          <w:tcPr>
            <w:tcW w:w="5585" w:type="dxa"/>
            <w:gridSpan w:val="13"/>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2F2F2" w:themeColor="background1" w:themeShade="F2"/>
                <w:sz w:val="18"/>
                <w:szCs w:val="18"/>
              </w:rPr>
            </w:pPr>
            <w:r w:rsidRPr="003F24A1">
              <w:rPr>
                <w:b/>
                <w:bCs/>
                <w:color w:val="FFFFFF" w:themeColor="background1"/>
                <w:sz w:val="18"/>
                <w:szCs w:val="18"/>
              </w:rPr>
              <w:t>2014</w:t>
            </w:r>
          </w:p>
        </w:tc>
        <w:tc>
          <w:tcPr>
            <w:tcW w:w="518" w:type="dxa"/>
            <w:gridSpan w:val="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2F2F2" w:themeColor="background1" w:themeShade="F2"/>
                <w:sz w:val="18"/>
                <w:szCs w:val="18"/>
              </w:rPr>
            </w:pPr>
            <w:r w:rsidRPr="003F24A1">
              <w:rPr>
                <w:b/>
                <w:bCs/>
                <w:color w:val="F2F2F2" w:themeColor="background1" w:themeShade="F2"/>
                <w:sz w:val="18"/>
                <w:szCs w:val="18"/>
              </w:rPr>
              <w:t>2015</w:t>
            </w:r>
          </w:p>
        </w:tc>
      </w:tr>
      <w:tr w:rsidR="003F24A1" w:rsidRPr="003F24A1" w:rsidTr="004B3C2F">
        <w:trPr>
          <w:trHeight w:val="300"/>
          <w:jc w:val="center"/>
        </w:trPr>
        <w:tc>
          <w:tcPr>
            <w:tcW w:w="1151"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3F24A1" w:rsidRPr="003F24A1" w:rsidRDefault="003F24A1" w:rsidP="003F24A1">
            <w:pPr>
              <w:jc w:val="center"/>
              <w:rPr>
                <w:b/>
                <w:bCs/>
                <w:color w:val="FFFFFF" w:themeColor="background1"/>
                <w:sz w:val="16"/>
                <w:szCs w:val="16"/>
              </w:rPr>
            </w:pPr>
          </w:p>
        </w:tc>
        <w:tc>
          <w:tcPr>
            <w:tcW w:w="5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2045" w:right="41"/>
              <w:jc w:val="right"/>
              <w:rPr>
                <w:b/>
                <w:bCs/>
                <w:color w:val="FFFFFF" w:themeColor="background1"/>
                <w:sz w:val="16"/>
                <w:szCs w:val="16"/>
              </w:rPr>
            </w:pPr>
            <w:r w:rsidRPr="003F24A1">
              <w:rPr>
                <w:b/>
                <w:bCs/>
                <w:color w:val="FFFFFF" w:themeColor="background1"/>
                <w:sz w:val="16"/>
                <w:szCs w:val="16"/>
              </w:rPr>
              <w:t>Jul</w:t>
            </w:r>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proofErr w:type="spellStart"/>
            <w:r w:rsidRPr="003F24A1">
              <w:rPr>
                <w:b/>
                <w:bCs/>
                <w:color w:val="FFFFFF" w:themeColor="background1"/>
                <w:sz w:val="16"/>
                <w:szCs w:val="16"/>
              </w:rPr>
              <w:t>Ago</w:t>
            </w:r>
            <w:proofErr w:type="spellEnd"/>
          </w:p>
        </w:tc>
        <w:tc>
          <w:tcPr>
            <w:tcW w:w="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678"/>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4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Oct</w:t>
            </w:r>
          </w:p>
        </w:tc>
        <w:tc>
          <w:tcPr>
            <w:tcW w:w="4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1001" w:right="42"/>
              <w:jc w:val="right"/>
              <w:rPr>
                <w:b/>
                <w:bCs/>
                <w:color w:val="FFFFFF" w:themeColor="background1"/>
                <w:sz w:val="16"/>
                <w:szCs w:val="16"/>
              </w:rPr>
            </w:pPr>
            <w:r w:rsidRPr="003F24A1">
              <w:rPr>
                <w:b/>
                <w:bCs/>
                <w:color w:val="FFFFFF" w:themeColor="background1"/>
                <w:sz w:val="16"/>
                <w:szCs w:val="16"/>
              </w:rPr>
              <w:t>Nov</w:t>
            </w:r>
          </w:p>
        </w:tc>
        <w:tc>
          <w:tcPr>
            <w:tcW w:w="4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Dic</w:t>
            </w:r>
          </w:p>
        </w:tc>
        <w:tc>
          <w:tcPr>
            <w:tcW w:w="4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Ene</w:t>
            </w:r>
          </w:p>
        </w:tc>
        <w:tc>
          <w:tcPr>
            <w:tcW w:w="4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Feb</w:t>
            </w:r>
          </w:p>
        </w:tc>
        <w:tc>
          <w:tcPr>
            <w:tcW w:w="4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Mar</w:t>
            </w:r>
          </w:p>
        </w:tc>
        <w:tc>
          <w:tcPr>
            <w:tcW w:w="4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1078"/>
              <w:jc w:val="right"/>
              <w:rPr>
                <w:b/>
                <w:bCs/>
                <w:color w:val="FFFFFF" w:themeColor="background1"/>
                <w:sz w:val="16"/>
                <w:szCs w:val="16"/>
              </w:rPr>
            </w:pPr>
            <w:r w:rsidRPr="003F24A1">
              <w:rPr>
                <w:b/>
                <w:bCs/>
                <w:color w:val="FFFFFF" w:themeColor="background1"/>
                <w:sz w:val="16"/>
                <w:szCs w:val="16"/>
              </w:rPr>
              <w:t>Abr</w:t>
            </w:r>
          </w:p>
        </w:tc>
        <w:tc>
          <w:tcPr>
            <w:tcW w:w="4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rPr>
                <w:b/>
                <w:bCs/>
                <w:color w:val="FFFFFF" w:themeColor="background1"/>
                <w:sz w:val="16"/>
                <w:szCs w:val="16"/>
              </w:rPr>
            </w:pPr>
            <w:proofErr w:type="spellStart"/>
            <w:r w:rsidRPr="003F24A1">
              <w:rPr>
                <w:b/>
                <w:bCs/>
                <w:color w:val="FFFFFF" w:themeColor="background1"/>
                <w:sz w:val="16"/>
                <w:szCs w:val="16"/>
              </w:rPr>
              <w:t>May</w:t>
            </w:r>
            <w:proofErr w:type="spellEnd"/>
          </w:p>
        </w:tc>
        <w:tc>
          <w:tcPr>
            <w:tcW w:w="4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rPr>
                <w:b/>
                <w:bCs/>
                <w:color w:val="FFFFFF" w:themeColor="background1"/>
                <w:sz w:val="16"/>
                <w:szCs w:val="16"/>
              </w:rPr>
            </w:pPr>
            <w:r w:rsidRPr="003F24A1">
              <w:rPr>
                <w:b/>
                <w:bCs/>
                <w:color w:val="FFFFFF" w:themeColor="background1"/>
                <w:sz w:val="16"/>
                <w:szCs w:val="16"/>
              </w:rPr>
              <w:t>Jun</w:t>
            </w:r>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Jul</w:t>
            </w:r>
          </w:p>
        </w:tc>
        <w:tc>
          <w:tcPr>
            <w:tcW w:w="49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proofErr w:type="spellStart"/>
            <w:r w:rsidRPr="003F24A1">
              <w:rPr>
                <w:b/>
                <w:bCs/>
                <w:color w:val="FFFFFF" w:themeColor="background1"/>
                <w:sz w:val="16"/>
                <w:szCs w:val="16"/>
              </w:rPr>
              <w:t>Ago</w:t>
            </w:r>
            <w:proofErr w:type="spellEnd"/>
          </w:p>
        </w:tc>
        <w:tc>
          <w:tcPr>
            <w:tcW w:w="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proofErr w:type="spellStart"/>
            <w:r w:rsidRPr="003F24A1">
              <w:rPr>
                <w:b/>
                <w:bCs/>
                <w:color w:val="FFFFFF" w:themeColor="background1"/>
                <w:sz w:val="16"/>
                <w:szCs w:val="16"/>
              </w:rPr>
              <w:t>Sep</w:t>
            </w:r>
            <w:proofErr w:type="spellEnd"/>
          </w:p>
        </w:tc>
        <w:tc>
          <w:tcPr>
            <w:tcW w:w="5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Oct</w:t>
            </w:r>
          </w:p>
        </w:tc>
        <w:tc>
          <w:tcPr>
            <w:tcW w:w="45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994" w:right="28"/>
              <w:jc w:val="right"/>
              <w:rPr>
                <w:b/>
                <w:bCs/>
                <w:color w:val="FFFFFF" w:themeColor="background1"/>
                <w:sz w:val="16"/>
                <w:szCs w:val="16"/>
              </w:rPr>
            </w:pPr>
            <w:r w:rsidRPr="003F24A1">
              <w:rPr>
                <w:b/>
                <w:bCs/>
                <w:color w:val="FFFFFF" w:themeColor="background1"/>
                <w:sz w:val="16"/>
                <w:szCs w:val="16"/>
              </w:rPr>
              <w:t>Nov</w:t>
            </w:r>
          </w:p>
        </w:tc>
        <w:tc>
          <w:tcPr>
            <w:tcW w:w="420"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3F24A1" w:rsidRPr="003F24A1" w:rsidRDefault="003F24A1" w:rsidP="003F24A1">
            <w:pPr>
              <w:ind w:left="-2045"/>
              <w:jc w:val="right"/>
              <w:rPr>
                <w:b/>
                <w:bCs/>
                <w:color w:val="FFFFFF" w:themeColor="background1"/>
                <w:sz w:val="16"/>
                <w:szCs w:val="16"/>
              </w:rPr>
            </w:pPr>
            <w:r w:rsidRPr="003F24A1">
              <w:rPr>
                <w:b/>
                <w:bCs/>
                <w:color w:val="FFFFFF" w:themeColor="background1"/>
                <w:sz w:val="16"/>
                <w:szCs w:val="16"/>
              </w:rPr>
              <w:t>Dic</w:t>
            </w:r>
          </w:p>
        </w:tc>
        <w:tc>
          <w:tcPr>
            <w:tcW w:w="506" w:type="dxa"/>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Ene</w:t>
            </w:r>
          </w:p>
        </w:tc>
      </w:tr>
      <w:tr w:rsidR="003F24A1" w:rsidRPr="003F24A1" w:rsidTr="004B3C2F">
        <w:trPr>
          <w:trHeight w:val="300"/>
          <w:jc w:val="center"/>
        </w:trPr>
        <w:tc>
          <w:tcPr>
            <w:tcW w:w="1151"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Todos los rubros</w:t>
            </w:r>
          </w:p>
        </w:tc>
        <w:tc>
          <w:tcPr>
            <w:tcW w:w="50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080" w:right="89"/>
              <w:jc w:val="right"/>
              <w:rPr>
                <w:sz w:val="18"/>
                <w:szCs w:val="18"/>
              </w:rPr>
            </w:pPr>
            <w:r w:rsidRPr="003F24A1">
              <w:rPr>
                <w:sz w:val="18"/>
                <w:szCs w:val="18"/>
              </w:rPr>
              <w:t>2.0</w:t>
            </w:r>
          </w:p>
        </w:tc>
        <w:tc>
          <w:tcPr>
            <w:tcW w:w="465"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301" w:right="50"/>
              <w:jc w:val="right"/>
              <w:rPr>
                <w:sz w:val="18"/>
                <w:szCs w:val="18"/>
              </w:rPr>
            </w:pPr>
            <w:r w:rsidRPr="003F24A1">
              <w:rPr>
                <w:sz w:val="18"/>
                <w:szCs w:val="18"/>
              </w:rPr>
              <w:t>1.7</w:t>
            </w:r>
          </w:p>
        </w:tc>
        <w:tc>
          <w:tcPr>
            <w:tcW w:w="449"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483" w:right="51"/>
              <w:jc w:val="right"/>
              <w:rPr>
                <w:sz w:val="18"/>
                <w:szCs w:val="18"/>
              </w:rPr>
            </w:pPr>
            <w:r w:rsidRPr="003F24A1">
              <w:rPr>
                <w:sz w:val="18"/>
                <w:szCs w:val="18"/>
              </w:rPr>
              <w:t>1.5</w:t>
            </w:r>
          </w:p>
        </w:tc>
        <w:tc>
          <w:tcPr>
            <w:tcW w:w="404"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1507" w:right="21"/>
              <w:jc w:val="right"/>
              <w:rPr>
                <w:sz w:val="18"/>
                <w:szCs w:val="18"/>
              </w:rPr>
            </w:pPr>
            <w:r w:rsidRPr="003F24A1">
              <w:rPr>
                <w:sz w:val="18"/>
                <w:szCs w:val="18"/>
              </w:rPr>
              <w:t>1.3</w:t>
            </w:r>
          </w:p>
        </w:tc>
        <w:tc>
          <w:tcPr>
            <w:tcW w:w="493"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2194" w:right="80"/>
              <w:jc w:val="right"/>
              <w:rPr>
                <w:sz w:val="18"/>
                <w:szCs w:val="18"/>
              </w:rPr>
            </w:pPr>
            <w:r w:rsidRPr="003F24A1">
              <w:rPr>
                <w:sz w:val="18"/>
                <w:szCs w:val="18"/>
              </w:rPr>
              <w:t>1.5</w:t>
            </w:r>
          </w:p>
        </w:tc>
        <w:tc>
          <w:tcPr>
            <w:tcW w:w="454"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695" w:right="58"/>
              <w:jc w:val="right"/>
              <w:rPr>
                <w:sz w:val="18"/>
                <w:szCs w:val="18"/>
              </w:rPr>
            </w:pPr>
            <w:r w:rsidRPr="003F24A1">
              <w:rPr>
                <w:sz w:val="18"/>
                <w:szCs w:val="18"/>
              </w:rPr>
              <w:t>1.6</w:t>
            </w:r>
          </w:p>
        </w:tc>
        <w:tc>
          <w:tcPr>
            <w:tcW w:w="474" w:type="dxa"/>
            <w:tcBorders>
              <w:top w:val="single" w:sz="4" w:space="0" w:color="FFFFFF" w:themeColor="background1"/>
              <w:left w:val="nil"/>
              <w:bottom w:val="single" w:sz="4" w:space="0" w:color="auto"/>
              <w:right w:val="single" w:sz="4" w:space="0" w:color="auto"/>
            </w:tcBorders>
            <w:shd w:val="clear" w:color="auto" w:fill="FFFFFF" w:themeFill="background1"/>
            <w:vAlign w:val="bottom"/>
          </w:tcPr>
          <w:p w:rsidR="003F24A1" w:rsidRPr="003F24A1" w:rsidRDefault="003F24A1" w:rsidP="003F24A1">
            <w:pPr>
              <w:ind w:left="-1015" w:right="66"/>
              <w:jc w:val="right"/>
              <w:rPr>
                <w:b/>
                <w:sz w:val="18"/>
                <w:szCs w:val="18"/>
              </w:rPr>
            </w:pPr>
            <w:r w:rsidRPr="003F24A1">
              <w:rPr>
                <w:b/>
                <w:sz w:val="18"/>
                <w:szCs w:val="18"/>
              </w:rPr>
              <w:t>1.7</w:t>
            </w:r>
          </w:p>
        </w:tc>
        <w:tc>
          <w:tcPr>
            <w:tcW w:w="444"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2321" w:right="52"/>
              <w:jc w:val="right"/>
              <w:rPr>
                <w:sz w:val="18"/>
                <w:szCs w:val="18"/>
              </w:rPr>
            </w:pPr>
            <w:r w:rsidRPr="003F24A1">
              <w:rPr>
                <w:sz w:val="18"/>
                <w:szCs w:val="18"/>
              </w:rPr>
              <w:t>1.5</w:t>
            </w:r>
          </w:p>
        </w:tc>
        <w:tc>
          <w:tcPr>
            <w:tcW w:w="466"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082" w:right="42"/>
              <w:jc w:val="right"/>
              <w:rPr>
                <w:sz w:val="18"/>
                <w:szCs w:val="18"/>
              </w:rPr>
            </w:pPr>
            <w:r w:rsidRPr="003F24A1">
              <w:rPr>
                <w:sz w:val="18"/>
                <w:szCs w:val="18"/>
              </w:rPr>
              <w:t>1.6</w:t>
            </w:r>
          </w:p>
        </w:tc>
        <w:tc>
          <w:tcPr>
            <w:tcW w:w="447"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548" w:right="55"/>
              <w:jc w:val="right"/>
              <w:rPr>
                <w:sz w:val="18"/>
                <w:szCs w:val="18"/>
              </w:rPr>
            </w:pPr>
            <w:r w:rsidRPr="003F24A1">
              <w:rPr>
                <w:sz w:val="18"/>
                <w:szCs w:val="18"/>
              </w:rPr>
              <w:t>2.0</w:t>
            </w:r>
          </w:p>
        </w:tc>
        <w:tc>
          <w:tcPr>
            <w:tcW w:w="457"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428" w:right="65"/>
              <w:jc w:val="right"/>
              <w:rPr>
                <w:sz w:val="18"/>
                <w:szCs w:val="18"/>
              </w:rPr>
            </w:pPr>
            <w:r w:rsidRPr="003F24A1">
              <w:rPr>
                <w:sz w:val="18"/>
                <w:szCs w:val="18"/>
              </w:rPr>
              <w:t>2.1</w:t>
            </w:r>
          </w:p>
        </w:tc>
        <w:tc>
          <w:tcPr>
            <w:tcW w:w="453"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460" w:right="56"/>
              <w:jc w:val="right"/>
              <w:rPr>
                <w:sz w:val="18"/>
                <w:szCs w:val="18"/>
              </w:rPr>
            </w:pPr>
            <w:r w:rsidRPr="003F24A1">
              <w:rPr>
                <w:sz w:val="18"/>
                <w:szCs w:val="18"/>
              </w:rPr>
              <w:t>2.1</w:t>
            </w:r>
          </w:p>
        </w:tc>
        <w:tc>
          <w:tcPr>
            <w:tcW w:w="476"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488" w:right="37"/>
              <w:jc w:val="right"/>
              <w:rPr>
                <w:sz w:val="18"/>
                <w:szCs w:val="18"/>
              </w:rPr>
            </w:pPr>
            <w:r w:rsidRPr="003F24A1">
              <w:rPr>
                <w:sz w:val="18"/>
                <w:szCs w:val="18"/>
              </w:rPr>
              <w:t>2.0</w:t>
            </w:r>
          </w:p>
        </w:tc>
        <w:tc>
          <w:tcPr>
            <w:tcW w:w="499"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775" w:right="93"/>
              <w:jc w:val="right"/>
              <w:rPr>
                <w:sz w:val="18"/>
                <w:szCs w:val="18"/>
              </w:rPr>
            </w:pPr>
            <w:r w:rsidRPr="003F24A1">
              <w:rPr>
                <w:sz w:val="18"/>
                <w:szCs w:val="18"/>
              </w:rPr>
              <w:t>1.8</w:t>
            </w:r>
          </w:p>
        </w:tc>
        <w:tc>
          <w:tcPr>
            <w:tcW w:w="478"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329" w:right="53"/>
              <w:jc w:val="right"/>
              <w:rPr>
                <w:sz w:val="18"/>
                <w:szCs w:val="18"/>
              </w:rPr>
            </w:pPr>
            <w:r w:rsidRPr="003F24A1">
              <w:rPr>
                <w:sz w:val="18"/>
                <w:szCs w:val="18"/>
              </w:rPr>
              <w:t>1.7</w:t>
            </w:r>
          </w:p>
        </w:tc>
        <w:tc>
          <w:tcPr>
            <w:tcW w:w="528"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523" w:right="91"/>
              <w:jc w:val="right"/>
              <w:rPr>
                <w:sz w:val="18"/>
                <w:szCs w:val="18"/>
              </w:rPr>
            </w:pPr>
            <w:r w:rsidRPr="003F24A1">
              <w:rPr>
                <w:sz w:val="18"/>
                <w:szCs w:val="18"/>
              </w:rPr>
              <w:t>1.7</w:t>
            </w:r>
          </w:p>
        </w:tc>
        <w:tc>
          <w:tcPr>
            <w:tcW w:w="441" w:type="dxa"/>
            <w:tcBorders>
              <w:top w:val="single" w:sz="4" w:space="0" w:color="FFFFFF" w:themeColor="background1"/>
              <w:left w:val="nil"/>
              <w:bottom w:val="single" w:sz="4" w:space="0" w:color="auto"/>
              <w:right w:val="single" w:sz="4" w:space="0" w:color="auto"/>
            </w:tcBorders>
            <w:shd w:val="clear" w:color="auto" w:fill="auto"/>
            <w:vAlign w:val="bottom"/>
          </w:tcPr>
          <w:p w:rsidR="003F24A1" w:rsidRPr="003F24A1" w:rsidRDefault="003F24A1" w:rsidP="003F24A1">
            <w:pPr>
              <w:ind w:left="-1626" w:right="14"/>
              <w:jc w:val="right"/>
              <w:rPr>
                <w:sz w:val="18"/>
                <w:szCs w:val="18"/>
              </w:rPr>
            </w:pPr>
            <w:r w:rsidRPr="003F24A1">
              <w:rPr>
                <w:sz w:val="18"/>
                <w:szCs w:val="18"/>
              </w:rPr>
              <w:t>1.5</w:t>
            </w:r>
          </w:p>
        </w:tc>
        <w:tc>
          <w:tcPr>
            <w:tcW w:w="434" w:type="dxa"/>
            <w:gridSpan w:val="3"/>
            <w:tcBorders>
              <w:top w:val="single" w:sz="4" w:space="0" w:color="FFFFFF" w:themeColor="background1"/>
              <w:left w:val="nil"/>
              <w:bottom w:val="single" w:sz="4" w:space="0" w:color="auto"/>
              <w:right w:val="single" w:sz="4" w:space="0" w:color="auto"/>
            </w:tcBorders>
            <w:vAlign w:val="bottom"/>
          </w:tcPr>
          <w:p w:rsidR="003F24A1" w:rsidRPr="003F24A1" w:rsidRDefault="003F24A1" w:rsidP="003F24A1">
            <w:pPr>
              <w:jc w:val="right"/>
              <w:rPr>
                <w:sz w:val="18"/>
                <w:szCs w:val="18"/>
              </w:rPr>
            </w:pPr>
            <w:r w:rsidRPr="003F24A1">
              <w:rPr>
                <w:sz w:val="18"/>
                <w:szCs w:val="18"/>
              </w:rPr>
              <w:t>1.1</w:t>
            </w:r>
          </w:p>
        </w:tc>
        <w:tc>
          <w:tcPr>
            <w:tcW w:w="506" w:type="dxa"/>
            <w:tcBorders>
              <w:top w:val="single" w:sz="4" w:space="0" w:color="FFFFFF" w:themeColor="background1"/>
              <w:left w:val="nil"/>
              <w:bottom w:val="single" w:sz="4" w:space="0" w:color="auto"/>
              <w:right w:val="single" w:sz="4" w:space="0" w:color="auto"/>
            </w:tcBorders>
            <w:vAlign w:val="bottom"/>
          </w:tcPr>
          <w:p w:rsidR="003F24A1" w:rsidRPr="003F24A1" w:rsidRDefault="003F24A1" w:rsidP="003F24A1">
            <w:pPr>
              <w:ind w:left="-1648" w:right="46"/>
              <w:jc w:val="right"/>
              <w:rPr>
                <w:b/>
                <w:sz w:val="18"/>
                <w:szCs w:val="18"/>
              </w:rPr>
            </w:pPr>
            <w:r w:rsidRPr="003F24A1">
              <w:rPr>
                <w:b/>
                <w:sz w:val="18"/>
                <w:szCs w:val="18"/>
              </w:rPr>
              <w:t>0.5</w:t>
            </w:r>
          </w:p>
        </w:tc>
      </w:tr>
      <w:tr w:rsidR="003F24A1" w:rsidRPr="003F24A1" w:rsidTr="004B3C2F">
        <w:trPr>
          <w:trHeight w:val="300"/>
          <w:jc w:val="center"/>
        </w:trPr>
        <w:tc>
          <w:tcPr>
            <w:tcW w:w="1151" w:type="dxa"/>
            <w:tcBorders>
              <w:top w:val="nil"/>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Alimentos</w:t>
            </w:r>
          </w:p>
        </w:tc>
        <w:tc>
          <w:tcPr>
            <w:tcW w:w="504"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89"/>
              <w:jc w:val="right"/>
              <w:rPr>
                <w:sz w:val="18"/>
                <w:szCs w:val="18"/>
              </w:rPr>
            </w:pPr>
            <w:r w:rsidRPr="003F24A1">
              <w:rPr>
                <w:sz w:val="18"/>
                <w:szCs w:val="18"/>
              </w:rPr>
              <w:t>2.2</w:t>
            </w:r>
          </w:p>
        </w:tc>
        <w:tc>
          <w:tcPr>
            <w:tcW w:w="465"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301" w:right="50"/>
              <w:jc w:val="right"/>
              <w:rPr>
                <w:sz w:val="18"/>
                <w:szCs w:val="18"/>
              </w:rPr>
            </w:pPr>
            <w:r w:rsidRPr="003F24A1">
              <w:rPr>
                <w:sz w:val="18"/>
                <w:szCs w:val="18"/>
              </w:rPr>
              <w:t>2.1</w:t>
            </w:r>
          </w:p>
        </w:tc>
        <w:tc>
          <w:tcPr>
            <w:tcW w:w="449"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483" w:right="51"/>
              <w:jc w:val="right"/>
              <w:rPr>
                <w:sz w:val="18"/>
                <w:szCs w:val="18"/>
              </w:rPr>
            </w:pPr>
            <w:r w:rsidRPr="003F24A1">
              <w:rPr>
                <w:sz w:val="18"/>
                <w:szCs w:val="18"/>
              </w:rPr>
              <w:t>1.9</w:t>
            </w:r>
          </w:p>
        </w:tc>
        <w:tc>
          <w:tcPr>
            <w:tcW w:w="404"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507" w:right="21"/>
              <w:jc w:val="right"/>
              <w:rPr>
                <w:sz w:val="18"/>
                <w:szCs w:val="18"/>
              </w:rPr>
            </w:pPr>
            <w:r w:rsidRPr="003F24A1">
              <w:rPr>
                <w:sz w:val="18"/>
                <w:szCs w:val="18"/>
              </w:rPr>
              <w:t>1.7</w:t>
            </w:r>
          </w:p>
        </w:tc>
        <w:tc>
          <w:tcPr>
            <w:tcW w:w="49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194" w:right="80"/>
              <w:jc w:val="right"/>
              <w:rPr>
                <w:sz w:val="18"/>
                <w:szCs w:val="18"/>
              </w:rPr>
            </w:pPr>
            <w:r w:rsidRPr="003F24A1">
              <w:rPr>
                <w:sz w:val="18"/>
                <w:szCs w:val="18"/>
              </w:rPr>
              <w:t>1.5</w:t>
            </w:r>
          </w:p>
        </w:tc>
        <w:tc>
          <w:tcPr>
            <w:tcW w:w="45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695" w:right="58"/>
              <w:jc w:val="right"/>
              <w:rPr>
                <w:sz w:val="18"/>
                <w:szCs w:val="18"/>
              </w:rPr>
            </w:pPr>
            <w:r w:rsidRPr="003F24A1">
              <w:rPr>
                <w:sz w:val="18"/>
                <w:szCs w:val="18"/>
              </w:rPr>
              <w:t>1.5</w:t>
            </w:r>
          </w:p>
        </w:tc>
        <w:tc>
          <w:tcPr>
            <w:tcW w:w="474" w:type="dxa"/>
            <w:tcBorders>
              <w:top w:val="single" w:sz="4" w:space="0" w:color="auto"/>
              <w:left w:val="nil"/>
              <w:bottom w:val="single" w:sz="4" w:space="0" w:color="auto"/>
              <w:right w:val="single" w:sz="4" w:space="0" w:color="auto"/>
            </w:tcBorders>
            <w:shd w:val="clear" w:color="auto" w:fill="FFFFFF" w:themeFill="background1"/>
            <w:vAlign w:val="bottom"/>
          </w:tcPr>
          <w:p w:rsidR="003F24A1" w:rsidRPr="003F24A1" w:rsidRDefault="003F24A1" w:rsidP="003F24A1">
            <w:pPr>
              <w:ind w:left="-1015" w:right="66"/>
              <w:jc w:val="right"/>
              <w:rPr>
                <w:b/>
                <w:sz w:val="18"/>
                <w:szCs w:val="18"/>
              </w:rPr>
            </w:pPr>
            <w:r w:rsidRPr="003F24A1">
              <w:rPr>
                <w:b/>
                <w:sz w:val="18"/>
                <w:szCs w:val="18"/>
              </w:rPr>
              <w:t>1.5</w:t>
            </w:r>
          </w:p>
        </w:tc>
        <w:tc>
          <w:tcPr>
            <w:tcW w:w="44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321" w:right="52"/>
              <w:jc w:val="right"/>
              <w:rPr>
                <w:sz w:val="18"/>
                <w:szCs w:val="18"/>
              </w:rPr>
            </w:pPr>
            <w:r w:rsidRPr="003F24A1">
              <w:rPr>
                <w:sz w:val="18"/>
                <w:szCs w:val="18"/>
              </w:rPr>
              <w:t>1.6</w:t>
            </w:r>
          </w:p>
        </w:tc>
        <w:tc>
          <w:tcPr>
            <w:tcW w:w="46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2" w:right="42"/>
              <w:jc w:val="right"/>
              <w:rPr>
                <w:sz w:val="18"/>
                <w:szCs w:val="18"/>
              </w:rPr>
            </w:pPr>
            <w:r w:rsidRPr="003F24A1">
              <w:rPr>
                <w:sz w:val="18"/>
                <w:szCs w:val="18"/>
              </w:rPr>
              <w:t>1.7</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548" w:right="55"/>
              <w:jc w:val="right"/>
              <w:rPr>
                <w:sz w:val="18"/>
                <w:szCs w:val="18"/>
              </w:rPr>
            </w:pPr>
            <w:r w:rsidRPr="003F24A1">
              <w:rPr>
                <w:sz w:val="18"/>
                <w:szCs w:val="18"/>
              </w:rPr>
              <w:t>2.0</w:t>
            </w:r>
          </w:p>
        </w:tc>
        <w:tc>
          <w:tcPr>
            <w:tcW w:w="45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428" w:right="65"/>
              <w:jc w:val="right"/>
              <w:rPr>
                <w:sz w:val="18"/>
                <w:szCs w:val="18"/>
              </w:rPr>
            </w:pPr>
            <w:r w:rsidRPr="003F24A1">
              <w:rPr>
                <w:sz w:val="18"/>
                <w:szCs w:val="18"/>
              </w:rPr>
              <w:t>2.2</w:t>
            </w:r>
          </w:p>
        </w:tc>
        <w:tc>
          <w:tcPr>
            <w:tcW w:w="45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460" w:right="56"/>
              <w:jc w:val="right"/>
              <w:rPr>
                <w:sz w:val="18"/>
                <w:szCs w:val="18"/>
              </w:rPr>
            </w:pPr>
            <w:r w:rsidRPr="003F24A1">
              <w:rPr>
                <w:sz w:val="18"/>
                <w:szCs w:val="18"/>
              </w:rPr>
              <w:t>2.1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488" w:right="37"/>
              <w:jc w:val="right"/>
              <w:rPr>
                <w:sz w:val="18"/>
                <w:szCs w:val="18"/>
              </w:rPr>
            </w:pPr>
            <w:r w:rsidRPr="003F24A1">
              <w:rPr>
                <w:sz w:val="18"/>
                <w:szCs w:val="18"/>
              </w:rPr>
              <w:t>2.1</w:t>
            </w:r>
          </w:p>
        </w:tc>
        <w:tc>
          <w:tcPr>
            <w:tcW w:w="49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775" w:right="93"/>
              <w:jc w:val="right"/>
              <w:rPr>
                <w:sz w:val="18"/>
                <w:szCs w:val="18"/>
              </w:rPr>
            </w:pPr>
            <w:r w:rsidRPr="003F24A1">
              <w:rPr>
                <w:sz w:val="18"/>
                <w:szCs w:val="18"/>
              </w:rPr>
              <w:t>2.3</w:t>
            </w:r>
          </w:p>
        </w:tc>
        <w:tc>
          <w:tcPr>
            <w:tcW w:w="4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29" w:right="53"/>
              <w:jc w:val="right"/>
              <w:rPr>
                <w:sz w:val="18"/>
                <w:szCs w:val="18"/>
              </w:rPr>
            </w:pPr>
            <w:r w:rsidRPr="003F24A1">
              <w:rPr>
                <w:sz w:val="18"/>
                <w:szCs w:val="18"/>
              </w:rPr>
              <w:t>2.6</w:t>
            </w:r>
          </w:p>
        </w:tc>
        <w:tc>
          <w:tcPr>
            <w:tcW w:w="52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523" w:right="91"/>
              <w:jc w:val="right"/>
              <w:rPr>
                <w:sz w:val="18"/>
                <w:szCs w:val="18"/>
              </w:rPr>
            </w:pPr>
            <w:r w:rsidRPr="003F24A1">
              <w:rPr>
                <w:sz w:val="18"/>
                <w:szCs w:val="18"/>
              </w:rPr>
              <w:t>2.5</w:t>
            </w:r>
          </w:p>
        </w:tc>
        <w:tc>
          <w:tcPr>
            <w:tcW w:w="44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626" w:right="14"/>
              <w:jc w:val="right"/>
              <w:rPr>
                <w:sz w:val="18"/>
                <w:szCs w:val="18"/>
              </w:rPr>
            </w:pPr>
            <w:r w:rsidRPr="003F24A1">
              <w:rPr>
                <w:sz w:val="18"/>
                <w:szCs w:val="18"/>
              </w:rPr>
              <w:t>2.5</w:t>
            </w:r>
          </w:p>
        </w:tc>
        <w:tc>
          <w:tcPr>
            <w:tcW w:w="434" w:type="dxa"/>
            <w:gridSpan w:val="3"/>
            <w:tcBorders>
              <w:top w:val="nil"/>
              <w:left w:val="nil"/>
              <w:bottom w:val="single" w:sz="4" w:space="0" w:color="auto"/>
              <w:right w:val="single" w:sz="4" w:space="0" w:color="auto"/>
            </w:tcBorders>
            <w:vAlign w:val="bottom"/>
          </w:tcPr>
          <w:p w:rsidR="003F24A1" w:rsidRPr="003F24A1" w:rsidRDefault="003F24A1" w:rsidP="003F24A1">
            <w:pPr>
              <w:jc w:val="right"/>
              <w:rPr>
                <w:sz w:val="18"/>
                <w:szCs w:val="18"/>
              </w:rPr>
            </w:pPr>
            <w:r w:rsidRPr="003F24A1">
              <w:rPr>
                <w:sz w:val="18"/>
                <w:szCs w:val="18"/>
              </w:rPr>
              <w:t>2.5</w:t>
            </w:r>
          </w:p>
        </w:tc>
        <w:tc>
          <w:tcPr>
            <w:tcW w:w="506" w:type="dxa"/>
            <w:tcBorders>
              <w:top w:val="nil"/>
              <w:left w:val="nil"/>
              <w:bottom w:val="single" w:sz="4" w:space="0" w:color="auto"/>
              <w:right w:val="single" w:sz="4" w:space="0" w:color="auto"/>
            </w:tcBorders>
            <w:vAlign w:val="bottom"/>
          </w:tcPr>
          <w:p w:rsidR="003F24A1" w:rsidRPr="003F24A1" w:rsidRDefault="003F24A1" w:rsidP="003F24A1">
            <w:pPr>
              <w:ind w:left="-1648" w:right="46"/>
              <w:jc w:val="right"/>
              <w:rPr>
                <w:b/>
                <w:sz w:val="18"/>
                <w:szCs w:val="18"/>
              </w:rPr>
            </w:pPr>
            <w:r w:rsidRPr="003F24A1">
              <w:rPr>
                <w:b/>
                <w:sz w:val="18"/>
                <w:szCs w:val="18"/>
              </w:rPr>
              <w:t>2.3</w:t>
            </w:r>
          </w:p>
        </w:tc>
      </w:tr>
      <w:tr w:rsidR="003F24A1" w:rsidRPr="003F24A1" w:rsidTr="004B3C2F">
        <w:trPr>
          <w:trHeight w:val="300"/>
          <w:jc w:val="center"/>
        </w:trPr>
        <w:tc>
          <w:tcPr>
            <w:tcW w:w="1151" w:type="dxa"/>
            <w:tcBorders>
              <w:top w:val="nil"/>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Energía</w:t>
            </w:r>
          </w:p>
        </w:tc>
        <w:tc>
          <w:tcPr>
            <w:tcW w:w="504"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080" w:right="89"/>
              <w:jc w:val="right"/>
              <w:rPr>
                <w:sz w:val="18"/>
                <w:szCs w:val="18"/>
              </w:rPr>
            </w:pPr>
            <w:r w:rsidRPr="003F24A1">
              <w:rPr>
                <w:sz w:val="18"/>
                <w:szCs w:val="18"/>
              </w:rPr>
              <w:t>4.6</w:t>
            </w:r>
          </w:p>
        </w:tc>
        <w:tc>
          <w:tcPr>
            <w:tcW w:w="465"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301" w:right="50"/>
              <w:jc w:val="right"/>
              <w:rPr>
                <w:sz w:val="18"/>
                <w:szCs w:val="18"/>
              </w:rPr>
            </w:pPr>
            <w:r w:rsidRPr="003F24A1">
              <w:rPr>
                <w:sz w:val="18"/>
                <w:szCs w:val="18"/>
              </w:rPr>
              <w:t>1.8</w:t>
            </w:r>
          </w:p>
        </w:tc>
        <w:tc>
          <w:tcPr>
            <w:tcW w:w="449"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483" w:right="51"/>
              <w:jc w:val="right"/>
              <w:rPr>
                <w:sz w:val="18"/>
                <w:szCs w:val="18"/>
              </w:rPr>
            </w:pPr>
            <w:r w:rsidRPr="003F24A1">
              <w:rPr>
                <w:sz w:val="18"/>
                <w:szCs w:val="18"/>
              </w:rPr>
              <w:t>0.1</w:t>
            </w:r>
          </w:p>
        </w:tc>
        <w:tc>
          <w:tcPr>
            <w:tcW w:w="404"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507" w:right="21"/>
              <w:jc w:val="right"/>
              <w:rPr>
                <w:sz w:val="18"/>
                <w:szCs w:val="18"/>
              </w:rPr>
            </w:pPr>
            <w:r w:rsidRPr="003F24A1">
              <w:rPr>
                <w:sz w:val="18"/>
                <w:szCs w:val="18"/>
              </w:rPr>
              <w:t>-1.3</w:t>
            </w:r>
          </w:p>
        </w:tc>
        <w:tc>
          <w:tcPr>
            <w:tcW w:w="49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194" w:right="80"/>
              <w:jc w:val="right"/>
              <w:rPr>
                <w:sz w:val="18"/>
                <w:szCs w:val="18"/>
              </w:rPr>
            </w:pPr>
            <w:r w:rsidRPr="003F24A1">
              <w:rPr>
                <w:sz w:val="18"/>
                <w:szCs w:val="18"/>
              </w:rPr>
              <w:t>0.0</w:t>
            </w:r>
          </w:p>
        </w:tc>
        <w:tc>
          <w:tcPr>
            <w:tcW w:w="45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695" w:right="58"/>
              <w:jc w:val="right"/>
              <w:rPr>
                <w:sz w:val="18"/>
                <w:szCs w:val="18"/>
              </w:rPr>
            </w:pPr>
            <w:r w:rsidRPr="003F24A1">
              <w:rPr>
                <w:sz w:val="18"/>
                <w:szCs w:val="18"/>
              </w:rPr>
              <w:t>1.7</w:t>
            </w:r>
          </w:p>
        </w:tc>
        <w:tc>
          <w:tcPr>
            <w:tcW w:w="474" w:type="dxa"/>
            <w:tcBorders>
              <w:top w:val="single" w:sz="4" w:space="0" w:color="auto"/>
              <w:left w:val="nil"/>
              <w:bottom w:val="single" w:sz="4" w:space="0" w:color="auto"/>
              <w:right w:val="single" w:sz="4" w:space="0" w:color="auto"/>
            </w:tcBorders>
            <w:shd w:val="clear" w:color="auto" w:fill="FFFFFF" w:themeFill="background1"/>
            <w:vAlign w:val="bottom"/>
          </w:tcPr>
          <w:p w:rsidR="003F24A1" w:rsidRPr="003F24A1" w:rsidRDefault="003F24A1" w:rsidP="003F24A1">
            <w:pPr>
              <w:ind w:left="-1015" w:right="66"/>
              <w:jc w:val="right"/>
              <w:rPr>
                <w:b/>
                <w:sz w:val="18"/>
                <w:szCs w:val="18"/>
              </w:rPr>
            </w:pPr>
            <w:r w:rsidRPr="003F24A1">
              <w:rPr>
                <w:b/>
                <w:sz w:val="18"/>
                <w:szCs w:val="18"/>
              </w:rPr>
              <w:t>2.2</w:t>
            </w:r>
          </w:p>
        </w:tc>
        <w:tc>
          <w:tcPr>
            <w:tcW w:w="44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321" w:right="52"/>
              <w:jc w:val="right"/>
              <w:rPr>
                <w:sz w:val="18"/>
                <w:szCs w:val="18"/>
              </w:rPr>
            </w:pPr>
            <w:r w:rsidRPr="003F24A1">
              <w:rPr>
                <w:sz w:val="18"/>
                <w:szCs w:val="18"/>
              </w:rPr>
              <w:t>-0.4</w:t>
            </w:r>
          </w:p>
        </w:tc>
        <w:tc>
          <w:tcPr>
            <w:tcW w:w="46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82" w:right="42"/>
              <w:jc w:val="right"/>
              <w:rPr>
                <w:sz w:val="18"/>
                <w:szCs w:val="18"/>
              </w:rPr>
            </w:pPr>
            <w:r w:rsidRPr="003F24A1">
              <w:rPr>
                <w:sz w:val="18"/>
                <w:szCs w:val="18"/>
              </w:rPr>
              <w:t>0.9</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548" w:right="55"/>
              <w:jc w:val="right"/>
              <w:rPr>
                <w:sz w:val="18"/>
                <w:szCs w:val="18"/>
              </w:rPr>
            </w:pPr>
            <w:r w:rsidRPr="003F24A1">
              <w:rPr>
                <w:sz w:val="18"/>
                <w:szCs w:val="18"/>
              </w:rPr>
              <w:t>2.7</w:t>
            </w:r>
          </w:p>
        </w:tc>
        <w:tc>
          <w:tcPr>
            <w:tcW w:w="45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428" w:right="65"/>
              <w:jc w:val="right"/>
              <w:rPr>
                <w:sz w:val="18"/>
                <w:szCs w:val="18"/>
              </w:rPr>
            </w:pPr>
            <w:r w:rsidRPr="003F24A1">
              <w:rPr>
                <w:sz w:val="18"/>
                <w:szCs w:val="18"/>
              </w:rPr>
              <w:t>3.4</w:t>
            </w:r>
          </w:p>
        </w:tc>
        <w:tc>
          <w:tcPr>
            <w:tcW w:w="45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460" w:right="56"/>
              <w:jc w:val="right"/>
              <w:rPr>
                <w:sz w:val="18"/>
                <w:szCs w:val="18"/>
              </w:rPr>
            </w:pPr>
            <w:r w:rsidRPr="003F24A1">
              <w:rPr>
                <w:sz w:val="18"/>
                <w:szCs w:val="18"/>
              </w:rPr>
              <w:t>3.1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488" w:right="37"/>
              <w:jc w:val="right"/>
              <w:rPr>
                <w:sz w:val="18"/>
                <w:szCs w:val="18"/>
              </w:rPr>
            </w:pPr>
            <w:r w:rsidRPr="003F24A1">
              <w:rPr>
                <w:sz w:val="18"/>
                <w:szCs w:val="18"/>
              </w:rPr>
              <w:t>2.3</w:t>
            </w:r>
          </w:p>
        </w:tc>
        <w:tc>
          <w:tcPr>
            <w:tcW w:w="499"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775" w:right="93"/>
              <w:jc w:val="right"/>
              <w:rPr>
                <w:sz w:val="18"/>
                <w:szCs w:val="18"/>
              </w:rPr>
            </w:pPr>
            <w:r w:rsidRPr="003F24A1">
              <w:rPr>
                <w:sz w:val="18"/>
                <w:szCs w:val="18"/>
              </w:rPr>
              <w:t>0.7</w:t>
            </w:r>
          </w:p>
        </w:tc>
        <w:tc>
          <w:tcPr>
            <w:tcW w:w="4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29" w:right="53"/>
              <w:jc w:val="right"/>
              <w:rPr>
                <w:sz w:val="18"/>
                <w:szCs w:val="18"/>
              </w:rPr>
            </w:pPr>
            <w:r w:rsidRPr="003F24A1">
              <w:rPr>
                <w:sz w:val="18"/>
                <w:szCs w:val="18"/>
              </w:rPr>
              <w:t>-0.1</w:t>
            </w:r>
          </w:p>
        </w:tc>
        <w:tc>
          <w:tcPr>
            <w:tcW w:w="52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523" w:right="91"/>
              <w:jc w:val="right"/>
              <w:rPr>
                <w:sz w:val="18"/>
                <w:szCs w:val="18"/>
              </w:rPr>
            </w:pPr>
            <w:r w:rsidRPr="003F24A1">
              <w:rPr>
                <w:sz w:val="18"/>
                <w:szCs w:val="18"/>
              </w:rPr>
              <w:t>-0.3</w:t>
            </w:r>
          </w:p>
        </w:tc>
        <w:tc>
          <w:tcPr>
            <w:tcW w:w="44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626" w:right="14"/>
              <w:jc w:val="right"/>
              <w:rPr>
                <w:sz w:val="18"/>
                <w:szCs w:val="18"/>
              </w:rPr>
            </w:pPr>
            <w:r w:rsidRPr="003F24A1">
              <w:rPr>
                <w:sz w:val="18"/>
                <w:szCs w:val="18"/>
              </w:rPr>
              <w:t>-2.2</w:t>
            </w:r>
          </w:p>
        </w:tc>
        <w:tc>
          <w:tcPr>
            <w:tcW w:w="434" w:type="dxa"/>
            <w:gridSpan w:val="3"/>
            <w:tcBorders>
              <w:top w:val="nil"/>
              <w:left w:val="nil"/>
              <w:bottom w:val="single" w:sz="4" w:space="0" w:color="auto"/>
              <w:right w:val="single" w:sz="4" w:space="0" w:color="auto"/>
            </w:tcBorders>
            <w:vAlign w:val="bottom"/>
          </w:tcPr>
          <w:p w:rsidR="003F24A1" w:rsidRPr="003F24A1" w:rsidRDefault="003F24A1" w:rsidP="003F24A1">
            <w:pPr>
              <w:jc w:val="right"/>
              <w:rPr>
                <w:sz w:val="18"/>
                <w:szCs w:val="18"/>
              </w:rPr>
            </w:pPr>
            <w:r w:rsidRPr="003F24A1">
              <w:rPr>
                <w:sz w:val="18"/>
                <w:szCs w:val="18"/>
              </w:rPr>
              <w:t>-6.3</w:t>
            </w:r>
          </w:p>
        </w:tc>
        <w:tc>
          <w:tcPr>
            <w:tcW w:w="506" w:type="dxa"/>
            <w:tcBorders>
              <w:top w:val="nil"/>
              <w:left w:val="nil"/>
              <w:bottom w:val="single" w:sz="4" w:space="0" w:color="auto"/>
              <w:right w:val="single" w:sz="4" w:space="0" w:color="auto"/>
            </w:tcBorders>
            <w:vAlign w:val="bottom"/>
          </w:tcPr>
          <w:p w:rsidR="003F24A1" w:rsidRPr="003F24A1" w:rsidRDefault="003F24A1" w:rsidP="003F24A1">
            <w:pPr>
              <w:ind w:left="-1648" w:right="46"/>
              <w:jc w:val="right"/>
              <w:rPr>
                <w:b/>
                <w:sz w:val="18"/>
                <w:szCs w:val="18"/>
              </w:rPr>
            </w:pPr>
            <w:r w:rsidRPr="003F24A1">
              <w:rPr>
                <w:b/>
                <w:sz w:val="18"/>
                <w:szCs w:val="18"/>
              </w:rPr>
              <w:t>-12.0</w:t>
            </w:r>
          </w:p>
        </w:tc>
      </w:tr>
      <w:tr w:rsidR="003F24A1" w:rsidRPr="003F24A1" w:rsidTr="004B3C2F">
        <w:trPr>
          <w:trHeight w:val="900"/>
          <w:jc w:val="center"/>
        </w:trPr>
        <w:tc>
          <w:tcPr>
            <w:tcW w:w="11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24A1" w:rsidRPr="003F24A1" w:rsidRDefault="003F24A1" w:rsidP="003F24A1">
            <w:pPr>
              <w:rPr>
                <w:color w:val="000000"/>
                <w:sz w:val="18"/>
                <w:szCs w:val="18"/>
              </w:rPr>
            </w:pPr>
            <w:r w:rsidRPr="003F24A1">
              <w:rPr>
                <w:color w:val="000000"/>
                <w:sz w:val="18"/>
                <w:szCs w:val="18"/>
              </w:rPr>
              <w:t>Todos los rubros menos alimentos y energía</w:t>
            </w:r>
          </w:p>
        </w:tc>
        <w:tc>
          <w:tcPr>
            <w:tcW w:w="504"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080" w:right="89"/>
              <w:jc w:val="right"/>
              <w:rPr>
                <w:sz w:val="18"/>
                <w:szCs w:val="18"/>
              </w:rPr>
            </w:pPr>
            <w:r w:rsidRPr="003F24A1">
              <w:rPr>
                <w:sz w:val="18"/>
                <w:szCs w:val="18"/>
              </w:rPr>
              <w:t>1.5</w:t>
            </w:r>
          </w:p>
        </w:tc>
        <w:tc>
          <w:tcPr>
            <w:tcW w:w="465"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301" w:right="50"/>
              <w:jc w:val="right"/>
              <w:rPr>
                <w:sz w:val="18"/>
                <w:szCs w:val="18"/>
              </w:rPr>
            </w:pPr>
            <w:r w:rsidRPr="003F24A1">
              <w:rPr>
                <w:sz w:val="18"/>
                <w:szCs w:val="18"/>
              </w:rPr>
              <w:t>1.6</w:t>
            </w:r>
          </w:p>
        </w:tc>
        <w:tc>
          <w:tcPr>
            <w:tcW w:w="449"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483" w:right="51"/>
              <w:jc w:val="right"/>
              <w:rPr>
                <w:sz w:val="18"/>
                <w:szCs w:val="18"/>
              </w:rPr>
            </w:pPr>
            <w:r w:rsidRPr="003F24A1">
              <w:rPr>
                <w:sz w:val="18"/>
                <w:szCs w:val="18"/>
              </w:rPr>
              <w:t>1.6</w:t>
            </w:r>
          </w:p>
        </w:tc>
        <w:tc>
          <w:tcPr>
            <w:tcW w:w="404" w:type="dxa"/>
            <w:tcBorders>
              <w:top w:val="single" w:sz="4" w:space="0" w:color="auto"/>
              <w:left w:val="nil"/>
              <w:bottom w:val="single" w:sz="4" w:space="0" w:color="auto"/>
              <w:right w:val="single" w:sz="4" w:space="0" w:color="auto"/>
            </w:tcBorders>
            <w:shd w:val="clear" w:color="auto" w:fill="auto"/>
            <w:noWrap/>
            <w:vAlign w:val="center"/>
          </w:tcPr>
          <w:p w:rsidR="003F24A1" w:rsidRPr="003F24A1" w:rsidRDefault="003F24A1" w:rsidP="003F24A1">
            <w:pPr>
              <w:ind w:left="-1507" w:right="21"/>
              <w:jc w:val="right"/>
              <w:rPr>
                <w:sz w:val="18"/>
                <w:szCs w:val="18"/>
              </w:rPr>
            </w:pPr>
            <w:r w:rsidRPr="003F24A1">
              <w:rPr>
                <w:sz w:val="18"/>
                <w:szCs w:val="18"/>
              </w:rPr>
              <w:t>1.6</w:t>
            </w:r>
          </w:p>
        </w:tc>
        <w:tc>
          <w:tcPr>
            <w:tcW w:w="493"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2194" w:right="80"/>
              <w:jc w:val="right"/>
              <w:rPr>
                <w:sz w:val="18"/>
                <w:szCs w:val="18"/>
              </w:rPr>
            </w:pPr>
            <w:r w:rsidRPr="003F24A1">
              <w:rPr>
                <w:sz w:val="18"/>
                <w:szCs w:val="18"/>
              </w:rPr>
              <w:t>1.6</w:t>
            </w:r>
          </w:p>
        </w:tc>
        <w:tc>
          <w:tcPr>
            <w:tcW w:w="454"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695" w:right="58"/>
              <w:jc w:val="right"/>
              <w:rPr>
                <w:sz w:val="18"/>
                <w:szCs w:val="18"/>
              </w:rPr>
            </w:pPr>
            <w:r w:rsidRPr="003F24A1">
              <w:rPr>
                <w:sz w:val="18"/>
                <w:szCs w:val="18"/>
              </w:rPr>
              <w:t>1.6</w:t>
            </w:r>
          </w:p>
        </w:tc>
        <w:tc>
          <w:tcPr>
            <w:tcW w:w="474" w:type="dxa"/>
            <w:tcBorders>
              <w:top w:val="single" w:sz="4" w:space="0" w:color="auto"/>
              <w:left w:val="nil"/>
              <w:bottom w:val="single" w:sz="4" w:space="0" w:color="auto"/>
              <w:right w:val="single" w:sz="4" w:space="0" w:color="auto"/>
            </w:tcBorders>
            <w:shd w:val="clear" w:color="auto" w:fill="FFFFFF" w:themeFill="background1"/>
            <w:vAlign w:val="center"/>
          </w:tcPr>
          <w:p w:rsidR="003F24A1" w:rsidRPr="003F24A1" w:rsidRDefault="003F24A1" w:rsidP="003F24A1">
            <w:pPr>
              <w:ind w:left="-1015" w:right="66"/>
              <w:jc w:val="right"/>
              <w:rPr>
                <w:b/>
                <w:sz w:val="18"/>
                <w:szCs w:val="18"/>
              </w:rPr>
            </w:pPr>
            <w:r w:rsidRPr="003F24A1">
              <w:rPr>
                <w:b/>
                <w:sz w:val="18"/>
                <w:szCs w:val="18"/>
              </w:rPr>
              <w:t>1.6</w:t>
            </w:r>
          </w:p>
        </w:tc>
        <w:tc>
          <w:tcPr>
            <w:tcW w:w="444"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2321" w:right="52"/>
              <w:jc w:val="right"/>
              <w:rPr>
                <w:sz w:val="18"/>
                <w:szCs w:val="18"/>
              </w:rPr>
            </w:pPr>
            <w:r w:rsidRPr="003F24A1">
              <w:rPr>
                <w:sz w:val="18"/>
                <w:szCs w:val="18"/>
              </w:rPr>
              <w:t>1.6</w:t>
            </w:r>
          </w:p>
        </w:tc>
        <w:tc>
          <w:tcPr>
            <w:tcW w:w="466"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082" w:right="42"/>
              <w:jc w:val="right"/>
              <w:rPr>
                <w:sz w:val="18"/>
                <w:szCs w:val="18"/>
              </w:rPr>
            </w:pPr>
            <w:r w:rsidRPr="003F24A1">
              <w:rPr>
                <w:sz w:val="18"/>
                <w:szCs w:val="18"/>
              </w:rPr>
              <w:t>1.7</w:t>
            </w:r>
          </w:p>
        </w:tc>
        <w:tc>
          <w:tcPr>
            <w:tcW w:w="447"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548" w:right="55"/>
              <w:jc w:val="right"/>
              <w:rPr>
                <w:sz w:val="18"/>
                <w:szCs w:val="18"/>
              </w:rPr>
            </w:pPr>
            <w:r w:rsidRPr="003F24A1">
              <w:rPr>
                <w:sz w:val="18"/>
                <w:szCs w:val="18"/>
              </w:rPr>
              <w:t>2.0</w:t>
            </w:r>
          </w:p>
        </w:tc>
        <w:tc>
          <w:tcPr>
            <w:tcW w:w="457"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428" w:right="65"/>
              <w:jc w:val="right"/>
              <w:rPr>
                <w:sz w:val="18"/>
                <w:szCs w:val="18"/>
              </w:rPr>
            </w:pPr>
            <w:r w:rsidRPr="003F24A1">
              <w:rPr>
                <w:sz w:val="18"/>
                <w:szCs w:val="18"/>
              </w:rPr>
              <w:t>1.9</w:t>
            </w:r>
          </w:p>
        </w:tc>
        <w:tc>
          <w:tcPr>
            <w:tcW w:w="453"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460" w:right="56"/>
              <w:jc w:val="right"/>
              <w:rPr>
                <w:sz w:val="18"/>
                <w:szCs w:val="18"/>
              </w:rPr>
            </w:pPr>
            <w:r w:rsidRPr="003F24A1">
              <w:rPr>
                <w:sz w:val="18"/>
                <w:szCs w:val="18"/>
              </w:rPr>
              <w:t>2.0</w:t>
            </w:r>
          </w:p>
        </w:tc>
        <w:tc>
          <w:tcPr>
            <w:tcW w:w="476"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488" w:right="37"/>
              <w:jc w:val="right"/>
              <w:rPr>
                <w:sz w:val="18"/>
                <w:szCs w:val="18"/>
              </w:rPr>
            </w:pPr>
            <w:r w:rsidRPr="003F24A1">
              <w:rPr>
                <w:sz w:val="18"/>
                <w:szCs w:val="18"/>
              </w:rPr>
              <w:t>1.9</w:t>
            </w:r>
          </w:p>
        </w:tc>
        <w:tc>
          <w:tcPr>
            <w:tcW w:w="499"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775" w:right="93"/>
              <w:jc w:val="right"/>
              <w:rPr>
                <w:sz w:val="18"/>
                <w:szCs w:val="18"/>
              </w:rPr>
            </w:pPr>
            <w:r w:rsidRPr="003F24A1">
              <w:rPr>
                <w:sz w:val="18"/>
                <w:szCs w:val="18"/>
              </w:rPr>
              <w:t>1.9</w:t>
            </w:r>
          </w:p>
        </w:tc>
        <w:tc>
          <w:tcPr>
            <w:tcW w:w="478"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329" w:right="53"/>
              <w:jc w:val="right"/>
              <w:rPr>
                <w:sz w:val="18"/>
                <w:szCs w:val="18"/>
              </w:rPr>
            </w:pPr>
            <w:r w:rsidRPr="003F24A1">
              <w:rPr>
                <w:sz w:val="18"/>
                <w:szCs w:val="18"/>
              </w:rPr>
              <w:t>1.8</w:t>
            </w:r>
          </w:p>
        </w:tc>
        <w:tc>
          <w:tcPr>
            <w:tcW w:w="528"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523" w:right="91"/>
              <w:jc w:val="right"/>
              <w:rPr>
                <w:sz w:val="18"/>
                <w:szCs w:val="18"/>
              </w:rPr>
            </w:pPr>
            <w:r w:rsidRPr="003F24A1">
              <w:rPr>
                <w:sz w:val="18"/>
                <w:szCs w:val="18"/>
              </w:rPr>
              <w:t>1.8</w:t>
            </w:r>
          </w:p>
        </w:tc>
        <w:tc>
          <w:tcPr>
            <w:tcW w:w="441" w:type="dxa"/>
            <w:tcBorders>
              <w:top w:val="single" w:sz="4" w:space="0" w:color="auto"/>
              <w:left w:val="nil"/>
              <w:bottom w:val="single" w:sz="4" w:space="0" w:color="auto"/>
              <w:right w:val="single" w:sz="4" w:space="0" w:color="auto"/>
            </w:tcBorders>
            <w:shd w:val="clear" w:color="auto" w:fill="auto"/>
            <w:vAlign w:val="center"/>
          </w:tcPr>
          <w:p w:rsidR="003F24A1" w:rsidRPr="003F24A1" w:rsidRDefault="003F24A1" w:rsidP="003F24A1">
            <w:pPr>
              <w:ind w:left="-1626" w:right="14"/>
              <w:jc w:val="right"/>
              <w:rPr>
                <w:sz w:val="18"/>
                <w:szCs w:val="18"/>
              </w:rPr>
            </w:pPr>
            <w:r w:rsidRPr="003F24A1">
              <w:rPr>
                <w:sz w:val="18"/>
                <w:szCs w:val="18"/>
              </w:rPr>
              <w:t>1.8</w:t>
            </w:r>
          </w:p>
        </w:tc>
        <w:tc>
          <w:tcPr>
            <w:tcW w:w="434" w:type="dxa"/>
            <w:gridSpan w:val="3"/>
            <w:tcBorders>
              <w:top w:val="single" w:sz="4" w:space="0" w:color="auto"/>
              <w:left w:val="nil"/>
              <w:bottom w:val="single" w:sz="4" w:space="0" w:color="auto"/>
              <w:right w:val="single" w:sz="4" w:space="0" w:color="auto"/>
            </w:tcBorders>
            <w:vAlign w:val="center"/>
          </w:tcPr>
          <w:p w:rsidR="003F24A1" w:rsidRPr="003F24A1" w:rsidRDefault="003F24A1" w:rsidP="003F24A1">
            <w:pPr>
              <w:jc w:val="right"/>
              <w:rPr>
                <w:sz w:val="18"/>
                <w:szCs w:val="18"/>
              </w:rPr>
            </w:pPr>
            <w:r w:rsidRPr="003F24A1">
              <w:rPr>
                <w:sz w:val="18"/>
                <w:szCs w:val="18"/>
              </w:rPr>
              <w:t>1.8</w:t>
            </w:r>
          </w:p>
        </w:tc>
        <w:tc>
          <w:tcPr>
            <w:tcW w:w="506" w:type="dxa"/>
            <w:tcBorders>
              <w:top w:val="single" w:sz="4" w:space="0" w:color="auto"/>
              <w:left w:val="nil"/>
              <w:bottom w:val="single" w:sz="4" w:space="0" w:color="auto"/>
              <w:right w:val="single" w:sz="4" w:space="0" w:color="auto"/>
            </w:tcBorders>
            <w:vAlign w:val="center"/>
          </w:tcPr>
          <w:p w:rsidR="003F24A1" w:rsidRPr="003F24A1" w:rsidRDefault="003F24A1" w:rsidP="003F24A1">
            <w:pPr>
              <w:ind w:left="-1648" w:right="46"/>
              <w:jc w:val="right"/>
              <w:rPr>
                <w:b/>
                <w:sz w:val="18"/>
                <w:szCs w:val="18"/>
              </w:rPr>
            </w:pPr>
            <w:r w:rsidRPr="003F24A1">
              <w:rPr>
                <w:b/>
                <w:sz w:val="18"/>
                <w:szCs w:val="18"/>
              </w:rPr>
              <w:t>1.7</w:t>
            </w:r>
          </w:p>
        </w:tc>
      </w:tr>
      <w:tr w:rsidR="003F24A1" w:rsidRPr="003F24A1" w:rsidTr="004B3C2F">
        <w:trPr>
          <w:trHeight w:val="300"/>
          <w:jc w:val="center"/>
        </w:trPr>
        <w:tc>
          <w:tcPr>
            <w:tcW w:w="1151" w:type="dxa"/>
            <w:tcBorders>
              <w:top w:val="single" w:sz="4" w:space="0" w:color="auto"/>
            </w:tcBorders>
            <w:shd w:val="clear" w:color="auto" w:fill="auto"/>
            <w:noWrap/>
            <w:hideMark/>
          </w:tcPr>
          <w:p w:rsidR="003F24A1" w:rsidRPr="003F24A1" w:rsidRDefault="003F24A1" w:rsidP="003F24A1">
            <w:pPr>
              <w:spacing w:before="120"/>
              <w:ind w:right="74"/>
              <w:jc w:val="right"/>
              <w:rPr>
                <w:sz w:val="20"/>
                <w:szCs w:val="20"/>
              </w:rPr>
            </w:pPr>
            <w:r w:rsidRPr="003F24A1">
              <w:rPr>
                <w:bCs/>
                <w:sz w:val="20"/>
                <w:szCs w:val="20"/>
                <w:u w:val="single"/>
                <w:vertAlign w:val="superscript"/>
              </w:rPr>
              <w:t>1</w:t>
            </w:r>
            <w:r w:rsidRPr="003F24A1">
              <w:rPr>
                <w:bCs/>
                <w:sz w:val="20"/>
                <w:szCs w:val="20"/>
                <w:vertAlign w:val="superscript"/>
              </w:rPr>
              <w:t>/</w:t>
            </w:r>
            <w:r w:rsidRPr="003F24A1">
              <w:rPr>
                <w:bCs/>
                <w:sz w:val="20"/>
                <w:szCs w:val="20"/>
              </w:rPr>
              <w:t xml:space="preserve">  </w:t>
            </w:r>
          </w:p>
          <w:p w:rsidR="003F24A1" w:rsidRPr="003F24A1" w:rsidRDefault="003F24A1" w:rsidP="003F24A1">
            <w:pPr>
              <w:ind w:right="76"/>
              <w:jc w:val="right"/>
              <w:rPr>
                <w:sz w:val="20"/>
                <w:szCs w:val="20"/>
              </w:rPr>
            </w:pPr>
          </w:p>
          <w:p w:rsidR="003F24A1" w:rsidRPr="003F24A1" w:rsidRDefault="003F24A1" w:rsidP="003F24A1">
            <w:pPr>
              <w:ind w:left="-1985" w:right="36"/>
              <w:jc w:val="right"/>
              <w:rPr>
                <w:sz w:val="20"/>
                <w:szCs w:val="20"/>
              </w:rPr>
            </w:pPr>
            <w:r w:rsidRPr="003F24A1">
              <w:rPr>
                <w:sz w:val="20"/>
                <w:szCs w:val="20"/>
              </w:rPr>
              <w:t>FUENTE:</w:t>
            </w:r>
          </w:p>
        </w:tc>
        <w:tc>
          <w:tcPr>
            <w:tcW w:w="8872" w:type="dxa"/>
            <w:gridSpan w:val="21"/>
            <w:tcBorders>
              <w:top w:val="single" w:sz="4" w:space="0" w:color="auto"/>
            </w:tcBorders>
            <w:shd w:val="clear" w:color="auto" w:fill="auto"/>
          </w:tcPr>
          <w:p w:rsidR="003F24A1" w:rsidRPr="003F24A1" w:rsidRDefault="003F24A1" w:rsidP="003F24A1">
            <w:pPr>
              <w:spacing w:before="120"/>
              <w:ind w:right="74"/>
              <w:rPr>
                <w:bCs/>
                <w:sz w:val="20"/>
                <w:szCs w:val="20"/>
              </w:rPr>
            </w:pPr>
            <w:r w:rsidRPr="003F24A1">
              <w:rPr>
                <w:bCs/>
                <w:sz w:val="20"/>
                <w:szCs w:val="20"/>
              </w:rPr>
              <w:t>Los datos del cuadro pueden ser consultados en:</w:t>
            </w:r>
          </w:p>
          <w:p w:rsidR="003F24A1" w:rsidRPr="003F24A1" w:rsidRDefault="00935135" w:rsidP="003F24A1">
            <w:pPr>
              <w:ind w:right="76"/>
              <w:rPr>
                <w:sz w:val="20"/>
                <w:szCs w:val="20"/>
              </w:rPr>
            </w:pPr>
            <w:hyperlink r:id="rId48" w:history="1">
              <w:r w:rsidR="003F24A1" w:rsidRPr="003F24A1">
                <w:rPr>
                  <w:bCs/>
                  <w:color w:val="0000FF"/>
                  <w:sz w:val="20"/>
                  <w:szCs w:val="20"/>
                  <w:u w:val="single"/>
                </w:rPr>
                <w:t>http://stats.oecd.org/index.aspx?queryid=22519</w:t>
              </w:r>
            </w:hyperlink>
          </w:p>
          <w:p w:rsidR="003F24A1" w:rsidRPr="003F24A1" w:rsidRDefault="003F24A1" w:rsidP="003F24A1">
            <w:pPr>
              <w:ind w:right="-7"/>
              <w:rPr>
                <w:sz w:val="20"/>
                <w:szCs w:val="20"/>
              </w:rPr>
            </w:pPr>
            <w:r w:rsidRPr="003F24A1">
              <w:rPr>
                <w:sz w:val="20"/>
                <w:szCs w:val="20"/>
              </w:rPr>
              <w:t>Elaborado por la Comisión Nacional de los Salarios Mínimos con información de la OCDE, del 3 de marzo de 2015.</w:t>
            </w:r>
          </w:p>
        </w:tc>
      </w:tr>
    </w:tbl>
    <w:p w:rsidR="003F24A1" w:rsidRPr="003F24A1" w:rsidRDefault="003F24A1" w:rsidP="003F24A1">
      <w:pPr>
        <w:keepNext/>
        <w:spacing w:before="240"/>
        <w:ind w:right="23"/>
        <w:jc w:val="both"/>
        <w:outlineLvl w:val="0"/>
        <w:rPr>
          <w:b/>
          <w:sz w:val="26"/>
          <w:szCs w:val="26"/>
        </w:rPr>
      </w:pPr>
      <w:r w:rsidRPr="003F24A1">
        <w:rPr>
          <w:b/>
          <w:sz w:val="26"/>
          <w:szCs w:val="26"/>
        </w:rPr>
        <w:br w:type="column"/>
      </w:r>
      <w:r w:rsidRPr="003F24A1">
        <w:rPr>
          <w:b/>
          <w:sz w:val="26"/>
          <w:szCs w:val="26"/>
        </w:rPr>
        <w:lastRenderedPageBreak/>
        <w:t xml:space="preserve">Comportamiento del IPC en la OCDE, </w:t>
      </w:r>
      <w:r w:rsidRPr="003F24A1">
        <w:rPr>
          <w:b/>
          <w:sz w:val="26"/>
          <w:szCs w:val="26"/>
          <w:lang w:val="es-MX"/>
        </w:rPr>
        <w:t>Estados Unidos de Norteamérica y Área del Euro</w:t>
      </w:r>
    </w:p>
    <w:p w:rsidR="003F24A1" w:rsidRPr="003F24A1" w:rsidRDefault="003F24A1" w:rsidP="003F24A1">
      <w:pPr>
        <w:spacing w:before="360" w:after="360" w:line="360" w:lineRule="auto"/>
        <w:jc w:val="both"/>
        <w:rPr>
          <w:color w:val="000000" w:themeColor="text1"/>
          <w:sz w:val="26"/>
          <w:szCs w:val="26"/>
          <w:lang w:val="es-MX"/>
        </w:rPr>
      </w:pPr>
      <w:r w:rsidRPr="003F24A1">
        <w:rPr>
          <w:color w:val="000000" w:themeColor="text1"/>
          <w:sz w:val="26"/>
          <w:szCs w:val="26"/>
          <w:lang w:val="es-MX"/>
        </w:rPr>
        <w:t xml:space="preserve">La OCDE informó que el comportamiento interanual del Índice de Precios al Consumidor en el Área de la Organización, en enero de 2015, fue de 0.5%, porcentaje superior en 0.6 puntos porcentuales al observado en Estados Unidos de Norteamérica (-0.1%) y 1.1 puntos porcentuales por encima del nivel registrado en el Área del Euro (-0.6%). Por su parte, en la variación interanual de la inflación, excluyendo alimentos y energía, sobresalió la variación en los precios </w:t>
      </w:r>
      <w:r w:rsidR="00F97F64" w:rsidRPr="003F24A1">
        <w:rPr>
          <w:color w:val="000000" w:themeColor="text1"/>
          <w:sz w:val="26"/>
          <w:szCs w:val="26"/>
          <w:lang w:val="es-MX"/>
        </w:rPr>
        <w:t>presentada en</w:t>
      </w:r>
      <w:r w:rsidRPr="003F24A1">
        <w:rPr>
          <w:color w:val="000000" w:themeColor="text1"/>
          <w:sz w:val="26"/>
          <w:szCs w:val="26"/>
          <w:lang w:val="es-MX"/>
        </w:rPr>
        <w:t xml:space="preserve"> el área de la OCDE (1.7%), siendo superior a la mostrada en los Estados Unidos de Norteamérica (1.6%) y mayor en 1.1 puntos porcentuales por encima de la registrada en el área del Euro (0.6%).</w:t>
      </w:r>
    </w:p>
    <w:tbl>
      <w:tblPr>
        <w:tblStyle w:val="Tablaconcuadrcula13"/>
        <w:tblW w:w="884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5"/>
      </w:tblGrid>
      <w:tr w:rsidR="003F24A1" w:rsidRPr="003F24A1" w:rsidTr="004B3C2F">
        <w:tc>
          <w:tcPr>
            <w:tcW w:w="8845" w:type="dxa"/>
          </w:tcPr>
          <w:p w:rsidR="003F24A1" w:rsidRPr="003F24A1" w:rsidRDefault="003F24A1" w:rsidP="003F24A1">
            <w:pPr>
              <w:jc w:val="center"/>
              <w:rPr>
                <w:b/>
                <w:bCs/>
                <w:color w:val="000000"/>
                <w:kern w:val="24"/>
                <w:position w:val="12"/>
                <w:sz w:val="22"/>
                <w:szCs w:val="22"/>
                <w:u w:val="single"/>
                <w:vertAlign w:val="superscript"/>
              </w:rPr>
            </w:pPr>
            <w:r w:rsidRPr="003F24A1">
              <w:rPr>
                <w:b/>
                <w:sz w:val="22"/>
                <w:szCs w:val="22"/>
              </w:rPr>
              <w:t xml:space="preserve">PRECIOS AL CONSUMIDOR, RUBROS SELECCIONADOS </w:t>
            </w:r>
            <w:r w:rsidRPr="003F24A1">
              <w:rPr>
                <w:b/>
                <w:bCs/>
                <w:color w:val="000000"/>
                <w:kern w:val="24"/>
                <w:position w:val="12"/>
                <w:sz w:val="22"/>
                <w:szCs w:val="22"/>
                <w:u w:val="single"/>
                <w:vertAlign w:val="superscript"/>
              </w:rPr>
              <w:t>1</w:t>
            </w:r>
            <w:r w:rsidRPr="003F24A1">
              <w:rPr>
                <w:b/>
                <w:bCs/>
                <w:color w:val="000000"/>
                <w:kern w:val="24"/>
                <w:position w:val="12"/>
                <w:sz w:val="22"/>
                <w:szCs w:val="22"/>
                <w:vertAlign w:val="superscript"/>
              </w:rPr>
              <w:t>/</w:t>
            </w:r>
          </w:p>
          <w:p w:rsidR="003F24A1" w:rsidRPr="003F24A1" w:rsidRDefault="003F24A1" w:rsidP="003F24A1">
            <w:pPr>
              <w:jc w:val="center"/>
              <w:rPr>
                <w:sz w:val="22"/>
                <w:szCs w:val="22"/>
              </w:rPr>
            </w:pPr>
            <w:r w:rsidRPr="003F24A1">
              <w:rPr>
                <w:sz w:val="22"/>
                <w:szCs w:val="22"/>
              </w:rPr>
              <w:t>- Variación con respecto al mismo mes del año anterior -</w:t>
            </w:r>
          </w:p>
          <w:p w:rsidR="003F24A1" w:rsidRPr="003F24A1" w:rsidRDefault="003F24A1" w:rsidP="003F24A1">
            <w:pPr>
              <w:jc w:val="center"/>
              <w:rPr>
                <w:sz w:val="22"/>
                <w:szCs w:val="22"/>
              </w:rPr>
            </w:pPr>
            <w:r w:rsidRPr="003F24A1">
              <w:rPr>
                <w:sz w:val="22"/>
                <w:szCs w:val="22"/>
              </w:rPr>
              <w:t>- Enero de 2015 -</w:t>
            </w:r>
          </w:p>
          <w:p w:rsidR="003F24A1" w:rsidRPr="003F24A1" w:rsidRDefault="003F24A1" w:rsidP="003F24A1">
            <w:pPr>
              <w:jc w:val="center"/>
              <w:rPr>
                <w:color w:val="000000" w:themeColor="text1"/>
                <w:sz w:val="20"/>
                <w:szCs w:val="20"/>
                <w:lang w:val="es-MX"/>
              </w:rPr>
            </w:pPr>
            <w:r w:rsidRPr="003F24A1">
              <w:rPr>
                <w:color w:val="000000" w:themeColor="text1"/>
                <w:sz w:val="22"/>
                <w:szCs w:val="22"/>
                <w:lang w:val="es-MX"/>
              </w:rPr>
              <w:t>- Por ciento -</w:t>
            </w:r>
          </w:p>
        </w:tc>
      </w:tr>
      <w:tr w:rsidR="003F24A1" w:rsidRPr="003F24A1" w:rsidTr="004B3C2F">
        <w:tc>
          <w:tcPr>
            <w:tcW w:w="8845" w:type="dxa"/>
          </w:tcPr>
          <w:p w:rsidR="003F24A1" w:rsidRPr="003F24A1" w:rsidRDefault="003F24A1" w:rsidP="003F24A1">
            <w:pPr>
              <w:spacing w:line="360" w:lineRule="auto"/>
              <w:jc w:val="both"/>
              <w:rPr>
                <w:color w:val="000000" w:themeColor="text1"/>
                <w:sz w:val="26"/>
                <w:szCs w:val="26"/>
                <w:lang w:val="es-MX"/>
              </w:rPr>
            </w:pPr>
            <w:r w:rsidRPr="003F24A1">
              <w:rPr>
                <w:noProof/>
                <w:color w:val="000000" w:themeColor="text1"/>
                <w:sz w:val="26"/>
                <w:szCs w:val="26"/>
                <w:lang w:val="es-MX" w:eastAsia="es-MX"/>
              </w:rPr>
              <w:drawing>
                <wp:inline distT="0" distB="0" distL="0" distR="0" wp14:anchorId="5F3EC4D9" wp14:editId="0612AE8C">
                  <wp:extent cx="5613991" cy="3306725"/>
                  <wp:effectExtent l="0" t="0" r="6350" b="8255"/>
                  <wp:docPr id="3142" name="Gráfico 31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3F24A1" w:rsidRPr="003F24A1" w:rsidTr="004B3C2F">
        <w:tc>
          <w:tcPr>
            <w:tcW w:w="8840" w:type="dxa"/>
          </w:tcPr>
          <w:p w:rsidR="003F24A1" w:rsidRPr="003F24A1" w:rsidRDefault="003F24A1" w:rsidP="003F24A1">
            <w:pPr>
              <w:tabs>
                <w:tab w:val="left" w:pos="1092"/>
              </w:tabs>
              <w:ind w:left="126" w:firstLine="742"/>
              <w:jc w:val="both"/>
              <w:rPr>
                <w:sz w:val="20"/>
                <w:szCs w:val="20"/>
              </w:rPr>
            </w:pPr>
            <w:r w:rsidRPr="003F24A1">
              <w:rPr>
                <w:sz w:val="20"/>
                <w:szCs w:val="20"/>
              </w:rPr>
              <w:t>*</w:t>
            </w:r>
            <w:r w:rsidRPr="003F24A1">
              <w:rPr>
                <w:sz w:val="18"/>
                <w:szCs w:val="20"/>
              </w:rPr>
              <w:t xml:space="preserve">  </w:t>
            </w:r>
            <w:r w:rsidRPr="003F24A1">
              <w:rPr>
                <w:sz w:val="20"/>
                <w:szCs w:val="20"/>
              </w:rPr>
              <w:t>Se refiere al Índice Armonizado de Precios al Consumidor.</w:t>
            </w:r>
          </w:p>
          <w:p w:rsidR="003F24A1" w:rsidRPr="003F24A1" w:rsidRDefault="003F24A1" w:rsidP="003F24A1">
            <w:pPr>
              <w:tabs>
                <w:tab w:val="left" w:pos="1092"/>
              </w:tabs>
              <w:ind w:left="126" w:right="193" w:firstLine="742"/>
              <w:jc w:val="both"/>
              <w:rPr>
                <w:bCs/>
                <w:sz w:val="20"/>
                <w:szCs w:val="20"/>
              </w:rPr>
            </w:pPr>
            <w:r w:rsidRPr="003F24A1">
              <w:rPr>
                <w:bCs/>
                <w:sz w:val="20"/>
                <w:szCs w:val="20"/>
                <w:u w:val="single"/>
                <w:vertAlign w:val="superscript"/>
              </w:rPr>
              <w:t>1</w:t>
            </w:r>
            <w:r w:rsidRPr="003F24A1">
              <w:rPr>
                <w:bCs/>
                <w:sz w:val="20"/>
                <w:szCs w:val="20"/>
                <w:vertAlign w:val="superscript"/>
              </w:rPr>
              <w:t>/</w:t>
            </w:r>
            <w:r w:rsidRPr="003F24A1">
              <w:rPr>
                <w:bCs/>
                <w:sz w:val="18"/>
                <w:szCs w:val="20"/>
              </w:rPr>
              <w:t xml:space="preserve">  </w:t>
            </w:r>
            <w:r w:rsidRPr="003F24A1">
              <w:rPr>
                <w:bCs/>
                <w:sz w:val="20"/>
                <w:szCs w:val="20"/>
              </w:rPr>
              <w:t xml:space="preserve">Los datos de la gráfica pueden ser consultados en: </w:t>
            </w:r>
          </w:p>
          <w:p w:rsidR="003F24A1" w:rsidRPr="003F24A1" w:rsidRDefault="00935135" w:rsidP="003F24A1">
            <w:pPr>
              <w:ind w:left="126" w:right="193" w:firstLine="938"/>
              <w:jc w:val="both"/>
              <w:rPr>
                <w:bCs/>
                <w:sz w:val="20"/>
                <w:szCs w:val="20"/>
              </w:rPr>
            </w:pPr>
            <w:hyperlink r:id="rId50" w:history="1">
              <w:r w:rsidR="003F24A1" w:rsidRPr="003F24A1">
                <w:rPr>
                  <w:bCs/>
                  <w:color w:val="0000FF"/>
                  <w:sz w:val="20"/>
                  <w:szCs w:val="20"/>
                  <w:u w:val="single"/>
                </w:rPr>
                <w:t>http://stats.oecd.org/index.aspx?queryid=22519</w:t>
              </w:r>
            </w:hyperlink>
          </w:p>
          <w:p w:rsidR="003F24A1" w:rsidRPr="003F24A1" w:rsidRDefault="003F24A1" w:rsidP="003F24A1">
            <w:pPr>
              <w:spacing w:before="120"/>
              <w:ind w:left="125" w:firstLine="17"/>
              <w:jc w:val="both"/>
            </w:pPr>
            <w:r w:rsidRPr="003F24A1">
              <w:rPr>
                <w:sz w:val="20"/>
                <w:szCs w:val="20"/>
              </w:rPr>
              <w:t>FUENTE: OCDE.</w:t>
            </w:r>
          </w:p>
        </w:tc>
      </w:tr>
    </w:tbl>
    <w:p w:rsidR="003F24A1" w:rsidRPr="003F24A1" w:rsidRDefault="003F24A1" w:rsidP="003F24A1">
      <w:pPr>
        <w:spacing w:after="360" w:line="360" w:lineRule="auto"/>
        <w:jc w:val="both"/>
        <w:rPr>
          <w:b/>
          <w:sz w:val="26"/>
          <w:szCs w:val="26"/>
          <w:lang w:val="es-MX"/>
        </w:rPr>
      </w:pPr>
      <w:r w:rsidRPr="003F24A1">
        <w:rPr>
          <w:b/>
          <w:sz w:val="26"/>
          <w:szCs w:val="26"/>
          <w:lang w:val="es-MX"/>
        </w:rPr>
        <w:br w:type="column"/>
      </w:r>
      <w:r w:rsidRPr="003F24A1">
        <w:rPr>
          <w:b/>
          <w:sz w:val="26"/>
          <w:szCs w:val="26"/>
          <w:lang w:val="es-MX"/>
        </w:rPr>
        <w:lastRenderedPageBreak/>
        <w:t>Inflación de México en la OCDE</w:t>
      </w:r>
    </w:p>
    <w:p w:rsidR="003F24A1" w:rsidRPr="003F24A1" w:rsidRDefault="003F24A1" w:rsidP="003F24A1">
      <w:pPr>
        <w:spacing w:line="360" w:lineRule="auto"/>
        <w:jc w:val="both"/>
        <w:rPr>
          <w:bCs/>
          <w:color w:val="000000" w:themeColor="text1"/>
          <w:sz w:val="26"/>
          <w:szCs w:val="26"/>
        </w:rPr>
      </w:pPr>
      <w:r w:rsidRPr="003F24A1">
        <w:rPr>
          <w:bCs/>
          <w:color w:val="000000" w:themeColor="text1"/>
          <w:sz w:val="26"/>
          <w:szCs w:val="26"/>
        </w:rPr>
        <w:t>De acuerdo con el Boletín Mensual de la Organización para la Cooperación y el Desarrollo Económicos (OCDE), en el mes de enero de 2015, México se ubicó   como el tercer país con una mayor tasa de inflación anual (3.1%), después de Turquía (7.2%) y Chile (4.5%).</w:t>
      </w:r>
    </w:p>
    <w:p w:rsidR="003F24A1" w:rsidRPr="003F24A1" w:rsidRDefault="003F24A1" w:rsidP="003F24A1">
      <w:pPr>
        <w:spacing w:before="240" w:after="240" w:line="360" w:lineRule="auto"/>
        <w:jc w:val="both"/>
        <w:rPr>
          <w:bCs/>
          <w:color w:val="000000" w:themeColor="text1"/>
          <w:sz w:val="26"/>
          <w:szCs w:val="26"/>
        </w:rPr>
      </w:pPr>
      <w:r w:rsidRPr="003F24A1">
        <w:rPr>
          <w:bCs/>
          <w:color w:val="000000" w:themeColor="text1"/>
          <w:sz w:val="26"/>
          <w:szCs w:val="26"/>
        </w:rPr>
        <w:t xml:space="preserve">En México, la inflación interanual de los alimentos en enero fue de 5.4%, colocándose en el tercer lugar más alto, después </w:t>
      </w:r>
      <w:r w:rsidR="00F97F64" w:rsidRPr="003F24A1">
        <w:rPr>
          <w:bCs/>
          <w:color w:val="000000" w:themeColor="text1"/>
          <w:sz w:val="26"/>
          <w:szCs w:val="26"/>
        </w:rPr>
        <w:t>de Turquía</w:t>
      </w:r>
      <w:r w:rsidRPr="003F24A1">
        <w:rPr>
          <w:bCs/>
          <w:color w:val="000000" w:themeColor="text1"/>
          <w:sz w:val="26"/>
          <w:szCs w:val="26"/>
        </w:rPr>
        <w:t xml:space="preserve"> (11.0%) y Chile (9.5%).</w:t>
      </w:r>
    </w:p>
    <w:p w:rsidR="003F24A1" w:rsidRPr="003F24A1" w:rsidRDefault="003F24A1" w:rsidP="003F24A1">
      <w:pPr>
        <w:spacing w:before="240" w:after="240" w:line="360" w:lineRule="auto"/>
        <w:jc w:val="both"/>
        <w:rPr>
          <w:bCs/>
          <w:color w:val="000000" w:themeColor="text1"/>
          <w:sz w:val="26"/>
          <w:szCs w:val="26"/>
        </w:rPr>
      </w:pPr>
      <w:r w:rsidRPr="003F24A1">
        <w:rPr>
          <w:bCs/>
          <w:color w:val="000000" w:themeColor="text1"/>
          <w:sz w:val="26"/>
          <w:szCs w:val="26"/>
        </w:rPr>
        <w:t>En el mes de enero, la evolución de la inflación en el sector energético en México registró una elevación de sus precios en 4.2%, ocupando el primer lugar, por su parte, es importante mencionar que en todos los demás países los precios de la energía no registraron incrementos.</w:t>
      </w:r>
    </w:p>
    <w:p w:rsidR="003F24A1" w:rsidRPr="003F24A1" w:rsidRDefault="003F24A1" w:rsidP="003F24A1">
      <w:pPr>
        <w:spacing w:line="360" w:lineRule="auto"/>
        <w:jc w:val="both"/>
        <w:rPr>
          <w:bCs/>
          <w:color w:val="000000" w:themeColor="text1"/>
          <w:sz w:val="26"/>
          <w:szCs w:val="26"/>
        </w:rPr>
      </w:pPr>
      <w:r w:rsidRPr="003F24A1">
        <w:rPr>
          <w:bCs/>
          <w:color w:val="000000" w:themeColor="text1"/>
          <w:sz w:val="26"/>
          <w:szCs w:val="26"/>
        </w:rPr>
        <w:t xml:space="preserve">Por otra parte, en el indicador que excluye alimentos y energía, México se colocó en la </w:t>
      </w:r>
      <w:r w:rsidR="00F97F64" w:rsidRPr="003F24A1">
        <w:rPr>
          <w:bCs/>
          <w:color w:val="000000" w:themeColor="text1"/>
          <w:sz w:val="26"/>
          <w:szCs w:val="26"/>
        </w:rPr>
        <w:t>sexta posición</w:t>
      </w:r>
      <w:r w:rsidRPr="003F24A1">
        <w:rPr>
          <w:bCs/>
          <w:color w:val="000000" w:themeColor="text1"/>
          <w:sz w:val="26"/>
          <w:szCs w:val="26"/>
        </w:rPr>
        <w:t>, respecto al crecimiento anualizado de los precios, con una tasa de 2.3%, mientras que la primera posición fue ocupada por Turquía (8.5%) y seguido por Chile (4.8%), Israel (2.7%), Australia y Canadá (2.4% en ambos casos).</w:t>
      </w:r>
    </w:p>
    <w:p w:rsidR="003F24A1" w:rsidRPr="003F24A1" w:rsidRDefault="003F24A1" w:rsidP="003F24A1">
      <w:pPr>
        <w:spacing w:line="360" w:lineRule="auto"/>
        <w:jc w:val="both"/>
        <w:rPr>
          <w:bCs/>
          <w:color w:val="000000"/>
          <w:sz w:val="2"/>
          <w:szCs w:val="2"/>
        </w:rPr>
      </w:pPr>
      <w:r w:rsidRPr="003F24A1">
        <w:rPr>
          <w:bCs/>
          <w:color w:val="000000"/>
          <w:sz w:val="26"/>
          <w:szCs w:val="26"/>
        </w:rPr>
        <w:br w:type="column"/>
      </w:r>
    </w:p>
    <w:tbl>
      <w:tblPr>
        <w:tblW w:w="11021" w:type="dxa"/>
        <w:jc w:val="center"/>
        <w:tblLayout w:type="fixed"/>
        <w:tblCellMar>
          <w:left w:w="70" w:type="dxa"/>
          <w:right w:w="70" w:type="dxa"/>
        </w:tblCellMar>
        <w:tblLook w:val="0000" w:firstRow="0" w:lastRow="0" w:firstColumn="0" w:lastColumn="0" w:noHBand="0" w:noVBand="0"/>
      </w:tblPr>
      <w:tblGrid>
        <w:gridCol w:w="2651"/>
        <w:gridCol w:w="820"/>
        <w:gridCol w:w="840"/>
        <w:gridCol w:w="891"/>
        <w:gridCol w:w="915"/>
        <w:gridCol w:w="881"/>
        <w:gridCol w:w="896"/>
        <w:gridCol w:w="798"/>
        <w:gridCol w:w="784"/>
        <w:gridCol w:w="752"/>
        <w:gridCol w:w="14"/>
        <w:gridCol w:w="779"/>
      </w:tblGrid>
      <w:tr w:rsidR="003F24A1" w:rsidRPr="003F24A1" w:rsidTr="004B3C2F">
        <w:trPr>
          <w:trHeight w:val="285"/>
          <w:jc w:val="center"/>
        </w:trPr>
        <w:tc>
          <w:tcPr>
            <w:tcW w:w="11021" w:type="dxa"/>
            <w:gridSpan w:val="12"/>
            <w:tcBorders>
              <w:top w:val="nil"/>
              <w:left w:val="nil"/>
              <w:bottom w:val="single" w:sz="4" w:space="0" w:color="FFFFFF" w:themeColor="background1"/>
              <w:right w:val="nil"/>
            </w:tcBorders>
            <w:shd w:val="clear" w:color="auto" w:fill="auto"/>
            <w:noWrap/>
            <w:vAlign w:val="bottom"/>
          </w:tcPr>
          <w:p w:rsidR="003F24A1" w:rsidRPr="003F24A1" w:rsidRDefault="003F24A1" w:rsidP="003F24A1">
            <w:pPr>
              <w:jc w:val="center"/>
              <w:rPr>
                <w:b/>
                <w:bCs/>
                <w:sz w:val="22"/>
                <w:szCs w:val="22"/>
              </w:rPr>
            </w:pPr>
            <w:bookmarkStart w:id="0" w:name="OLE_LINK1"/>
            <w:r w:rsidRPr="003F24A1">
              <w:rPr>
                <w:bCs/>
                <w:color w:val="000000"/>
                <w:sz w:val="26"/>
                <w:szCs w:val="26"/>
              </w:rPr>
              <w:br w:type="column"/>
            </w:r>
            <w:r w:rsidRPr="003F24A1">
              <w:rPr>
                <w:bCs/>
                <w:color w:val="000000"/>
                <w:sz w:val="26"/>
                <w:szCs w:val="26"/>
              </w:rPr>
              <w:br w:type="column"/>
            </w:r>
            <w:r w:rsidRPr="003F24A1">
              <w:rPr>
                <w:b/>
                <w:bCs/>
                <w:sz w:val="22"/>
                <w:szCs w:val="22"/>
              </w:rPr>
              <w:t xml:space="preserve">PRECIOS AL CONSUMIDOR, RUBROS SELECCIONADOS </w:t>
            </w:r>
          </w:p>
          <w:p w:rsidR="003F24A1" w:rsidRPr="003F24A1" w:rsidRDefault="003F24A1" w:rsidP="003F24A1">
            <w:pPr>
              <w:jc w:val="center"/>
              <w:rPr>
                <w:bCs/>
                <w:sz w:val="22"/>
                <w:szCs w:val="22"/>
              </w:rPr>
            </w:pPr>
            <w:r w:rsidRPr="003F24A1">
              <w:rPr>
                <w:bCs/>
                <w:sz w:val="22"/>
                <w:szCs w:val="22"/>
              </w:rPr>
              <w:t>- Cambio porcentual respecto al mismo mes del año anterior -</w:t>
            </w:r>
          </w:p>
          <w:p w:rsidR="003F24A1" w:rsidRPr="003F24A1" w:rsidRDefault="003F24A1" w:rsidP="003F24A1">
            <w:pPr>
              <w:jc w:val="center"/>
              <w:rPr>
                <w:bCs/>
                <w:sz w:val="22"/>
                <w:szCs w:val="22"/>
              </w:rPr>
            </w:pPr>
            <w:r w:rsidRPr="003F24A1">
              <w:rPr>
                <w:bCs/>
                <w:sz w:val="22"/>
                <w:szCs w:val="22"/>
              </w:rPr>
              <w:t>Diciembre 2014 - enero 2015</w:t>
            </w:r>
          </w:p>
          <w:p w:rsidR="003F24A1" w:rsidRPr="003F24A1" w:rsidRDefault="003F24A1" w:rsidP="003F24A1">
            <w:pPr>
              <w:jc w:val="center"/>
              <w:rPr>
                <w:b/>
                <w:bCs/>
                <w:sz w:val="22"/>
                <w:szCs w:val="22"/>
              </w:rPr>
            </w:pPr>
          </w:p>
        </w:tc>
      </w:tr>
      <w:tr w:rsidR="003F24A1" w:rsidRPr="003F24A1" w:rsidTr="004B3C2F">
        <w:trPr>
          <w:trHeight w:val="581"/>
          <w:jc w:val="center"/>
        </w:trPr>
        <w:tc>
          <w:tcPr>
            <w:tcW w:w="2651" w:type="dxa"/>
            <w:vMerge w:val="restart"/>
            <w:tcBorders>
              <w:top w:val="single" w:sz="4" w:space="0" w:color="FFFFFF" w:themeColor="background1"/>
              <w:left w:val="single" w:sz="4" w:space="0" w:color="auto"/>
              <w:bottom w:val="single" w:sz="4" w:space="0" w:color="FFFFFF" w:themeColor="background1"/>
              <w:right w:val="single" w:sz="6" w:space="0" w:color="FFFFFF" w:themeColor="background1"/>
            </w:tcBorders>
            <w:shd w:val="clear" w:color="auto" w:fill="336600"/>
          </w:tcPr>
          <w:p w:rsidR="003F24A1" w:rsidRPr="003F24A1" w:rsidRDefault="003F24A1" w:rsidP="003F24A1">
            <w:pPr>
              <w:spacing w:before="160"/>
              <w:jc w:val="center"/>
              <w:rPr>
                <w:b/>
                <w:bCs/>
                <w:color w:val="FFFFFF" w:themeColor="background1"/>
                <w:sz w:val="19"/>
                <w:szCs w:val="19"/>
              </w:rPr>
            </w:pPr>
            <w:r w:rsidRPr="003F24A1">
              <w:rPr>
                <w:b/>
                <w:bCs/>
                <w:color w:val="FFFFFF" w:themeColor="background1"/>
                <w:sz w:val="19"/>
                <w:szCs w:val="19"/>
              </w:rPr>
              <w:t>País</w:t>
            </w:r>
          </w:p>
          <w:p w:rsidR="003F24A1" w:rsidRPr="003F24A1" w:rsidRDefault="003F24A1" w:rsidP="003F24A1">
            <w:pPr>
              <w:spacing w:before="160"/>
              <w:jc w:val="center"/>
              <w:rPr>
                <w:b/>
                <w:bCs/>
                <w:color w:val="FFFFFF" w:themeColor="background1"/>
                <w:sz w:val="19"/>
                <w:szCs w:val="19"/>
              </w:rPr>
            </w:pPr>
            <w:r w:rsidRPr="003F24A1">
              <w:rPr>
                <w:b/>
                <w:bCs/>
                <w:color w:val="FFFFFF" w:themeColor="background1"/>
                <w:sz w:val="19"/>
                <w:szCs w:val="19"/>
              </w:rPr>
              <w:t xml:space="preserve"> o </w:t>
            </w:r>
          </w:p>
          <w:p w:rsidR="003F24A1" w:rsidRPr="003F24A1" w:rsidRDefault="003F24A1" w:rsidP="003F24A1">
            <w:pPr>
              <w:spacing w:before="160"/>
              <w:jc w:val="center"/>
              <w:rPr>
                <w:b/>
                <w:bCs/>
                <w:color w:val="FFFFFF" w:themeColor="background1"/>
                <w:sz w:val="19"/>
                <w:szCs w:val="19"/>
              </w:rPr>
            </w:pPr>
            <w:r w:rsidRPr="003F24A1">
              <w:rPr>
                <w:b/>
                <w:bCs/>
                <w:color w:val="FFFFFF" w:themeColor="background1"/>
                <w:sz w:val="19"/>
                <w:szCs w:val="19"/>
              </w:rPr>
              <w:t>Región</w:t>
            </w:r>
          </w:p>
        </w:tc>
        <w:tc>
          <w:tcPr>
            <w:tcW w:w="3466" w:type="dxa"/>
            <w:gridSpan w:val="4"/>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3F24A1" w:rsidRPr="003F24A1" w:rsidRDefault="003F24A1" w:rsidP="003F24A1">
            <w:pPr>
              <w:tabs>
                <w:tab w:val="left" w:pos="341"/>
                <w:tab w:val="left" w:pos="547"/>
                <w:tab w:val="left" w:pos="1089"/>
                <w:tab w:val="left" w:pos="1243"/>
              </w:tabs>
              <w:jc w:val="center"/>
              <w:rPr>
                <w:b/>
                <w:bCs/>
                <w:color w:val="FFFFFF" w:themeColor="background1"/>
                <w:sz w:val="19"/>
                <w:szCs w:val="19"/>
              </w:rPr>
            </w:pPr>
            <w:r w:rsidRPr="003F24A1">
              <w:rPr>
                <w:b/>
                <w:bCs/>
                <w:color w:val="FFFFFF" w:themeColor="background1"/>
                <w:sz w:val="19"/>
                <w:szCs w:val="19"/>
              </w:rPr>
              <w:t>Todos los rubros</w:t>
            </w:r>
          </w:p>
        </w:tc>
        <w:tc>
          <w:tcPr>
            <w:tcW w:w="1777"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3F24A1" w:rsidRPr="003F24A1" w:rsidRDefault="003F24A1" w:rsidP="003F24A1">
            <w:pPr>
              <w:jc w:val="center"/>
              <w:rPr>
                <w:b/>
                <w:bCs/>
                <w:color w:val="FFFFFF" w:themeColor="background1"/>
                <w:sz w:val="19"/>
                <w:szCs w:val="19"/>
              </w:rPr>
            </w:pPr>
            <w:r w:rsidRPr="003F24A1">
              <w:rPr>
                <w:b/>
                <w:bCs/>
                <w:color w:val="FFFFFF" w:themeColor="background1"/>
                <w:sz w:val="19"/>
                <w:szCs w:val="19"/>
              </w:rPr>
              <w:t>Alimentos</w:t>
            </w:r>
          </w:p>
        </w:tc>
        <w:tc>
          <w:tcPr>
            <w:tcW w:w="1582"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3F24A1" w:rsidRPr="003F24A1" w:rsidRDefault="003F24A1" w:rsidP="003F24A1">
            <w:pPr>
              <w:jc w:val="center"/>
              <w:rPr>
                <w:b/>
                <w:bCs/>
                <w:color w:val="FFFFFF" w:themeColor="background1"/>
                <w:sz w:val="19"/>
                <w:szCs w:val="19"/>
              </w:rPr>
            </w:pPr>
            <w:r w:rsidRPr="003F24A1">
              <w:rPr>
                <w:b/>
                <w:bCs/>
                <w:color w:val="FFFFFF" w:themeColor="background1"/>
                <w:sz w:val="19"/>
                <w:szCs w:val="19"/>
              </w:rPr>
              <w:t>Energía</w:t>
            </w:r>
          </w:p>
        </w:tc>
        <w:tc>
          <w:tcPr>
            <w:tcW w:w="1545" w:type="dxa"/>
            <w:gridSpan w:val="3"/>
            <w:tcBorders>
              <w:top w:val="single" w:sz="4" w:space="0" w:color="FFFFFF" w:themeColor="background1"/>
              <w:left w:val="single" w:sz="6" w:space="0" w:color="FFFFFF" w:themeColor="background1"/>
              <w:bottom w:val="single" w:sz="6" w:space="0" w:color="FFFFFF" w:themeColor="background1"/>
              <w:right w:val="single" w:sz="4" w:space="0" w:color="auto"/>
            </w:tcBorders>
            <w:shd w:val="clear" w:color="auto" w:fill="336600"/>
            <w:vAlign w:val="center"/>
          </w:tcPr>
          <w:p w:rsidR="003F24A1" w:rsidRPr="003F24A1" w:rsidRDefault="003F24A1" w:rsidP="003F24A1">
            <w:pPr>
              <w:jc w:val="center"/>
              <w:rPr>
                <w:b/>
                <w:bCs/>
                <w:color w:val="FFFFFF" w:themeColor="background1"/>
                <w:sz w:val="19"/>
                <w:szCs w:val="19"/>
              </w:rPr>
            </w:pPr>
            <w:r w:rsidRPr="003F24A1">
              <w:rPr>
                <w:b/>
                <w:bCs/>
                <w:color w:val="FFFFFF" w:themeColor="background1"/>
                <w:sz w:val="19"/>
                <w:szCs w:val="19"/>
              </w:rPr>
              <w:t>Todos los rubros menos alimentos y energía</w:t>
            </w:r>
          </w:p>
        </w:tc>
      </w:tr>
      <w:tr w:rsidR="003F24A1" w:rsidRPr="003F24A1" w:rsidTr="004B3C2F">
        <w:trPr>
          <w:trHeight w:val="210"/>
          <w:jc w:val="center"/>
        </w:trPr>
        <w:tc>
          <w:tcPr>
            <w:tcW w:w="2651" w:type="dxa"/>
            <w:vMerge/>
            <w:tcBorders>
              <w:top w:val="single" w:sz="6" w:space="0" w:color="FFFFFF" w:themeColor="background1"/>
              <w:left w:val="single" w:sz="4" w:space="0" w:color="auto"/>
              <w:bottom w:val="single" w:sz="4" w:space="0" w:color="FFFFFF" w:themeColor="background1"/>
              <w:right w:val="single" w:sz="6" w:space="0" w:color="FFFFFF" w:themeColor="background1"/>
            </w:tcBorders>
            <w:shd w:val="clear" w:color="auto" w:fill="336600"/>
            <w:vAlign w:val="center"/>
          </w:tcPr>
          <w:p w:rsidR="003F24A1" w:rsidRPr="003F24A1" w:rsidRDefault="003F24A1" w:rsidP="003F24A1">
            <w:pPr>
              <w:rPr>
                <w:b/>
                <w:bCs/>
                <w:color w:val="FFFFFF" w:themeColor="background1"/>
                <w:sz w:val="19"/>
                <w:szCs w:val="19"/>
              </w:rPr>
            </w:pPr>
          </w:p>
        </w:tc>
        <w:tc>
          <w:tcPr>
            <w:tcW w:w="1660"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c>
          <w:tcPr>
            <w:tcW w:w="1806"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IAPC</w:t>
            </w:r>
          </w:p>
        </w:tc>
        <w:tc>
          <w:tcPr>
            <w:tcW w:w="1777"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c>
          <w:tcPr>
            <w:tcW w:w="1582"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c>
          <w:tcPr>
            <w:tcW w:w="1545" w:type="dxa"/>
            <w:gridSpan w:val="3"/>
            <w:tcBorders>
              <w:top w:val="single" w:sz="6" w:space="0" w:color="FFFFFF" w:themeColor="background1"/>
              <w:left w:val="single" w:sz="6" w:space="0" w:color="FFFFFF" w:themeColor="background1"/>
              <w:bottom w:val="single" w:sz="6" w:space="0" w:color="FFFFFF" w:themeColor="background1"/>
              <w:right w:val="single" w:sz="4" w:space="0" w:color="auto"/>
            </w:tcBorders>
            <w:shd w:val="clear" w:color="auto" w:fill="336600"/>
          </w:tcPr>
          <w:p w:rsidR="003F24A1" w:rsidRPr="003F24A1" w:rsidRDefault="003F24A1" w:rsidP="003F24A1">
            <w:pPr>
              <w:jc w:val="center"/>
              <w:rPr>
                <w:color w:val="FFFFFF" w:themeColor="background1"/>
                <w:sz w:val="19"/>
                <w:szCs w:val="19"/>
              </w:rPr>
            </w:pPr>
            <w:r w:rsidRPr="003F24A1">
              <w:rPr>
                <w:bCs/>
                <w:color w:val="FFFFFF" w:themeColor="background1"/>
                <w:sz w:val="19"/>
                <w:szCs w:val="19"/>
              </w:rPr>
              <w:t>IPC</w:t>
            </w:r>
          </w:p>
        </w:tc>
      </w:tr>
      <w:tr w:rsidR="003F24A1" w:rsidRPr="003F24A1" w:rsidTr="004B3C2F">
        <w:trPr>
          <w:trHeight w:val="255"/>
          <w:jc w:val="center"/>
        </w:trPr>
        <w:tc>
          <w:tcPr>
            <w:tcW w:w="2651" w:type="dxa"/>
            <w:vMerge/>
            <w:tcBorders>
              <w:top w:val="single" w:sz="6" w:space="0" w:color="FFFFFF" w:themeColor="background1"/>
              <w:left w:val="single" w:sz="4" w:space="0" w:color="auto"/>
              <w:bottom w:val="single" w:sz="4" w:space="0" w:color="FFFFFF" w:themeColor="background1"/>
              <w:right w:val="single" w:sz="6" w:space="0" w:color="FFFFFF" w:themeColor="background1"/>
            </w:tcBorders>
            <w:shd w:val="clear" w:color="auto" w:fill="336600"/>
            <w:vAlign w:val="center"/>
          </w:tcPr>
          <w:p w:rsidR="003F24A1" w:rsidRPr="003F24A1" w:rsidRDefault="003F24A1" w:rsidP="003F24A1">
            <w:pPr>
              <w:rPr>
                <w:b/>
                <w:bCs/>
                <w:color w:val="FFFFFF" w:themeColor="background1"/>
                <w:sz w:val="19"/>
                <w:szCs w:val="19"/>
              </w:rPr>
            </w:pPr>
          </w:p>
        </w:tc>
        <w:tc>
          <w:tcPr>
            <w:tcW w:w="82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Dic</w:t>
            </w:r>
          </w:p>
        </w:tc>
        <w:tc>
          <w:tcPr>
            <w:tcW w:w="84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Ene</w:t>
            </w:r>
          </w:p>
        </w:tc>
        <w:tc>
          <w:tcPr>
            <w:tcW w:w="89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Dic</w:t>
            </w:r>
          </w:p>
        </w:tc>
        <w:tc>
          <w:tcPr>
            <w:tcW w:w="91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Ene</w:t>
            </w:r>
          </w:p>
        </w:tc>
        <w:tc>
          <w:tcPr>
            <w:tcW w:w="88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Dic</w:t>
            </w:r>
          </w:p>
        </w:tc>
        <w:tc>
          <w:tcPr>
            <w:tcW w:w="896"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Ene</w:t>
            </w:r>
          </w:p>
        </w:tc>
        <w:tc>
          <w:tcPr>
            <w:tcW w:w="79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Dic</w:t>
            </w:r>
          </w:p>
        </w:tc>
        <w:tc>
          <w:tcPr>
            <w:tcW w:w="784"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Ene</w:t>
            </w:r>
          </w:p>
        </w:tc>
        <w:tc>
          <w:tcPr>
            <w:tcW w:w="752"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Dic</w:t>
            </w:r>
          </w:p>
        </w:tc>
        <w:tc>
          <w:tcPr>
            <w:tcW w:w="793" w:type="dxa"/>
            <w:gridSpan w:val="2"/>
            <w:tcBorders>
              <w:top w:val="single" w:sz="6" w:space="0" w:color="FFFFFF" w:themeColor="background1"/>
              <w:left w:val="single" w:sz="6" w:space="0" w:color="FFFFFF" w:themeColor="background1"/>
              <w:bottom w:val="single" w:sz="4" w:space="0" w:color="FFFFFF" w:themeColor="background1"/>
              <w:right w:val="single" w:sz="4" w:space="0" w:color="auto"/>
            </w:tcBorders>
            <w:shd w:val="clear" w:color="auto" w:fill="336600"/>
            <w:vAlign w:val="bottom"/>
          </w:tcPr>
          <w:p w:rsidR="003F24A1" w:rsidRPr="003F24A1" w:rsidRDefault="003F24A1" w:rsidP="003F24A1">
            <w:pPr>
              <w:jc w:val="center"/>
              <w:rPr>
                <w:color w:val="FFFFFF" w:themeColor="background1"/>
                <w:sz w:val="19"/>
                <w:szCs w:val="19"/>
              </w:rPr>
            </w:pPr>
            <w:r w:rsidRPr="003F24A1">
              <w:rPr>
                <w:color w:val="FFFFFF" w:themeColor="background1"/>
                <w:sz w:val="19"/>
                <w:szCs w:val="19"/>
              </w:rPr>
              <w:t>Ene</w:t>
            </w:r>
          </w:p>
        </w:tc>
      </w:tr>
      <w:tr w:rsidR="003F24A1" w:rsidRPr="003F24A1" w:rsidTr="004B3C2F">
        <w:trPr>
          <w:trHeight w:val="210"/>
          <w:jc w:val="center"/>
        </w:trPr>
        <w:tc>
          <w:tcPr>
            <w:tcW w:w="2651" w:type="dxa"/>
            <w:tcBorders>
              <w:top w:val="single" w:sz="4" w:space="0" w:color="FFFFFF" w:themeColor="background1"/>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ind w:right="-213"/>
              <w:rPr>
                <w:sz w:val="18"/>
                <w:szCs w:val="18"/>
              </w:rPr>
            </w:pPr>
            <w:r w:rsidRPr="003F24A1">
              <w:rPr>
                <w:sz w:val="18"/>
                <w:szCs w:val="18"/>
              </w:rPr>
              <w:t>OCDE-Total</w:t>
            </w:r>
          </w:p>
        </w:tc>
        <w:tc>
          <w:tcPr>
            <w:tcW w:w="820" w:type="dxa"/>
            <w:tcBorders>
              <w:top w:val="single" w:sz="4" w:space="0" w:color="FFFFFF" w:themeColor="background1"/>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1.1</w:t>
            </w:r>
          </w:p>
        </w:tc>
        <w:tc>
          <w:tcPr>
            <w:tcW w:w="840" w:type="dxa"/>
            <w:tcBorders>
              <w:top w:val="single" w:sz="4" w:space="0" w:color="FFFFFF" w:themeColor="background1"/>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0.5</w:t>
            </w:r>
          </w:p>
        </w:tc>
        <w:tc>
          <w:tcPr>
            <w:tcW w:w="891" w:type="dxa"/>
            <w:tcBorders>
              <w:top w:val="single" w:sz="4" w:space="0" w:color="FFFFFF" w:themeColor="background1"/>
              <w:left w:val="nil"/>
              <w:bottom w:val="single" w:sz="4" w:space="0" w:color="auto"/>
              <w:right w:val="single" w:sz="4" w:space="0" w:color="auto"/>
            </w:tcBorders>
            <w:shd w:val="clear" w:color="auto" w:fill="auto"/>
            <w:noWrap/>
            <w:vAlign w:val="bottom"/>
          </w:tcPr>
          <w:p w:rsidR="003F24A1" w:rsidRPr="003F24A1" w:rsidRDefault="003F24A1" w:rsidP="003F24A1">
            <w:pPr>
              <w:ind w:left="-3262" w:right="167"/>
              <w:jc w:val="right"/>
              <w:rPr>
                <w:sz w:val="20"/>
                <w:szCs w:val="20"/>
              </w:rPr>
            </w:pPr>
            <w:r w:rsidRPr="003F24A1">
              <w:rPr>
                <w:sz w:val="20"/>
                <w:szCs w:val="20"/>
              </w:rPr>
              <w:t>N.D.</w:t>
            </w:r>
          </w:p>
        </w:tc>
        <w:tc>
          <w:tcPr>
            <w:tcW w:w="915" w:type="dxa"/>
            <w:tcBorders>
              <w:top w:val="single" w:sz="4" w:space="0" w:color="FFFFFF" w:themeColor="background1"/>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single" w:sz="4" w:space="0" w:color="FFFFFF" w:themeColor="background1"/>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2.5</w:t>
            </w:r>
          </w:p>
        </w:tc>
        <w:tc>
          <w:tcPr>
            <w:tcW w:w="896" w:type="dxa"/>
            <w:tcBorders>
              <w:top w:val="single" w:sz="4" w:space="0" w:color="FFFFFF" w:themeColor="background1"/>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2.3</w:t>
            </w:r>
          </w:p>
        </w:tc>
        <w:tc>
          <w:tcPr>
            <w:tcW w:w="798" w:type="dxa"/>
            <w:tcBorders>
              <w:top w:val="single" w:sz="4" w:space="0" w:color="FFFFFF" w:themeColor="background1"/>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-6.3</w:t>
            </w:r>
          </w:p>
        </w:tc>
        <w:tc>
          <w:tcPr>
            <w:tcW w:w="784" w:type="dxa"/>
            <w:tcBorders>
              <w:top w:val="single" w:sz="4" w:space="0" w:color="FFFFFF" w:themeColor="background1"/>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-12.0</w:t>
            </w:r>
          </w:p>
        </w:tc>
        <w:tc>
          <w:tcPr>
            <w:tcW w:w="766" w:type="dxa"/>
            <w:gridSpan w:val="2"/>
            <w:tcBorders>
              <w:top w:val="single" w:sz="4" w:space="0" w:color="FFFFFF" w:themeColor="background1"/>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1.8</w:t>
            </w:r>
          </w:p>
        </w:tc>
        <w:tc>
          <w:tcPr>
            <w:tcW w:w="779" w:type="dxa"/>
            <w:tcBorders>
              <w:top w:val="single" w:sz="4" w:space="0" w:color="FFFFFF" w:themeColor="background1"/>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1.7</w:t>
            </w:r>
          </w:p>
        </w:tc>
      </w:tr>
      <w:tr w:rsidR="003F24A1" w:rsidRPr="003F24A1" w:rsidTr="004B3C2F">
        <w:trPr>
          <w:trHeight w:val="16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G7</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0.2</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6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2.4</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2.3</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-7.3</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-13.9</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1.6</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1.5</w:t>
            </w:r>
          </w:p>
        </w:tc>
      </w:tr>
      <w:tr w:rsidR="003F24A1" w:rsidRPr="003F24A1" w:rsidTr="004B3C2F">
        <w:trPr>
          <w:trHeight w:val="211"/>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Unión Europea (IAPC)</w:t>
            </w:r>
          </w:p>
        </w:tc>
        <w:tc>
          <w:tcPr>
            <w:tcW w:w="82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875" w:right="116"/>
              <w:jc w:val="right"/>
              <w:rPr>
                <w:sz w:val="20"/>
                <w:szCs w:val="20"/>
              </w:rPr>
            </w:pPr>
            <w:r w:rsidRPr="003F24A1">
              <w:rPr>
                <w:sz w:val="20"/>
                <w:szCs w:val="20"/>
              </w:rPr>
              <w:t>N.D.</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130"/>
              <w:jc w:val="right"/>
              <w:rPr>
                <w:sz w:val="20"/>
                <w:szCs w:val="20"/>
              </w:rPr>
            </w:pPr>
            <w:r w:rsidRPr="003F24A1">
              <w:rPr>
                <w:sz w:val="20"/>
                <w:szCs w:val="20"/>
              </w:rPr>
              <w:t>N.D.</w:t>
            </w:r>
          </w:p>
        </w:tc>
        <w:tc>
          <w:tcPr>
            <w:tcW w:w="89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725" w:right="243"/>
              <w:jc w:val="right"/>
              <w:rPr>
                <w:sz w:val="20"/>
                <w:szCs w:val="20"/>
              </w:rPr>
            </w:pPr>
            <w:r w:rsidRPr="003F24A1">
              <w:rPr>
                <w:sz w:val="20"/>
                <w:szCs w:val="20"/>
              </w:rPr>
              <w:t>-0.5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-0.8</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-1.0</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-5.8</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-8.6</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0.8</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0.7</w:t>
            </w:r>
          </w:p>
        </w:tc>
      </w:tr>
      <w:tr w:rsidR="003F24A1" w:rsidRPr="003F24A1" w:rsidTr="004B3C2F">
        <w:trPr>
          <w:trHeight w:hRule="exact" w:val="23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 xml:space="preserve">Área Euro (IAPC) </w:t>
            </w:r>
          </w:p>
        </w:tc>
        <w:tc>
          <w:tcPr>
            <w:tcW w:w="82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1875" w:right="116"/>
              <w:jc w:val="right"/>
              <w:rPr>
                <w:sz w:val="20"/>
                <w:szCs w:val="20"/>
              </w:rPr>
            </w:pPr>
            <w:r w:rsidRPr="003F24A1">
              <w:rPr>
                <w:sz w:val="20"/>
                <w:szCs w:val="20"/>
              </w:rPr>
              <w:t>N.D.</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130"/>
              <w:jc w:val="right"/>
              <w:rPr>
                <w:sz w:val="20"/>
                <w:szCs w:val="20"/>
              </w:rPr>
            </w:pPr>
            <w:r w:rsidRPr="003F24A1">
              <w:rPr>
                <w:sz w:val="20"/>
                <w:szCs w:val="20"/>
              </w:rPr>
              <w:t>N.D.</w:t>
            </w:r>
          </w:p>
        </w:tc>
        <w:tc>
          <w:tcPr>
            <w:tcW w:w="89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right="251"/>
              <w:jc w:val="right"/>
              <w:rPr>
                <w:sz w:val="20"/>
                <w:szCs w:val="20"/>
              </w:rPr>
            </w:pPr>
            <w:r w:rsidRPr="003F24A1">
              <w:rPr>
                <w:sz w:val="20"/>
                <w:szCs w:val="20"/>
              </w:rPr>
              <w:t>-0.2</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725" w:right="243"/>
              <w:jc w:val="right"/>
              <w:rPr>
                <w:sz w:val="20"/>
                <w:szCs w:val="20"/>
              </w:rPr>
            </w:pPr>
            <w:r w:rsidRPr="003F24A1">
              <w:rPr>
                <w:sz w:val="20"/>
                <w:szCs w:val="20"/>
              </w:rPr>
              <w:t>-0.6</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-0.6</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-0.5</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-6.3</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-9.3</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0.8</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0.6</w:t>
            </w:r>
          </w:p>
        </w:tc>
      </w:tr>
      <w:tr w:rsidR="003F24A1" w:rsidRPr="003F24A1" w:rsidTr="004B3C2F">
        <w:trPr>
          <w:trHeight w:val="143"/>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Australia</w:t>
            </w:r>
            <w:r w:rsidRPr="003F24A1">
              <w:rPr>
                <w:sz w:val="18"/>
                <w:szCs w:val="18"/>
                <w:u w:val="single"/>
                <w:vertAlign w:val="superscript"/>
              </w:rPr>
              <w:t>1</w:t>
            </w:r>
            <w:r w:rsidRPr="003F24A1">
              <w:rPr>
                <w:sz w:val="18"/>
                <w:szCs w:val="18"/>
                <w:vertAlign w:val="superscript"/>
              </w:rPr>
              <w:t>/</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1.7</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1.7</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984" w:right="181"/>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1.9</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1.9</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-5.5</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-5.5</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2.4</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2.4</w:t>
            </w:r>
          </w:p>
        </w:tc>
      </w:tr>
      <w:tr w:rsidR="003F24A1" w:rsidRPr="003F24A1" w:rsidTr="004B3C2F">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Austria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1.0</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0.6</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0.8</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1.0</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0.6</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-6.7</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-9.1</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1.9</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1.8</w:t>
            </w:r>
          </w:p>
        </w:tc>
      </w:tr>
      <w:tr w:rsidR="003F24A1" w:rsidRPr="003F24A1" w:rsidTr="004B3C2F">
        <w:trPr>
          <w:trHeight w:val="19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Bélgica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-0.6</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-0.4</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-0.6</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-0.9</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-0.8</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-9.4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-12.0</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1.0</w:t>
            </w:r>
          </w:p>
        </w:tc>
      </w:tr>
      <w:tr w:rsidR="003F24A1" w:rsidRPr="003F24A1" w:rsidTr="004B3C2F">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 xml:space="preserve">Canadá </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1.5</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1.0</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6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4.2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5.4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-12.9</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2.2</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2.4</w:t>
            </w:r>
          </w:p>
        </w:tc>
      </w:tr>
      <w:tr w:rsidR="003F24A1" w:rsidRPr="003F24A1" w:rsidTr="004B3C2F">
        <w:trPr>
          <w:trHeight w:val="1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Chile</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4.6</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4.5</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6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8.9</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9.5</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-2.0</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-8.1</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4.3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4.8</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República Checa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0.1</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0.1</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-0.1</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-0.5</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-1.5</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-4.3</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-2.1</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0.6</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1.1</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Dinamarca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0.3</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-0.1</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-0.3</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-0.7</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-3.7</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-7.8</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0.8</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Estonia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-0.5</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-1.3</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-0.4</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-1.8</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-5.1</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-8.4</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0.8</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1.0</w:t>
            </w:r>
          </w:p>
        </w:tc>
      </w:tr>
      <w:tr w:rsidR="003F24A1" w:rsidRPr="003F24A1" w:rsidTr="004B3C2F">
        <w:trPr>
          <w:trHeight w:val="19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Finlandia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0.5</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-0.2</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0.6</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-0.1</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-1.0</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-10.2</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0.7</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1.0</w:t>
            </w:r>
          </w:p>
        </w:tc>
      </w:tr>
      <w:tr w:rsidR="003F24A1" w:rsidRPr="003F24A1" w:rsidTr="004B3C2F">
        <w:trPr>
          <w:trHeight w:val="22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Francia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0.1</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-0.4</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-0.4</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-0.6</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-4.4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-6.7</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0.8</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0.9</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Alemania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0.2</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-0.4</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-0.6</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-1.0</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-6.6</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-8.9</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1.0</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Grecia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-2.6</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-2.8</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-2.5</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-2.8</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-0.5</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-10.4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-13.8</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-1.4</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-1.1</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Hungría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-0.9</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-1.5</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-0.8</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-1.4</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-1.0</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-1.2</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-7.7</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-11.0</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1.3</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Islandia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0.8</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-0.4</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-0.1</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-1.0</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1.3</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-4.6</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-8.1</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1.7</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1.6</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Irlanda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-0.3</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-0.6</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-0.3</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-0.4</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-2.6</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-2.4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-5.5</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-10.5</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0.8</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1.0</w:t>
            </w:r>
          </w:p>
        </w:tc>
      </w:tr>
      <w:tr w:rsidR="003F24A1" w:rsidRPr="003F24A1" w:rsidTr="004B3C2F">
        <w:trPr>
          <w:trHeigh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Israel</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-0.2</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-0.5</w:t>
            </w:r>
          </w:p>
        </w:tc>
        <w:tc>
          <w:tcPr>
            <w:tcW w:w="891"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81"/>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1166"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-4.5</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-4.1</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-3.8</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-8.8</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2.7</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Italia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0.0</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-0.6</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0.1</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-9.2</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0.4</w:t>
            </w:r>
          </w:p>
        </w:tc>
      </w:tr>
      <w:tr w:rsidR="003F24A1" w:rsidRPr="003F24A1" w:rsidTr="004B3C2F">
        <w:trPr>
          <w:trHeigh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Japón</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2.4</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2.4</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6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3.2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4.6</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2.8</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-0.3</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2.1</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2.2</w:t>
            </w:r>
          </w:p>
        </w:tc>
      </w:tr>
      <w:tr w:rsidR="003F24A1" w:rsidRPr="003F24A1" w:rsidTr="004B3C2F">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Corea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0.8</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67"/>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59"/>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2.0</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1.9</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-5.1</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-12.2</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1.4</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2.3</w:t>
            </w:r>
          </w:p>
        </w:tc>
      </w:tr>
      <w:tr w:rsidR="003F24A1" w:rsidRPr="003F24A1" w:rsidTr="004B3C2F">
        <w:trPr>
          <w:trHeight w:val="1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Luxemburgo</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-0.6</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-0.4</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-0.9</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-1.1</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-1.1</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-0.6</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-10.7</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-12.7</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1.0</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1.6</w:t>
            </w:r>
          </w:p>
        </w:tc>
      </w:tr>
      <w:tr w:rsidR="003F24A1" w:rsidRPr="003F24A1" w:rsidTr="004B3C2F">
        <w:trPr>
          <w:trHeight w:val="189"/>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México</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4.1</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3.1</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81"/>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87"/>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6.6</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5.4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4.2</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3.1</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2.3</w:t>
            </w:r>
          </w:p>
        </w:tc>
      </w:tr>
      <w:tr w:rsidR="003F24A1" w:rsidRPr="003F24A1" w:rsidTr="004B3C2F">
        <w:trPr>
          <w:trHeight w:val="252"/>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Países Bajos</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0.7</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0.0</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-0.7</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0.0</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-0.6</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-4.6</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-7.4</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1.5</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1.2</w:t>
            </w:r>
          </w:p>
        </w:tc>
      </w:tr>
      <w:tr w:rsidR="003F24A1" w:rsidRPr="003F24A1" w:rsidTr="004B3C2F">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Nueva Zelanda</w:t>
            </w:r>
            <w:r w:rsidRPr="003F24A1">
              <w:rPr>
                <w:sz w:val="18"/>
                <w:szCs w:val="18"/>
                <w:u w:val="single"/>
                <w:vertAlign w:val="superscript"/>
              </w:rPr>
              <w:t>1</w:t>
            </w:r>
            <w:r w:rsidRPr="003F24A1">
              <w:rPr>
                <w:sz w:val="18"/>
                <w:szCs w:val="18"/>
                <w:vertAlign w:val="superscript"/>
              </w:rPr>
              <w:t>/</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0.8</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39"/>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3262" w:right="187"/>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0.1</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0.1</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0.0</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0.0</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0.0</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0.0</w:t>
            </w:r>
          </w:p>
        </w:tc>
      </w:tr>
      <w:tr w:rsidR="003F24A1" w:rsidRPr="003F24A1" w:rsidTr="004B3C2F">
        <w:trPr>
          <w:trHeight w:val="169"/>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Noruega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2.1</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2.0</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2.0</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1.9</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2.4</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2.4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-3.0</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-2.6</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3.1</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2.1</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Polonia</w:t>
            </w:r>
          </w:p>
        </w:tc>
        <w:tc>
          <w:tcPr>
            <w:tcW w:w="82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1875" w:right="186"/>
              <w:jc w:val="right"/>
              <w:rPr>
                <w:sz w:val="20"/>
                <w:szCs w:val="20"/>
              </w:rPr>
            </w:pPr>
            <w:r w:rsidRPr="003F24A1">
              <w:rPr>
                <w:sz w:val="20"/>
                <w:szCs w:val="20"/>
              </w:rPr>
              <w:t>-0.9</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144"/>
              <w:jc w:val="right"/>
              <w:rPr>
                <w:sz w:val="20"/>
                <w:szCs w:val="20"/>
              </w:rPr>
            </w:pPr>
            <w:r w:rsidRPr="003F24A1">
              <w:rPr>
                <w:sz w:val="20"/>
                <w:szCs w:val="20"/>
              </w:rPr>
              <w:t>N.D.</w:t>
            </w:r>
          </w:p>
        </w:tc>
        <w:tc>
          <w:tcPr>
            <w:tcW w:w="891"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51"/>
              <w:jc w:val="right"/>
              <w:rPr>
                <w:sz w:val="20"/>
                <w:szCs w:val="20"/>
              </w:rPr>
            </w:pPr>
            <w:r w:rsidRPr="003F24A1">
              <w:rPr>
                <w:sz w:val="20"/>
                <w:szCs w:val="20"/>
              </w:rPr>
              <w:t>-0.6</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-1.0</w:t>
            </w:r>
          </w:p>
        </w:tc>
        <w:tc>
          <w:tcPr>
            <w:tcW w:w="881"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223" w:right="200"/>
              <w:jc w:val="right"/>
              <w:rPr>
                <w:sz w:val="20"/>
                <w:szCs w:val="20"/>
              </w:rPr>
            </w:pPr>
            <w:r w:rsidRPr="003F24A1">
              <w:rPr>
                <w:sz w:val="20"/>
                <w:szCs w:val="20"/>
              </w:rPr>
              <w:t>-3.2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144"/>
              <w:jc w:val="right"/>
              <w:rPr>
                <w:sz w:val="20"/>
                <w:szCs w:val="20"/>
              </w:rPr>
            </w:pPr>
            <w:r w:rsidRPr="003F24A1">
              <w:rPr>
                <w:sz w:val="20"/>
                <w:szCs w:val="20"/>
              </w:rPr>
              <w:t>N.D.</w:t>
            </w:r>
          </w:p>
        </w:tc>
        <w:tc>
          <w:tcPr>
            <w:tcW w:w="798"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440" w:right="172"/>
              <w:jc w:val="right"/>
              <w:rPr>
                <w:sz w:val="20"/>
                <w:szCs w:val="20"/>
              </w:rPr>
            </w:pPr>
            <w:r w:rsidRPr="003F24A1">
              <w:rPr>
                <w:sz w:val="20"/>
                <w:szCs w:val="20"/>
              </w:rPr>
              <w:t>-2.9</w:t>
            </w:r>
          </w:p>
        </w:tc>
        <w:tc>
          <w:tcPr>
            <w:tcW w:w="784"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1537" w:right="88"/>
              <w:jc w:val="right"/>
              <w:rPr>
                <w:sz w:val="20"/>
                <w:szCs w:val="20"/>
              </w:rPr>
            </w:pPr>
            <w:r w:rsidRPr="003F24A1">
              <w:rPr>
                <w:sz w:val="20"/>
                <w:szCs w:val="20"/>
              </w:rPr>
              <w:t>N.D.</w:t>
            </w:r>
          </w:p>
        </w:tc>
        <w:tc>
          <w:tcPr>
            <w:tcW w:w="766" w:type="dxa"/>
            <w:gridSpan w:val="2"/>
            <w:tcBorders>
              <w:top w:val="nil"/>
              <w:left w:val="nil"/>
              <w:bottom w:val="single" w:sz="4" w:space="0" w:color="auto"/>
              <w:right w:val="single" w:sz="4" w:space="0" w:color="auto"/>
            </w:tcBorders>
            <w:shd w:val="clear" w:color="auto" w:fill="auto"/>
            <w:noWrap/>
          </w:tcPr>
          <w:p w:rsidR="003F24A1" w:rsidRPr="003F24A1" w:rsidRDefault="003F24A1" w:rsidP="003F24A1">
            <w:pPr>
              <w:ind w:left="-1754" w:right="140"/>
              <w:jc w:val="right"/>
              <w:rPr>
                <w:sz w:val="20"/>
                <w:szCs w:val="20"/>
              </w:rPr>
            </w:pPr>
            <w:r w:rsidRPr="003F24A1">
              <w:rPr>
                <w:sz w:val="20"/>
                <w:szCs w:val="20"/>
              </w:rPr>
              <w:t>0.9</w:t>
            </w:r>
          </w:p>
        </w:tc>
        <w:tc>
          <w:tcPr>
            <w:tcW w:w="779"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520" w:right="121"/>
              <w:jc w:val="right"/>
              <w:rPr>
                <w:sz w:val="20"/>
                <w:szCs w:val="20"/>
              </w:rPr>
            </w:pPr>
            <w:r w:rsidRPr="003F24A1">
              <w:rPr>
                <w:sz w:val="20"/>
                <w:szCs w:val="20"/>
              </w:rPr>
              <w:t>N.D.</w:t>
            </w:r>
          </w:p>
        </w:tc>
      </w:tr>
      <w:tr w:rsidR="003F24A1" w:rsidRPr="003F24A1" w:rsidTr="004B3C2F">
        <w:trPr>
          <w:trHeight w:hRule="exact" w:val="216"/>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Portugal</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-0.4</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-0.4</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-0.3</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-0.4</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-0.4</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-0.2</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-6.3</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-8.3</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0.5</w:t>
            </w:r>
          </w:p>
        </w:tc>
      </w:tr>
      <w:tr w:rsidR="003F24A1" w:rsidRPr="003F24A1" w:rsidTr="004B3C2F">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ind w:right="-173"/>
              <w:rPr>
                <w:sz w:val="18"/>
                <w:szCs w:val="18"/>
              </w:rPr>
            </w:pPr>
            <w:r w:rsidRPr="003F24A1">
              <w:rPr>
                <w:sz w:val="18"/>
                <w:szCs w:val="18"/>
              </w:rPr>
              <w:t>República Eslovaca</w:t>
            </w:r>
          </w:p>
          <w:p w:rsidR="003F24A1" w:rsidRPr="003F24A1" w:rsidRDefault="003F24A1" w:rsidP="003F24A1">
            <w:pPr>
              <w:spacing w:line="240" w:lineRule="atLeast"/>
              <w:ind w:right="-173"/>
              <w:rPr>
                <w:sz w:val="18"/>
                <w:szCs w:val="18"/>
              </w:rPr>
            </w:pP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-0.1</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-0.4</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-0.7</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-1.9</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-1.6</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-3.1</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0.5</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0.9</w:t>
            </w:r>
          </w:p>
        </w:tc>
      </w:tr>
      <w:tr w:rsidR="003F24A1" w:rsidRPr="003F24A1" w:rsidTr="004B3C2F">
        <w:trPr>
          <w:trHeight w:hRule="exact" w:val="27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Eslovenia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0.2</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-0.5</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-0.7</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-1.3</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-4.1</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-7.3</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1.3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1.1</w:t>
            </w:r>
          </w:p>
        </w:tc>
      </w:tr>
      <w:tr w:rsidR="003F24A1" w:rsidRPr="003F24A1" w:rsidTr="004B3C2F">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España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-1.0</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-1.3</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-1.1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-1.5</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-0.3</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-0.4</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-8.5</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-11.4</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0.1</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0.2</w:t>
            </w:r>
          </w:p>
        </w:tc>
      </w:tr>
      <w:tr w:rsidR="003F24A1" w:rsidRPr="003F24A1" w:rsidTr="004B3C2F">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Suecia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-0.3</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-0.2</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0.3</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0.4</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1.5</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1.5</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-5.4</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-4.7</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0.9</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1.0</w:t>
            </w:r>
          </w:p>
        </w:tc>
      </w:tr>
      <w:tr w:rsidR="003F24A1" w:rsidRPr="003F24A1" w:rsidTr="004B3C2F">
        <w:trPr>
          <w:trHeight w:val="53"/>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Suiza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-0.3</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-0.5</w:t>
            </w:r>
          </w:p>
        </w:tc>
        <w:tc>
          <w:tcPr>
            <w:tcW w:w="891"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51"/>
              <w:jc w:val="right"/>
              <w:rPr>
                <w:sz w:val="20"/>
                <w:szCs w:val="20"/>
              </w:rPr>
            </w:pPr>
            <w:r w:rsidRPr="003F24A1">
              <w:rPr>
                <w:sz w:val="20"/>
                <w:szCs w:val="20"/>
              </w:rPr>
              <w:t>-0.1</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-0.1</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0.2</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0.3</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-7.2</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-10.4</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0.2</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0.2</w:t>
            </w:r>
          </w:p>
        </w:tc>
      </w:tr>
      <w:tr w:rsidR="003F24A1" w:rsidRPr="003F24A1" w:rsidTr="004B3C2F">
        <w:trPr>
          <w:trHeight w:val="15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Turquía</w:t>
            </w:r>
          </w:p>
        </w:tc>
        <w:tc>
          <w:tcPr>
            <w:tcW w:w="820" w:type="dxa"/>
            <w:tcBorders>
              <w:top w:val="nil"/>
              <w:left w:val="nil"/>
              <w:bottom w:val="single" w:sz="4" w:space="0" w:color="auto"/>
              <w:right w:val="single" w:sz="4" w:space="0" w:color="auto"/>
            </w:tcBorders>
            <w:shd w:val="clear" w:color="auto" w:fill="auto"/>
          </w:tcPr>
          <w:p w:rsidR="003F24A1" w:rsidRPr="003F24A1" w:rsidRDefault="003F24A1" w:rsidP="003F24A1">
            <w:pPr>
              <w:ind w:left="-1875" w:right="186"/>
              <w:jc w:val="right"/>
              <w:rPr>
                <w:sz w:val="20"/>
                <w:szCs w:val="20"/>
              </w:rPr>
            </w:pPr>
            <w:r w:rsidRPr="003F24A1">
              <w:rPr>
                <w:sz w:val="20"/>
                <w:szCs w:val="20"/>
              </w:rPr>
              <w:t>8.2</w:t>
            </w:r>
          </w:p>
        </w:tc>
        <w:tc>
          <w:tcPr>
            <w:tcW w:w="840"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852" w:right="228"/>
              <w:jc w:val="right"/>
              <w:rPr>
                <w:sz w:val="20"/>
                <w:szCs w:val="20"/>
              </w:rPr>
            </w:pPr>
            <w:r w:rsidRPr="003F24A1">
              <w:rPr>
                <w:sz w:val="20"/>
                <w:szCs w:val="20"/>
              </w:rPr>
              <w:t>7.2</w:t>
            </w:r>
          </w:p>
        </w:tc>
        <w:tc>
          <w:tcPr>
            <w:tcW w:w="891" w:type="dxa"/>
            <w:tcBorders>
              <w:top w:val="nil"/>
              <w:left w:val="nil"/>
              <w:bottom w:val="single" w:sz="4" w:space="0" w:color="auto"/>
              <w:right w:val="single" w:sz="4" w:space="0" w:color="auto"/>
            </w:tcBorders>
            <w:shd w:val="clear" w:color="auto" w:fill="auto"/>
          </w:tcPr>
          <w:p w:rsidR="003F24A1" w:rsidRPr="003F24A1" w:rsidRDefault="003F24A1" w:rsidP="003F24A1">
            <w:pPr>
              <w:ind w:right="251"/>
              <w:jc w:val="right"/>
              <w:rPr>
                <w:sz w:val="20"/>
                <w:szCs w:val="20"/>
              </w:rPr>
            </w:pPr>
            <w:r w:rsidRPr="003F24A1">
              <w:rPr>
                <w:sz w:val="20"/>
                <w:szCs w:val="20"/>
              </w:rPr>
              <w:t>8.2</w:t>
            </w:r>
          </w:p>
        </w:tc>
        <w:tc>
          <w:tcPr>
            <w:tcW w:w="915" w:type="dxa"/>
            <w:tcBorders>
              <w:top w:val="nil"/>
              <w:left w:val="nil"/>
              <w:bottom w:val="single" w:sz="4" w:space="0" w:color="auto"/>
              <w:right w:val="single" w:sz="4" w:space="0" w:color="auto"/>
            </w:tcBorders>
            <w:shd w:val="clear" w:color="auto" w:fill="auto"/>
            <w:noWrap/>
          </w:tcPr>
          <w:p w:rsidR="003F24A1" w:rsidRPr="003F24A1" w:rsidRDefault="003F24A1" w:rsidP="003F24A1">
            <w:pPr>
              <w:ind w:right="243"/>
              <w:jc w:val="right"/>
              <w:rPr>
                <w:sz w:val="20"/>
                <w:szCs w:val="20"/>
              </w:rPr>
            </w:pPr>
            <w:r w:rsidRPr="003F24A1">
              <w:rPr>
                <w:sz w:val="20"/>
                <w:szCs w:val="20"/>
              </w:rPr>
              <w:t>7.2</w:t>
            </w:r>
          </w:p>
        </w:tc>
        <w:tc>
          <w:tcPr>
            <w:tcW w:w="881" w:type="dxa"/>
            <w:tcBorders>
              <w:top w:val="nil"/>
              <w:left w:val="nil"/>
              <w:bottom w:val="single" w:sz="4" w:space="0" w:color="auto"/>
              <w:right w:val="single" w:sz="4" w:space="0" w:color="auto"/>
            </w:tcBorders>
            <w:shd w:val="clear" w:color="auto" w:fill="auto"/>
          </w:tcPr>
          <w:p w:rsidR="003F24A1" w:rsidRPr="003F24A1" w:rsidRDefault="003F24A1" w:rsidP="003F24A1">
            <w:pPr>
              <w:ind w:left="-2223" w:right="200"/>
              <w:jc w:val="right"/>
              <w:rPr>
                <w:sz w:val="20"/>
                <w:szCs w:val="20"/>
              </w:rPr>
            </w:pPr>
            <w:r w:rsidRPr="003F24A1">
              <w:rPr>
                <w:sz w:val="20"/>
                <w:szCs w:val="20"/>
              </w:rPr>
              <w:t>12.7</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11.0</w:t>
            </w:r>
          </w:p>
        </w:tc>
        <w:tc>
          <w:tcPr>
            <w:tcW w:w="798" w:type="dxa"/>
            <w:tcBorders>
              <w:top w:val="nil"/>
              <w:left w:val="nil"/>
              <w:bottom w:val="single" w:sz="4" w:space="0" w:color="auto"/>
              <w:right w:val="single" w:sz="4" w:space="0" w:color="auto"/>
            </w:tcBorders>
            <w:shd w:val="clear" w:color="auto" w:fill="auto"/>
          </w:tcPr>
          <w:p w:rsidR="003F24A1" w:rsidRPr="003F24A1" w:rsidRDefault="003F24A1" w:rsidP="003F24A1">
            <w:pPr>
              <w:ind w:left="-2440" w:right="172"/>
              <w:jc w:val="right"/>
              <w:rPr>
                <w:sz w:val="20"/>
                <w:szCs w:val="20"/>
              </w:rPr>
            </w:pPr>
            <w:r w:rsidRPr="003F24A1">
              <w:rPr>
                <w:sz w:val="20"/>
                <w:szCs w:val="20"/>
              </w:rPr>
              <w:t>-3.8</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-6.8</w:t>
            </w:r>
          </w:p>
        </w:tc>
        <w:tc>
          <w:tcPr>
            <w:tcW w:w="766" w:type="dxa"/>
            <w:gridSpan w:val="2"/>
            <w:tcBorders>
              <w:top w:val="nil"/>
              <w:left w:val="nil"/>
              <w:bottom w:val="single" w:sz="4" w:space="0" w:color="auto"/>
              <w:right w:val="single" w:sz="4" w:space="0" w:color="auto"/>
            </w:tcBorders>
            <w:shd w:val="clear" w:color="auto" w:fill="auto"/>
          </w:tcPr>
          <w:p w:rsidR="003F24A1" w:rsidRPr="003F24A1" w:rsidRDefault="003F24A1" w:rsidP="003F24A1">
            <w:pPr>
              <w:ind w:left="-1754" w:right="140"/>
              <w:jc w:val="right"/>
              <w:rPr>
                <w:sz w:val="20"/>
                <w:szCs w:val="20"/>
              </w:rPr>
            </w:pPr>
            <w:r w:rsidRPr="003F24A1">
              <w:rPr>
                <w:sz w:val="20"/>
                <w:szCs w:val="20"/>
              </w:rPr>
              <w:t>8.7</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8.5</w:t>
            </w:r>
          </w:p>
        </w:tc>
      </w:tr>
      <w:tr w:rsidR="003F24A1" w:rsidRPr="003F24A1" w:rsidTr="004B3C2F">
        <w:trPr>
          <w:trHeight w:val="15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spacing w:line="240" w:lineRule="atLeast"/>
              <w:rPr>
                <w:sz w:val="18"/>
                <w:szCs w:val="18"/>
              </w:rPr>
            </w:pPr>
            <w:r w:rsidRPr="003F24A1">
              <w:rPr>
                <w:sz w:val="18"/>
                <w:szCs w:val="18"/>
              </w:rPr>
              <w:t>Reino Unido</w:t>
            </w:r>
          </w:p>
        </w:tc>
        <w:tc>
          <w:tcPr>
            <w:tcW w:w="8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75" w:right="186"/>
              <w:jc w:val="right"/>
              <w:rPr>
                <w:sz w:val="20"/>
                <w:szCs w:val="20"/>
              </w:rPr>
            </w:pPr>
            <w:r w:rsidRPr="003F24A1">
              <w:rPr>
                <w:sz w:val="20"/>
                <w:szCs w:val="20"/>
              </w:rPr>
              <w:t>0.5</w:t>
            </w:r>
          </w:p>
        </w:tc>
        <w:tc>
          <w:tcPr>
            <w:tcW w:w="84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852" w:right="228"/>
              <w:jc w:val="right"/>
              <w:rPr>
                <w:sz w:val="20"/>
                <w:szCs w:val="20"/>
              </w:rPr>
            </w:pPr>
            <w:r w:rsidRPr="003F24A1">
              <w:rPr>
                <w:sz w:val="20"/>
                <w:szCs w:val="20"/>
              </w:rPr>
              <w:t>0.3</w:t>
            </w:r>
          </w:p>
        </w:tc>
        <w:tc>
          <w:tcPr>
            <w:tcW w:w="89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right="251"/>
              <w:jc w:val="right"/>
              <w:rPr>
                <w:sz w:val="20"/>
                <w:szCs w:val="20"/>
              </w:rPr>
            </w:pPr>
            <w:r w:rsidRPr="003F24A1">
              <w:rPr>
                <w:sz w:val="20"/>
                <w:szCs w:val="20"/>
              </w:rPr>
              <w:t>0.5</w:t>
            </w:r>
          </w:p>
        </w:tc>
        <w:tc>
          <w:tcPr>
            <w:tcW w:w="915"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2725" w:right="243"/>
              <w:jc w:val="right"/>
              <w:rPr>
                <w:sz w:val="20"/>
                <w:szCs w:val="20"/>
              </w:rPr>
            </w:pPr>
            <w:r w:rsidRPr="003F24A1">
              <w:rPr>
                <w:sz w:val="20"/>
                <w:szCs w:val="20"/>
              </w:rPr>
              <w:t>0.3</w:t>
            </w:r>
          </w:p>
        </w:tc>
        <w:tc>
          <w:tcPr>
            <w:tcW w:w="88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23" w:right="200"/>
              <w:jc w:val="right"/>
              <w:rPr>
                <w:sz w:val="20"/>
                <w:szCs w:val="20"/>
              </w:rPr>
            </w:pPr>
            <w:r w:rsidRPr="003F24A1">
              <w:rPr>
                <w:sz w:val="20"/>
                <w:szCs w:val="20"/>
              </w:rPr>
              <w:t>-1.7</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-2.5</w:t>
            </w:r>
          </w:p>
        </w:tc>
        <w:tc>
          <w:tcPr>
            <w:tcW w:w="79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440" w:right="172"/>
              <w:jc w:val="right"/>
              <w:rPr>
                <w:sz w:val="20"/>
                <w:szCs w:val="20"/>
              </w:rPr>
            </w:pPr>
            <w:r w:rsidRPr="003F24A1">
              <w:rPr>
                <w:sz w:val="20"/>
                <w:szCs w:val="20"/>
              </w:rPr>
              <w:t>-5.8</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-8.4</w:t>
            </w:r>
          </w:p>
        </w:tc>
        <w:tc>
          <w:tcPr>
            <w:tcW w:w="766"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754" w:right="140"/>
              <w:jc w:val="right"/>
              <w:rPr>
                <w:sz w:val="20"/>
                <w:szCs w:val="20"/>
              </w:rPr>
            </w:pPr>
            <w:r w:rsidRPr="003F24A1">
              <w:rPr>
                <w:sz w:val="20"/>
                <w:szCs w:val="20"/>
              </w:rPr>
              <w:t>1.3</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1.4</w:t>
            </w:r>
          </w:p>
        </w:tc>
      </w:tr>
      <w:tr w:rsidR="003F24A1" w:rsidRPr="003F24A1" w:rsidTr="004B3C2F">
        <w:trPr>
          <w:trHeight w:val="26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8"/>
                <w:szCs w:val="18"/>
              </w:rPr>
            </w:pPr>
            <w:r w:rsidRPr="003F24A1">
              <w:rPr>
                <w:sz w:val="18"/>
                <w:szCs w:val="18"/>
              </w:rPr>
              <w:t>Estados Unidos de Norteamérica</w:t>
            </w:r>
          </w:p>
        </w:tc>
        <w:tc>
          <w:tcPr>
            <w:tcW w:w="8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75" w:right="186"/>
              <w:jc w:val="right"/>
              <w:rPr>
                <w:sz w:val="20"/>
                <w:szCs w:val="20"/>
              </w:rPr>
            </w:pPr>
            <w:r w:rsidRPr="003F24A1">
              <w:rPr>
                <w:sz w:val="20"/>
                <w:szCs w:val="20"/>
              </w:rPr>
              <w:t>0.8</w:t>
            </w:r>
          </w:p>
        </w:tc>
        <w:tc>
          <w:tcPr>
            <w:tcW w:w="840"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852" w:right="228"/>
              <w:jc w:val="right"/>
              <w:rPr>
                <w:sz w:val="20"/>
                <w:szCs w:val="20"/>
              </w:rPr>
            </w:pPr>
            <w:r w:rsidRPr="003F24A1">
              <w:rPr>
                <w:sz w:val="20"/>
                <w:szCs w:val="20"/>
              </w:rPr>
              <w:t>-0.1</w:t>
            </w:r>
          </w:p>
        </w:tc>
        <w:tc>
          <w:tcPr>
            <w:tcW w:w="891"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2725" w:right="153"/>
              <w:jc w:val="right"/>
              <w:rPr>
                <w:sz w:val="20"/>
                <w:szCs w:val="20"/>
              </w:rPr>
            </w:pPr>
            <w:r w:rsidRPr="003F24A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3F24A1" w:rsidRPr="003F24A1" w:rsidRDefault="003F24A1" w:rsidP="003F24A1">
            <w:pPr>
              <w:ind w:left="-3262" w:right="153"/>
              <w:jc w:val="right"/>
              <w:rPr>
                <w:sz w:val="20"/>
                <w:szCs w:val="20"/>
              </w:rPr>
            </w:pPr>
            <w:r w:rsidRPr="003F24A1">
              <w:rPr>
                <w:sz w:val="20"/>
                <w:szCs w:val="20"/>
              </w:rPr>
              <w:t>N.D.</w:t>
            </w:r>
          </w:p>
        </w:tc>
        <w:tc>
          <w:tcPr>
            <w:tcW w:w="881"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23" w:right="200"/>
              <w:jc w:val="right"/>
              <w:rPr>
                <w:sz w:val="20"/>
                <w:szCs w:val="20"/>
              </w:rPr>
            </w:pPr>
            <w:r w:rsidRPr="003F24A1">
              <w:rPr>
                <w:sz w:val="20"/>
                <w:szCs w:val="20"/>
              </w:rPr>
              <w:t>3.7</w:t>
            </w:r>
          </w:p>
        </w:tc>
        <w:tc>
          <w:tcPr>
            <w:tcW w:w="896" w:type="dxa"/>
            <w:tcBorders>
              <w:top w:val="nil"/>
              <w:left w:val="nil"/>
              <w:bottom w:val="single" w:sz="4" w:space="0" w:color="auto"/>
              <w:right w:val="single" w:sz="4" w:space="0" w:color="auto"/>
            </w:tcBorders>
            <w:shd w:val="clear" w:color="auto" w:fill="auto"/>
            <w:noWrap/>
          </w:tcPr>
          <w:p w:rsidR="003F24A1" w:rsidRPr="003F24A1" w:rsidRDefault="003F24A1" w:rsidP="003F24A1">
            <w:pPr>
              <w:ind w:left="-2111" w:right="200"/>
              <w:jc w:val="right"/>
              <w:rPr>
                <w:sz w:val="20"/>
                <w:szCs w:val="20"/>
              </w:rPr>
            </w:pPr>
            <w:r w:rsidRPr="003F24A1">
              <w:rPr>
                <w:sz w:val="20"/>
                <w:szCs w:val="20"/>
              </w:rPr>
              <w:t>3.3</w:t>
            </w:r>
          </w:p>
        </w:tc>
        <w:tc>
          <w:tcPr>
            <w:tcW w:w="79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440" w:right="172"/>
              <w:jc w:val="right"/>
              <w:rPr>
                <w:sz w:val="20"/>
                <w:szCs w:val="20"/>
              </w:rPr>
            </w:pPr>
            <w:r w:rsidRPr="003F24A1">
              <w:rPr>
                <w:sz w:val="20"/>
                <w:szCs w:val="20"/>
              </w:rPr>
              <w:t>-10.6</w:t>
            </w:r>
          </w:p>
        </w:tc>
        <w:tc>
          <w:tcPr>
            <w:tcW w:w="784" w:type="dxa"/>
            <w:tcBorders>
              <w:top w:val="nil"/>
              <w:left w:val="nil"/>
              <w:bottom w:val="single" w:sz="4" w:space="0" w:color="auto"/>
              <w:right w:val="single" w:sz="4" w:space="0" w:color="auto"/>
            </w:tcBorders>
            <w:shd w:val="clear" w:color="auto" w:fill="auto"/>
          </w:tcPr>
          <w:p w:rsidR="003F24A1" w:rsidRPr="003F24A1" w:rsidRDefault="003F24A1" w:rsidP="003F24A1">
            <w:pPr>
              <w:ind w:left="-1537" w:right="158"/>
              <w:jc w:val="right"/>
              <w:rPr>
                <w:sz w:val="20"/>
                <w:szCs w:val="20"/>
              </w:rPr>
            </w:pPr>
            <w:r w:rsidRPr="003F24A1">
              <w:rPr>
                <w:sz w:val="20"/>
                <w:szCs w:val="20"/>
              </w:rPr>
              <w:t>-19.6</w:t>
            </w:r>
          </w:p>
        </w:tc>
        <w:tc>
          <w:tcPr>
            <w:tcW w:w="766"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754" w:right="140"/>
              <w:jc w:val="right"/>
              <w:rPr>
                <w:sz w:val="20"/>
                <w:szCs w:val="20"/>
              </w:rPr>
            </w:pPr>
            <w:r w:rsidRPr="003F24A1">
              <w:rPr>
                <w:sz w:val="20"/>
                <w:szCs w:val="20"/>
              </w:rPr>
              <w:t>1.6</w:t>
            </w:r>
          </w:p>
        </w:tc>
        <w:tc>
          <w:tcPr>
            <w:tcW w:w="779" w:type="dxa"/>
            <w:tcBorders>
              <w:top w:val="nil"/>
              <w:left w:val="nil"/>
              <w:bottom w:val="single" w:sz="4" w:space="0" w:color="auto"/>
              <w:right w:val="single" w:sz="4" w:space="0" w:color="auto"/>
            </w:tcBorders>
            <w:shd w:val="clear" w:color="auto" w:fill="auto"/>
          </w:tcPr>
          <w:p w:rsidR="003F24A1" w:rsidRPr="003F24A1" w:rsidRDefault="003F24A1" w:rsidP="003F24A1">
            <w:pPr>
              <w:ind w:left="-2520" w:right="191"/>
              <w:jc w:val="right"/>
              <w:rPr>
                <w:sz w:val="20"/>
                <w:szCs w:val="20"/>
              </w:rPr>
            </w:pPr>
            <w:r w:rsidRPr="003F24A1">
              <w:rPr>
                <w:sz w:val="20"/>
                <w:szCs w:val="20"/>
              </w:rPr>
              <w:t>1.6</w:t>
            </w:r>
          </w:p>
        </w:tc>
      </w:tr>
    </w:tbl>
    <w:bookmarkEnd w:id="0"/>
    <w:p w:rsidR="003F24A1" w:rsidRPr="003F24A1" w:rsidRDefault="003F24A1" w:rsidP="003F24A1">
      <w:pPr>
        <w:spacing w:before="120"/>
        <w:ind w:left="-322" w:right="-374" w:hanging="420"/>
        <w:jc w:val="both"/>
        <w:rPr>
          <w:color w:val="000000" w:themeColor="text1"/>
          <w:sz w:val="17"/>
          <w:szCs w:val="17"/>
        </w:rPr>
      </w:pPr>
      <w:r w:rsidRPr="003F24A1">
        <w:rPr>
          <w:color w:val="000000" w:themeColor="text1"/>
          <w:sz w:val="17"/>
          <w:szCs w:val="17"/>
        </w:rPr>
        <w:t xml:space="preserve">Nota: Para más información, véanse las notas metodológicas: </w:t>
      </w:r>
      <w:r w:rsidRPr="003F24A1">
        <w:rPr>
          <w:sz w:val="17"/>
          <w:szCs w:val="17"/>
        </w:rPr>
        <w:t>http://www.oecd.org/std/pricesandpurchasingpowerparitiesppp/</w:t>
      </w:r>
      <w:r w:rsidR="00F97F64" w:rsidRPr="003F24A1">
        <w:rPr>
          <w:sz w:val="17"/>
          <w:szCs w:val="17"/>
        </w:rPr>
        <w:t>47010757.pdf</w:t>
      </w:r>
      <w:r w:rsidR="00F97F64" w:rsidRPr="003F24A1">
        <w:rPr>
          <w:color w:val="000000" w:themeColor="text1"/>
          <w:sz w:val="17"/>
          <w:szCs w:val="17"/>
        </w:rPr>
        <w:t xml:space="preserve"> Todos</w:t>
      </w:r>
      <w:r w:rsidRPr="003F24A1">
        <w:rPr>
          <w:color w:val="000000" w:themeColor="text1"/>
          <w:sz w:val="17"/>
          <w:szCs w:val="17"/>
        </w:rPr>
        <w:t xml:space="preserve"> los datos del IPC están disponibles en: </w:t>
      </w:r>
      <w:hyperlink r:id="rId51" w:history="1">
        <w:r w:rsidRPr="003F24A1">
          <w:rPr>
            <w:color w:val="000000" w:themeColor="text1"/>
            <w:sz w:val="17"/>
            <w:szCs w:val="17"/>
            <w:u w:val="single"/>
          </w:rPr>
          <w:t>http://stats.oecd.org/Index.aspx?DataSetCode=MEI_PRICES</w:t>
        </w:r>
      </w:hyperlink>
      <w:r w:rsidRPr="003F24A1">
        <w:rPr>
          <w:color w:val="000000" w:themeColor="text1"/>
          <w:sz w:val="17"/>
          <w:szCs w:val="17"/>
          <w:u w:val="single"/>
        </w:rPr>
        <w:t xml:space="preserve"> </w:t>
      </w:r>
    </w:p>
    <w:p w:rsidR="003F24A1" w:rsidRPr="003F24A1" w:rsidRDefault="003F24A1" w:rsidP="003F24A1">
      <w:pPr>
        <w:ind w:left="755" w:right="-374" w:hanging="1553"/>
        <w:jc w:val="both"/>
        <w:rPr>
          <w:color w:val="000000" w:themeColor="text1"/>
          <w:sz w:val="17"/>
          <w:szCs w:val="17"/>
        </w:rPr>
      </w:pPr>
      <w:r w:rsidRPr="003F24A1">
        <w:rPr>
          <w:color w:val="000000" w:themeColor="text1"/>
          <w:sz w:val="17"/>
          <w:szCs w:val="17"/>
        </w:rPr>
        <w:t>IAPC: Índice Armonizado de Precios al Consumidor; IPC: Índice de Precios al Consumidor, N.D.: dato no disponible.</w:t>
      </w:r>
    </w:p>
    <w:p w:rsidR="003F24A1" w:rsidRPr="003F24A1" w:rsidRDefault="003F24A1" w:rsidP="003F24A1">
      <w:pPr>
        <w:tabs>
          <w:tab w:val="left" w:pos="149"/>
        </w:tabs>
        <w:ind w:left="-350" w:right="-1099" w:hanging="112"/>
        <w:jc w:val="both"/>
        <w:rPr>
          <w:color w:val="000000" w:themeColor="text1"/>
          <w:sz w:val="17"/>
          <w:szCs w:val="17"/>
          <w:u w:val="single"/>
        </w:rPr>
      </w:pPr>
      <w:r w:rsidRPr="003F24A1">
        <w:rPr>
          <w:color w:val="000000" w:themeColor="text1"/>
          <w:sz w:val="17"/>
          <w:szCs w:val="17"/>
          <w:u w:val="single"/>
          <w:vertAlign w:val="superscript"/>
        </w:rPr>
        <w:t>1</w:t>
      </w:r>
      <w:r w:rsidRPr="003F24A1">
        <w:rPr>
          <w:color w:val="000000" w:themeColor="text1"/>
          <w:sz w:val="17"/>
          <w:szCs w:val="17"/>
          <w:vertAlign w:val="superscript"/>
        </w:rPr>
        <w:t xml:space="preserve">/ </w:t>
      </w:r>
      <w:r w:rsidRPr="003F24A1">
        <w:rPr>
          <w:color w:val="000000" w:themeColor="text1"/>
          <w:sz w:val="17"/>
          <w:szCs w:val="17"/>
          <w:u w:val="single"/>
        </w:rPr>
        <w:t>Al mes de diciembre de 2014, le corresponde un cambio porcentual del cuarto trimestre del 2014 con respecto al cuarto trimestre del 2013. Mientras que a enero de 2014, le corresponde un cambio porcentual del cuarto trimestre de 2014 con respecto al cuarto trimestre de 2013.</w:t>
      </w:r>
    </w:p>
    <w:p w:rsidR="003F24A1" w:rsidRPr="003F24A1" w:rsidRDefault="003F24A1" w:rsidP="003F24A1">
      <w:pPr>
        <w:tabs>
          <w:tab w:val="left" w:pos="149"/>
        </w:tabs>
        <w:ind w:left="615" w:right="-232" w:hanging="1721"/>
        <w:jc w:val="both"/>
        <w:rPr>
          <w:b/>
          <w:sz w:val="26"/>
          <w:szCs w:val="26"/>
        </w:rPr>
      </w:pPr>
      <w:r w:rsidRPr="003F24A1">
        <w:rPr>
          <w:sz w:val="17"/>
          <w:szCs w:val="17"/>
        </w:rPr>
        <w:t xml:space="preserve">FUENTE: OCDE </w:t>
      </w:r>
      <w:proofErr w:type="spellStart"/>
      <w:r w:rsidRPr="003F24A1">
        <w:rPr>
          <w:sz w:val="17"/>
          <w:szCs w:val="17"/>
        </w:rPr>
        <w:t>Consumer</w:t>
      </w:r>
      <w:proofErr w:type="spellEnd"/>
      <w:r w:rsidRPr="003F24A1">
        <w:rPr>
          <w:sz w:val="17"/>
          <w:szCs w:val="17"/>
        </w:rPr>
        <w:t xml:space="preserve"> Price </w:t>
      </w:r>
      <w:proofErr w:type="spellStart"/>
      <w:r w:rsidRPr="003F24A1">
        <w:rPr>
          <w:sz w:val="17"/>
          <w:szCs w:val="17"/>
        </w:rPr>
        <w:t>Index</w:t>
      </w:r>
      <w:proofErr w:type="spellEnd"/>
      <w:r w:rsidRPr="003F24A1">
        <w:rPr>
          <w:sz w:val="17"/>
          <w:szCs w:val="17"/>
        </w:rPr>
        <w:t>.</w:t>
      </w:r>
    </w:p>
    <w:p w:rsidR="003F24A1" w:rsidRPr="003F24A1" w:rsidRDefault="003F24A1" w:rsidP="003F24A1">
      <w:pPr>
        <w:keepNext/>
        <w:tabs>
          <w:tab w:val="left" w:pos="0"/>
        </w:tabs>
        <w:spacing w:before="240" w:line="240" w:lineRule="atLeast"/>
        <w:ind w:right="23"/>
        <w:outlineLvl w:val="0"/>
        <w:rPr>
          <w:b/>
          <w:sz w:val="26"/>
          <w:szCs w:val="26"/>
          <w:lang w:val="es-MX"/>
        </w:rPr>
      </w:pPr>
      <w:r w:rsidRPr="003F24A1">
        <w:rPr>
          <w:b/>
          <w:sz w:val="26"/>
          <w:szCs w:val="26"/>
        </w:rPr>
        <w:br w:type="column"/>
      </w:r>
      <w:r w:rsidRPr="003F24A1">
        <w:rPr>
          <w:b/>
          <w:sz w:val="26"/>
          <w:szCs w:val="26"/>
        </w:rPr>
        <w:lastRenderedPageBreak/>
        <w:t xml:space="preserve">Nivel inflacionario en los países miembros del G7, </w:t>
      </w:r>
      <w:r w:rsidRPr="003F24A1">
        <w:rPr>
          <w:b/>
          <w:sz w:val="26"/>
          <w:szCs w:val="26"/>
          <w:lang w:val="es-MX"/>
        </w:rPr>
        <w:t>Área del Euro y Países no miembros de la OCDE</w:t>
      </w:r>
    </w:p>
    <w:p w:rsidR="003F24A1" w:rsidRPr="003F24A1" w:rsidRDefault="003F24A1" w:rsidP="00383791">
      <w:pPr>
        <w:spacing w:before="360" w:after="360" w:line="360" w:lineRule="auto"/>
        <w:ind w:left="56" w:hanging="8"/>
        <w:jc w:val="both"/>
        <w:rPr>
          <w:color w:val="000000" w:themeColor="text1"/>
          <w:sz w:val="25"/>
          <w:szCs w:val="25"/>
          <w:lang w:val="es-MX" w:eastAsia="es-MX"/>
        </w:rPr>
      </w:pPr>
      <w:r w:rsidRPr="003F24A1">
        <w:rPr>
          <w:color w:val="000000" w:themeColor="text1"/>
          <w:sz w:val="25"/>
          <w:szCs w:val="25"/>
          <w:lang w:val="es-MX" w:eastAsia="es-MX"/>
        </w:rPr>
        <w:t>En enero de 2015, del grupo de los siete Países más Industrializados del Mundo Canadá (1.0%), Francia (-0.4%), Alemania (-0.4%), Italia (-0.6%), Reino Unido (0.3%) y Estados Unidos de Norteamérica (-0.1%) registraron decrementos en su ritmo inflacionario y, en el caso de Alemania y Estados Unidos de Norteamérica, la variación interanual de la inflación resultó menor en 1.7 puntos porcentuales si se le confronta con el mismo mes de 2014. Mientras tanto, Japón (2.4%</w:t>
      </w:r>
      <w:r w:rsidR="00F97F64" w:rsidRPr="003F24A1">
        <w:rPr>
          <w:color w:val="000000" w:themeColor="text1"/>
          <w:sz w:val="25"/>
          <w:szCs w:val="25"/>
          <w:lang w:val="es-MX" w:eastAsia="es-MX"/>
        </w:rPr>
        <w:t>) presentó</w:t>
      </w:r>
      <w:r w:rsidRPr="003F24A1">
        <w:rPr>
          <w:color w:val="000000" w:themeColor="text1"/>
          <w:sz w:val="25"/>
          <w:szCs w:val="25"/>
          <w:lang w:val="es-MX" w:eastAsia="es-MX"/>
        </w:rPr>
        <w:t xml:space="preserve"> incremento de un punto porcentual, respecto al mismo mes del año anterior.</w:t>
      </w:r>
    </w:p>
    <w:p w:rsidR="003F24A1" w:rsidRPr="003F24A1" w:rsidRDefault="003F24A1" w:rsidP="00383791">
      <w:pPr>
        <w:spacing w:before="360" w:after="360" w:line="360" w:lineRule="auto"/>
        <w:jc w:val="both"/>
        <w:rPr>
          <w:color w:val="000000" w:themeColor="text1"/>
          <w:sz w:val="25"/>
          <w:szCs w:val="25"/>
          <w:lang w:val="es-MX" w:eastAsia="es-MX"/>
        </w:rPr>
      </w:pPr>
      <w:r w:rsidRPr="003F24A1">
        <w:rPr>
          <w:color w:val="000000" w:themeColor="text1"/>
          <w:sz w:val="25"/>
          <w:szCs w:val="25"/>
          <w:lang w:val="es-MX" w:eastAsia="es-MX"/>
        </w:rPr>
        <w:t>En cuanto al Índice Armonizado de Precios al Consumidor (IAPC) en el área del euro, éste fue de -0.6% en enero de 2015, lo que evidenció una disminución de 1.4 puntos porcentuales con relación al mismo mes del año anterior (0.8%).</w:t>
      </w:r>
    </w:p>
    <w:p w:rsidR="003F24A1" w:rsidRPr="003F24A1" w:rsidRDefault="003F24A1" w:rsidP="00383791">
      <w:pPr>
        <w:spacing w:before="360" w:after="360" w:line="360" w:lineRule="auto"/>
        <w:ind w:right="51"/>
        <w:jc w:val="both"/>
        <w:rPr>
          <w:color w:val="000000" w:themeColor="text1"/>
          <w:sz w:val="25"/>
          <w:szCs w:val="25"/>
          <w:lang w:val="es-MX" w:eastAsia="es-MX"/>
        </w:rPr>
      </w:pPr>
      <w:r w:rsidRPr="003F24A1">
        <w:rPr>
          <w:color w:val="000000" w:themeColor="text1"/>
          <w:sz w:val="25"/>
          <w:szCs w:val="25"/>
          <w:lang w:val="es-MX" w:eastAsia="es-MX"/>
        </w:rPr>
        <w:t>Asimismo, los precios interanuales en otros países no miembros de la OCDE tuvieron comportamientos diferenciados en enero de 2015 con respecto al mismo mes de un año antes. En lo que corresponde a Brasil (7.1%) y Federación Rusa (14.9%) presentaron un nivel mayor en 1.5 y 8.8 puntos porcentuales, respectivamente, dando como resultado una alta tasa en su ritmo inflacionario, mientras que China (0.8%), Indonesia (7.0%), Arabia Saudita (2.2%) y Sudáfrica (4.4%</w:t>
      </w:r>
      <w:r w:rsidR="00F97F64" w:rsidRPr="003F24A1">
        <w:rPr>
          <w:color w:val="000000" w:themeColor="text1"/>
          <w:sz w:val="25"/>
          <w:szCs w:val="25"/>
          <w:lang w:val="es-MX" w:eastAsia="es-MX"/>
        </w:rPr>
        <w:t>) registraron incrementos</w:t>
      </w:r>
      <w:r w:rsidRPr="003F24A1">
        <w:rPr>
          <w:color w:val="000000" w:themeColor="text1"/>
          <w:sz w:val="25"/>
          <w:szCs w:val="25"/>
          <w:lang w:val="es-MX" w:eastAsia="es-MX"/>
        </w:rPr>
        <w:t xml:space="preserve"> menores en su ritmo inflacionario, de entre 0.7 y 1.7 puntos porcentuales, mientras que India (7.2%) permaneció igual.</w:t>
      </w:r>
    </w:p>
    <w:p w:rsidR="003F24A1" w:rsidRPr="003F24A1" w:rsidRDefault="003F24A1" w:rsidP="00383791">
      <w:pPr>
        <w:spacing w:before="360" w:after="360" w:line="360" w:lineRule="auto"/>
        <w:jc w:val="both"/>
        <w:rPr>
          <w:color w:val="000000" w:themeColor="text1"/>
          <w:sz w:val="25"/>
          <w:szCs w:val="25"/>
          <w:lang w:val="es-MX" w:eastAsia="es-MX"/>
        </w:rPr>
      </w:pPr>
      <w:r w:rsidRPr="003F24A1">
        <w:rPr>
          <w:color w:val="000000" w:themeColor="text1"/>
          <w:sz w:val="25"/>
          <w:szCs w:val="25"/>
          <w:lang w:val="es-MX" w:eastAsia="es-MX"/>
        </w:rPr>
        <w:t xml:space="preserve">Respecto a los precios al consumidor, incluyendo todos los rubros, excepto Alimentos y Energía, comparados con el mismo mes del año anterior, se tiene que en 2015, los siete países tuvieron un comportamiento diferenciado, pues Canadá (2.4%), Francia (0.9%) y Japón (2.2%) presentaron un incremento mayor en su ritmo inflacionario, mientras que Alemania (1.0%), Italia (0.4%) y Reino Unido (1.4%) registraron incrementos menores en su ritmo inflacionario, en el mismo período, en tanto Estados Unidos de Norteamérica permaneció igual (1.6%). </w:t>
      </w:r>
    </w:p>
    <w:p w:rsidR="003F24A1" w:rsidRPr="003F24A1" w:rsidRDefault="003F24A1" w:rsidP="003F24A1">
      <w:pPr>
        <w:spacing w:line="360" w:lineRule="auto"/>
        <w:jc w:val="both"/>
        <w:rPr>
          <w:color w:val="000000" w:themeColor="text1"/>
          <w:sz w:val="2"/>
          <w:szCs w:val="26"/>
          <w:lang w:val="es-MX" w:eastAsia="es-MX"/>
        </w:rPr>
      </w:pPr>
      <w:r w:rsidRPr="003F24A1">
        <w:rPr>
          <w:color w:val="000000" w:themeColor="text1"/>
          <w:sz w:val="26"/>
          <w:szCs w:val="26"/>
          <w:lang w:val="es-MX" w:eastAsia="es-MX"/>
        </w:rPr>
        <w:br w:type="column"/>
      </w:r>
    </w:p>
    <w:tbl>
      <w:tblPr>
        <w:tblW w:w="8399" w:type="dxa"/>
        <w:jc w:val="center"/>
        <w:tblLayout w:type="fixed"/>
        <w:tblCellMar>
          <w:left w:w="70" w:type="dxa"/>
          <w:right w:w="70" w:type="dxa"/>
        </w:tblCellMar>
        <w:tblLook w:val="0000" w:firstRow="0" w:lastRow="0" w:firstColumn="0" w:lastColumn="0" w:noHBand="0" w:noVBand="0"/>
      </w:tblPr>
      <w:tblGrid>
        <w:gridCol w:w="1659"/>
        <w:gridCol w:w="468"/>
        <w:gridCol w:w="463"/>
        <w:gridCol w:w="462"/>
        <w:gridCol w:w="476"/>
        <w:gridCol w:w="462"/>
        <w:gridCol w:w="448"/>
        <w:gridCol w:w="420"/>
        <w:gridCol w:w="42"/>
        <w:gridCol w:w="420"/>
        <w:gridCol w:w="447"/>
        <w:gridCol w:w="434"/>
        <w:gridCol w:w="434"/>
        <w:gridCol w:w="378"/>
        <w:gridCol w:w="434"/>
        <w:gridCol w:w="476"/>
        <w:gridCol w:w="476"/>
      </w:tblGrid>
      <w:tr w:rsidR="003F24A1" w:rsidRPr="003F24A1" w:rsidTr="004B3C2F">
        <w:trPr>
          <w:trHeight w:val="292"/>
          <w:jc w:val="center"/>
        </w:trPr>
        <w:tc>
          <w:tcPr>
            <w:tcW w:w="8399" w:type="dxa"/>
            <w:gridSpan w:val="17"/>
            <w:tcBorders>
              <w:top w:val="nil"/>
              <w:left w:val="nil"/>
              <w:bottom w:val="single" w:sz="4" w:space="0" w:color="auto"/>
              <w:right w:val="nil"/>
            </w:tcBorders>
            <w:shd w:val="clear" w:color="auto" w:fill="auto"/>
            <w:noWrap/>
            <w:vAlign w:val="bottom"/>
          </w:tcPr>
          <w:p w:rsidR="003F24A1" w:rsidRPr="003F24A1" w:rsidRDefault="003F24A1" w:rsidP="003F24A1">
            <w:pPr>
              <w:jc w:val="center"/>
              <w:rPr>
                <w:b/>
                <w:bCs/>
                <w:sz w:val="22"/>
                <w:szCs w:val="22"/>
              </w:rPr>
            </w:pP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sz w:val="26"/>
                <w:szCs w:val="26"/>
                <w:lang w:val="es-MX" w:eastAsia="es-MX"/>
              </w:rPr>
              <w:br w:type="column"/>
            </w:r>
            <w:r w:rsidRPr="003F24A1">
              <w:rPr>
                <w:b/>
                <w:bCs/>
                <w:sz w:val="22"/>
                <w:szCs w:val="22"/>
              </w:rPr>
              <w:t>PRECIOS AL CONSUMIDOR, TODOS LOS RUBROS</w:t>
            </w:r>
          </w:p>
          <w:p w:rsidR="003F24A1" w:rsidRPr="003F24A1" w:rsidRDefault="003F24A1" w:rsidP="003F24A1">
            <w:pPr>
              <w:jc w:val="center"/>
              <w:rPr>
                <w:rFonts w:ascii="Arial" w:hAnsi="Arial" w:cs="Arial"/>
                <w:sz w:val="22"/>
                <w:szCs w:val="22"/>
              </w:rPr>
            </w:pPr>
            <w:r w:rsidRPr="003F24A1">
              <w:rPr>
                <w:sz w:val="22"/>
                <w:szCs w:val="22"/>
              </w:rPr>
              <w:t>- Cambio porcentual respecto al mismo mes del año anterior -</w:t>
            </w:r>
          </w:p>
        </w:tc>
      </w:tr>
      <w:tr w:rsidR="003F24A1" w:rsidRPr="003F24A1" w:rsidTr="004B3C2F">
        <w:trPr>
          <w:trHeight w:val="180"/>
          <w:jc w:val="center"/>
        </w:trPr>
        <w:tc>
          <w:tcPr>
            <w:tcW w:w="1659" w:type="dxa"/>
            <w:vMerge w:val="restart"/>
            <w:tcBorders>
              <w:top w:val="single" w:sz="4" w:space="0" w:color="auto"/>
              <w:left w:val="single" w:sz="4" w:space="0" w:color="auto"/>
              <w:bottom w:val="single" w:sz="6"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color w:val="FFFFFF" w:themeColor="background1"/>
                <w:sz w:val="16"/>
                <w:szCs w:val="16"/>
              </w:rPr>
            </w:pPr>
            <w:r w:rsidRPr="003F24A1">
              <w:rPr>
                <w:color w:val="FFFFFF" w:themeColor="background1"/>
                <w:sz w:val="16"/>
                <w:szCs w:val="16"/>
              </w:rPr>
              <w:t> </w:t>
            </w:r>
          </w:p>
        </w:tc>
        <w:tc>
          <w:tcPr>
            <w:tcW w:w="468" w:type="dxa"/>
            <w:tcBorders>
              <w:top w:val="single" w:sz="4" w:space="0" w:color="auto"/>
              <w:left w:val="single" w:sz="6" w:space="0" w:color="E7E6E6" w:themeColor="background2"/>
              <w:bottom w:val="single" w:sz="6"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2013</w:t>
            </w:r>
          </w:p>
        </w:tc>
        <w:tc>
          <w:tcPr>
            <w:tcW w:w="463"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2014</w:t>
            </w:r>
          </w:p>
        </w:tc>
        <w:tc>
          <w:tcPr>
            <w:tcW w:w="5333" w:type="dxa"/>
            <w:gridSpan w:val="13"/>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2014</w:t>
            </w:r>
          </w:p>
        </w:tc>
        <w:tc>
          <w:tcPr>
            <w:tcW w:w="476"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2015</w:t>
            </w:r>
          </w:p>
        </w:tc>
      </w:tr>
      <w:tr w:rsidR="003F24A1" w:rsidRPr="003F24A1" w:rsidTr="004B3C2F">
        <w:trPr>
          <w:trHeight w:val="72"/>
          <w:jc w:val="center"/>
        </w:trPr>
        <w:tc>
          <w:tcPr>
            <w:tcW w:w="1659" w:type="dxa"/>
            <w:vMerge/>
            <w:tcBorders>
              <w:top w:val="single" w:sz="6" w:space="0" w:color="E7E6E6" w:themeColor="background2"/>
              <w:left w:val="single" w:sz="4" w:space="0" w:color="auto"/>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rPr>
                <w:color w:val="FFFFFF" w:themeColor="background1"/>
                <w:sz w:val="16"/>
                <w:szCs w:val="16"/>
              </w:rPr>
            </w:pPr>
          </w:p>
        </w:tc>
        <w:tc>
          <w:tcPr>
            <w:tcW w:w="931" w:type="dxa"/>
            <w:gridSpan w:val="2"/>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Promedio</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Ene</w:t>
            </w:r>
          </w:p>
        </w:tc>
        <w:tc>
          <w:tcPr>
            <w:tcW w:w="476"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Feb</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Mar</w:t>
            </w:r>
          </w:p>
        </w:tc>
        <w:tc>
          <w:tcPr>
            <w:tcW w:w="44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Abr</w:t>
            </w:r>
          </w:p>
        </w:tc>
        <w:tc>
          <w:tcPr>
            <w:tcW w:w="462" w:type="dxa"/>
            <w:gridSpan w:val="2"/>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proofErr w:type="spellStart"/>
            <w:r w:rsidRPr="003F24A1">
              <w:rPr>
                <w:b/>
                <w:bCs/>
                <w:color w:val="FFFFFF" w:themeColor="background1"/>
                <w:sz w:val="16"/>
                <w:szCs w:val="16"/>
              </w:rPr>
              <w:t>May</w:t>
            </w:r>
            <w:proofErr w:type="spellEnd"/>
          </w:p>
        </w:tc>
        <w:tc>
          <w:tcPr>
            <w:tcW w:w="420"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Jun</w:t>
            </w:r>
          </w:p>
        </w:tc>
        <w:tc>
          <w:tcPr>
            <w:tcW w:w="447"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Jul</w:t>
            </w:r>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right="-532"/>
              <w:rPr>
                <w:b/>
                <w:bCs/>
                <w:color w:val="FFFFFF" w:themeColor="background1"/>
                <w:sz w:val="16"/>
                <w:szCs w:val="16"/>
              </w:rPr>
            </w:pPr>
            <w:proofErr w:type="spellStart"/>
            <w:r w:rsidRPr="003F24A1">
              <w:rPr>
                <w:b/>
                <w:bCs/>
                <w:color w:val="FFFFFF" w:themeColor="background1"/>
                <w:sz w:val="16"/>
                <w:szCs w:val="16"/>
              </w:rPr>
              <w:t>Ago</w:t>
            </w:r>
            <w:proofErr w:type="spellEnd"/>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right="-532"/>
              <w:rPr>
                <w:b/>
                <w:bCs/>
                <w:color w:val="FFFFFF" w:themeColor="background1"/>
                <w:sz w:val="16"/>
                <w:szCs w:val="16"/>
              </w:rPr>
            </w:pPr>
            <w:proofErr w:type="spellStart"/>
            <w:r w:rsidRPr="003F24A1">
              <w:rPr>
                <w:b/>
                <w:bCs/>
                <w:color w:val="FFFFFF" w:themeColor="background1"/>
                <w:sz w:val="16"/>
                <w:szCs w:val="16"/>
              </w:rPr>
              <w:t>Sep</w:t>
            </w:r>
            <w:proofErr w:type="spellEnd"/>
          </w:p>
        </w:tc>
        <w:tc>
          <w:tcPr>
            <w:tcW w:w="37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right="-532"/>
              <w:rPr>
                <w:b/>
                <w:bCs/>
                <w:color w:val="FFFFFF" w:themeColor="background1"/>
                <w:sz w:val="16"/>
                <w:szCs w:val="16"/>
              </w:rPr>
            </w:pPr>
            <w:r w:rsidRPr="003F24A1">
              <w:rPr>
                <w:b/>
                <w:bCs/>
                <w:color w:val="FFFFFF" w:themeColor="background1"/>
                <w:sz w:val="16"/>
                <w:szCs w:val="16"/>
              </w:rPr>
              <w:t>Oct</w:t>
            </w:r>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Nov</w:t>
            </w:r>
          </w:p>
        </w:tc>
        <w:tc>
          <w:tcPr>
            <w:tcW w:w="476"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Dic</w:t>
            </w:r>
          </w:p>
        </w:tc>
        <w:tc>
          <w:tcPr>
            <w:tcW w:w="476"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vAlign w:val="center"/>
          </w:tcPr>
          <w:p w:rsidR="003F24A1" w:rsidRPr="003F24A1" w:rsidRDefault="003F24A1" w:rsidP="003F24A1">
            <w:pPr>
              <w:ind w:right="-532"/>
              <w:rPr>
                <w:b/>
                <w:bCs/>
                <w:color w:val="FFFFFF" w:themeColor="background1"/>
                <w:sz w:val="16"/>
                <w:szCs w:val="16"/>
              </w:rPr>
            </w:pPr>
            <w:r w:rsidRPr="003F24A1">
              <w:rPr>
                <w:b/>
                <w:bCs/>
                <w:color w:val="FFFFFF" w:themeColor="background1"/>
                <w:sz w:val="16"/>
                <w:szCs w:val="16"/>
              </w:rPr>
              <w:t>Ene</w:t>
            </w:r>
          </w:p>
        </w:tc>
      </w:tr>
      <w:tr w:rsidR="003F24A1" w:rsidRPr="003F24A1" w:rsidTr="004B3C2F">
        <w:trPr>
          <w:trHeight w:val="159"/>
          <w:jc w:val="center"/>
        </w:trPr>
        <w:tc>
          <w:tcPr>
            <w:tcW w:w="1659" w:type="dxa"/>
            <w:tcBorders>
              <w:top w:val="single" w:sz="4" w:space="0" w:color="E7E6E6" w:themeColor="background2"/>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OCDE-Total</w:t>
            </w:r>
            <w:r w:rsidRPr="003F24A1">
              <w:rPr>
                <w:sz w:val="15"/>
                <w:szCs w:val="15"/>
                <w:u w:val="single"/>
                <w:vertAlign w:val="superscript"/>
              </w:rPr>
              <w:t>1</w:t>
            </w:r>
            <w:r w:rsidRPr="003F24A1">
              <w:rPr>
                <w:sz w:val="15"/>
                <w:szCs w:val="15"/>
                <w:vertAlign w:val="superscript"/>
              </w:rPr>
              <w:t>/</w:t>
            </w:r>
          </w:p>
        </w:tc>
        <w:tc>
          <w:tcPr>
            <w:tcW w:w="468"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1.6</w:t>
            </w:r>
          </w:p>
        </w:tc>
        <w:tc>
          <w:tcPr>
            <w:tcW w:w="463"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1.7</w:t>
            </w:r>
          </w:p>
        </w:tc>
        <w:tc>
          <w:tcPr>
            <w:tcW w:w="462"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040" w:right="84"/>
              <w:jc w:val="right"/>
              <w:rPr>
                <w:b/>
                <w:sz w:val="15"/>
                <w:szCs w:val="15"/>
              </w:rPr>
            </w:pPr>
            <w:r w:rsidRPr="003F24A1">
              <w:rPr>
                <w:b/>
                <w:sz w:val="15"/>
                <w:szCs w:val="15"/>
              </w:rPr>
              <w:t>1.7</w:t>
            </w:r>
          </w:p>
        </w:tc>
        <w:tc>
          <w:tcPr>
            <w:tcW w:w="476"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176" w:right="98"/>
              <w:jc w:val="right"/>
              <w:rPr>
                <w:sz w:val="15"/>
                <w:szCs w:val="15"/>
              </w:rPr>
            </w:pPr>
            <w:r w:rsidRPr="003F24A1">
              <w:rPr>
                <w:sz w:val="15"/>
                <w:szCs w:val="15"/>
              </w:rPr>
              <w:t>1.5</w:t>
            </w:r>
          </w:p>
        </w:tc>
        <w:tc>
          <w:tcPr>
            <w:tcW w:w="462"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652" w:right="70"/>
              <w:jc w:val="right"/>
              <w:rPr>
                <w:sz w:val="15"/>
                <w:szCs w:val="15"/>
              </w:rPr>
            </w:pPr>
            <w:r w:rsidRPr="003F24A1">
              <w:rPr>
                <w:sz w:val="15"/>
                <w:szCs w:val="15"/>
              </w:rPr>
              <w:t>1.6</w:t>
            </w:r>
          </w:p>
        </w:tc>
        <w:tc>
          <w:tcPr>
            <w:tcW w:w="448"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136" w:right="84"/>
              <w:jc w:val="right"/>
              <w:rPr>
                <w:sz w:val="15"/>
                <w:szCs w:val="15"/>
              </w:rPr>
            </w:pPr>
            <w:r w:rsidRPr="003F24A1">
              <w:rPr>
                <w:sz w:val="15"/>
                <w:szCs w:val="15"/>
              </w:rPr>
              <w:t>2.0</w:t>
            </w:r>
          </w:p>
        </w:tc>
        <w:tc>
          <w:tcPr>
            <w:tcW w:w="420"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854" w:right="56"/>
              <w:jc w:val="right"/>
              <w:rPr>
                <w:sz w:val="15"/>
                <w:szCs w:val="15"/>
              </w:rPr>
            </w:pPr>
            <w:r w:rsidRPr="003F24A1">
              <w:rPr>
                <w:sz w:val="15"/>
                <w:szCs w:val="15"/>
              </w:rPr>
              <w:t>2.1</w:t>
            </w:r>
          </w:p>
        </w:tc>
        <w:tc>
          <w:tcPr>
            <w:tcW w:w="462" w:type="dxa"/>
            <w:gridSpan w:val="2"/>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2170" w:right="84"/>
              <w:jc w:val="right"/>
              <w:rPr>
                <w:sz w:val="15"/>
                <w:szCs w:val="15"/>
              </w:rPr>
            </w:pPr>
            <w:r w:rsidRPr="003F24A1">
              <w:rPr>
                <w:sz w:val="15"/>
                <w:szCs w:val="15"/>
              </w:rPr>
              <w:t>2.1</w:t>
            </w:r>
          </w:p>
        </w:tc>
        <w:tc>
          <w:tcPr>
            <w:tcW w:w="447"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854" w:right="83"/>
              <w:jc w:val="right"/>
              <w:rPr>
                <w:sz w:val="15"/>
                <w:szCs w:val="15"/>
              </w:rPr>
            </w:pPr>
            <w:r w:rsidRPr="003F24A1">
              <w:rPr>
                <w:sz w:val="15"/>
                <w:szCs w:val="15"/>
              </w:rPr>
              <w:t>2.0</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tabs>
                <w:tab w:val="left" w:pos="196"/>
              </w:tabs>
              <w:ind w:left="-3251" w:right="98"/>
              <w:jc w:val="right"/>
              <w:rPr>
                <w:sz w:val="15"/>
                <w:szCs w:val="15"/>
              </w:rPr>
            </w:pPr>
            <w:r w:rsidRPr="003F24A1">
              <w:rPr>
                <w:sz w:val="15"/>
                <w:szCs w:val="15"/>
              </w:rPr>
              <w:t>1.8</w:t>
            </w:r>
          </w:p>
        </w:tc>
        <w:tc>
          <w:tcPr>
            <w:tcW w:w="434"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854" w:right="98"/>
              <w:jc w:val="right"/>
              <w:rPr>
                <w:sz w:val="15"/>
                <w:szCs w:val="15"/>
              </w:rPr>
            </w:pPr>
            <w:r w:rsidRPr="003F24A1">
              <w:rPr>
                <w:sz w:val="15"/>
                <w:szCs w:val="15"/>
              </w:rPr>
              <w:t>1.7</w:t>
            </w:r>
          </w:p>
        </w:tc>
        <w:tc>
          <w:tcPr>
            <w:tcW w:w="378"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198" w:right="56"/>
              <w:jc w:val="right"/>
              <w:rPr>
                <w:sz w:val="15"/>
                <w:szCs w:val="15"/>
              </w:rPr>
            </w:pPr>
            <w:r w:rsidRPr="003F24A1">
              <w:rPr>
                <w:sz w:val="15"/>
                <w:szCs w:val="15"/>
              </w:rPr>
              <w:t>1.7</w:t>
            </w:r>
          </w:p>
        </w:tc>
        <w:tc>
          <w:tcPr>
            <w:tcW w:w="434"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854" w:right="98"/>
              <w:jc w:val="right"/>
              <w:rPr>
                <w:sz w:val="15"/>
                <w:szCs w:val="15"/>
              </w:rPr>
            </w:pPr>
            <w:r w:rsidRPr="003F24A1">
              <w:rPr>
                <w:sz w:val="15"/>
                <w:szCs w:val="15"/>
              </w:rPr>
              <w:t>1.5</w:t>
            </w:r>
          </w:p>
        </w:tc>
        <w:tc>
          <w:tcPr>
            <w:tcW w:w="476"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187" w:right="70"/>
              <w:jc w:val="right"/>
              <w:rPr>
                <w:sz w:val="15"/>
                <w:szCs w:val="15"/>
              </w:rPr>
            </w:pPr>
            <w:r w:rsidRPr="003F24A1">
              <w:rPr>
                <w:sz w:val="15"/>
                <w:szCs w:val="15"/>
              </w:rPr>
              <w:t>1.1</w:t>
            </w:r>
          </w:p>
        </w:tc>
        <w:tc>
          <w:tcPr>
            <w:tcW w:w="476"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854" w:right="98"/>
              <w:jc w:val="right"/>
              <w:rPr>
                <w:b/>
                <w:sz w:val="15"/>
                <w:szCs w:val="15"/>
              </w:rPr>
            </w:pPr>
            <w:r w:rsidRPr="003F24A1">
              <w:rPr>
                <w:b/>
                <w:sz w:val="15"/>
                <w:szCs w:val="15"/>
              </w:rPr>
              <w:t>0.5</w:t>
            </w:r>
          </w:p>
        </w:tc>
      </w:tr>
      <w:tr w:rsidR="003F24A1" w:rsidRPr="003F24A1" w:rsidTr="004B3C2F">
        <w:trPr>
          <w:trHeight w:val="105"/>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G7</w:t>
            </w:r>
            <w:r w:rsidRPr="003F24A1">
              <w:rPr>
                <w:sz w:val="15"/>
                <w:szCs w:val="15"/>
                <w:u w:val="single"/>
                <w:vertAlign w:val="superscript"/>
              </w:rPr>
              <w:t>2</w:t>
            </w:r>
            <w:r w:rsidRPr="003F24A1">
              <w:rPr>
                <w:sz w:val="15"/>
                <w:szCs w:val="15"/>
                <w:vertAlign w:val="superscript"/>
              </w:rPr>
              <w:t>/</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1.3</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1.6</w:t>
            </w:r>
          </w:p>
        </w:tc>
        <w:tc>
          <w:tcPr>
            <w:tcW w:w="462"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b/>
                <w:sz w:val="15"/>
                <w:szCs w:val="15"/>
              </w:rPr>
            </w:pPr>
            <w:r w:rsidRPr="003F24A1">
              <w:rPr>
                <w:b/>
                <w:sz w:val="15"/>
                <w:szCs w:val="15"/>
              </w:rPr>
              <w:t>1.4</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176" w:right="98"/>
              <w:jc w:val="right"/>
              <w:rPr>
                <w:sz w:val="15"/>
                <w:szCs w:val="15"/>
              </w:rPr>
            </w:pPr>
            <w:r w:rsidRPr="003F24A1">
              <w:rPr>
                <w:sz w:val="15"/>
                <w:szCs w:val="15"/>
              </w:rPr>
              <w:t>1.2</w:t>
            </w:r>
          </w:p>
        </w:tc>
        <w:tc>
          <w:tcPr>
            <w:tcW w:w="462" w:type="dxa"/>
            <w:tcBorders>
              <w:top w:val="nil"/>
              <w:left w:val="nil"/>
              <w:bottom w:val="single" w:sz="4" w:space="0" w:color="auto"/>
              <w:right w:val="single" w:sz="4" w:space="0" w:color="auto"/>
            </w:tcBorders>
            <w:shd w:val="clear" w:color="auto" w:fill="auto"/>
          </w:tcPr>
          <w:p w:rsidR="003F24A1" w:rsidRPr="003F24A1" w:rsidRDefault="003F24A1" w:rsidP="003F24A1">
            <w:pPr>
              <w:ind w:left="-1652" w:right="70"/>
              <w:jc w:val="right"/>
              <w:rPr>
                <w:sz w:val="15"/>
                <w:szCs w:val="15"/>
              </w:rPr>
            </w:pPr>
            <w:r w:rsidRPr="003F24A1">
              <w:rPr>
                <w:sz w:val="15"/>
                <w:szCs w:val="15"/>
              </w:rPr>
              <w:t>1.4</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136" w:right="84"/>
              <w:jc w:val="right"/>
              <w:rPr>
                <w:sz w:val="15"/>
                <w:szCs w:val="15"/>
              </w:rPr>
            </w:pPr>
            <w:r w:rsidRPr="003F24A1">
              <w:rPr>
                <w:sz w:val="15"/>
                <w:szCs w:val="15"/>
              </w:rPr>
              <w:t>1.9</w:t>
            </w:r>
          </w:p>
        </w:tc>
        <w:tc>
          <w:tcPr>
            <w:tcW w:w="420"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56"/>
              <w:jc w:val="right"/>
              <w:rPr>
                <w:sz w:val="15"/>
                <w:szCs w:val="15"/>
              </w:rPr>
            </w:pPr>
            <w:r w:rsidRPr="003F24A1">
              <w:rPr>
                <w:sz w:val="15"/>
                <w:szCs w:val="15"/>
              </w:rPr>
              <w:t>2.0</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170" w:right="84"/>
              <w:jc w:val="right"/>
              <w:rPr>
                <w:sz w:val="15"/>
                <w:szCs w:val="15"/>
              </w:rPr>
            </w:pPr>
            <w:r w:rsidRPr="003F24A1">
              <w:rPr>
                <w:sz w:val="15"/>
                <w:szCs w:val="15"/>
              </w:rPr>
              <w:t>2.0</w:t>
            </w:r>
          </w:p>
        </w:tc>
        <w:tc>
          <w:tcPr>
            <w:tcW w:w="447"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83"/>
              <w:jc w:val="right"/>
              <w:rPr>
                <w:sz w:val="15"/>
                <w:szCs w:val="15"/>
              </w:rPr>
            </w:pPr>
            <w:r w:rsidRPr="003F24A1">
              <w:rPr>
                <w:sz w:val="15"/>
                <w:szCs w:val="15"/>
              </w:rPr>
              <w:t>1.8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tabs>
                <w:tab w:val="left" w:pos="196"/>
              </w:tabs>
              <w:ind w:left="-3251" w:right="98"/>
              <w:jc w:val="right"/>
              <w:rPr>
                <w:sz w:val="15"/>
                <w:szCs w:val="15"/>
              </w:rPr>
            </w:pPr>
            <w:r w:rsidRPr="003F24A1">
              <w:rPr>
                <w:sz w:val="15"/>
                <w:szCs w:val="15"/>
              </w:rPr>
              <w:t>1.6</w:t>
            </w:r>
          </w:p>
        </w:tc>
        <w:tc>
          <w:tcPr>
            <w:tcW w:w="434"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98"/>
              <w:jc w:val="right"/>
              <w:rPr>
                <w:sz w:val="15"/>
                <w:szCs w:val="15"/>
              </w:rPr>
            </w:pPr>
            <w:r w:rsidRPr="003F24A1">
              <w:rPr>
                <w:sz w:val="15"/>
                <w:szCs w:val="15"/>
              </w:rPr>
              <w:t>1.6</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198" w:right="56"/>
              <w:jc w:val="right"/>
              <w:rPr>
                <w:sz w:val="15"/>
                <w:szCs w:val="15"/>
              </w:rPr>
            </w:pPr>
            <w:r w:rsidRPr="003F24A1">
              <w:rPr>
                <w:sz w:val="15"/>
                <w:szCs w:val="15"/>
              </w:rPr>
              <w:t>1.6</w:t>
            </w:r>
          </w:p>
        </w:tc>
        <w:tc>
          <w:tcPr>
            <w:tcW w:w="434"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98"/>
              <w:jc w:val="right"/>
              <w:rPr>
                <w:sz w:val="15"/>
                <w:szCs w:val="15"/>
              </w:rPr>
            </w:pPr>
            <w:r w:rsidRPr="003F24A1">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187" w:right="70"/>
              <w:jc w:val="right"/>
              <w:rPr>
                <w:sz w:val="15"/>
                <w:szCs w:val="15"/>
              </w:rPr>
            </w:pPr>
            <w:r w:rsidRPr="003F24A1">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54" w:right="98"/>
              <w:jc w:val="right"/>
              <w:rPr>
                <w:b/>
                <w:sz w:val="15"/>
                <w:szCs w:val="15"/>
              </w:rPr>
            </w:pPr>
            <w:r w:rsidRPr="003F24A1">
              <w:rPr>
                <w:b/>
                <w:sz w:val="15"/>
                <w:szCs w:val="15"/>
              </w:rPr>
              <w:t>0.2</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Área Euro (IAPC)</w:t>
            </w:r>
            <w:r w:rsidRPr="003F24A1">
              <w:rPr>
                <w:sz w:val="15"/>
                <w:szCs w:val="15"/>
                <w:u w:val="single"/>
                <w:vertAlign w:val="superscript"/>
              </w:rPr>
              <w:t>3</w:t>
            </w:r>
            <w:r w:rsidRPr="003F24A1">
              <w:rPr>
                <w:sz w:val="15"/>
                <w:szCs w:val="15"/>
                <w:vertAlign w:val="superscript"/>
              </w:rPr>
              <w:t>/</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1.3</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0.4</w:t>
            </w:r>
          </w:p>
        </w:tc>
        <w:tc>
          <w:tcPr>
            <w:tcW w:w="462"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b/>
                <w:sz w:val="15"/>
                <w:szCs w:val="15"/>
              </w:rPr>
            </w:pPr>
            <w:r w:rsidRPr="003F24A1">
              <w:rPr>
                <w:b/>
                <w:sz w:val="15"/>
                <w:szCs w:val="15"/>
              </w:rPr>
              <w:t>0.8</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176" w:right="98"/>
              <w:jc w:val="right"/>
              <w:rPr>
                <w:sz w:val="15"/>
                <w:szCs w:val="15"/>
              </w:rPr>
            </w:pPr>
            <w:r w:rsidRPr="003F24A1">
              <w:rPr>
                <w:sz w:val="15"/>
                <w:szCs w:val="15"/>
              </w:rPr>
              <w:t>0.7</w:t>
            </w:r>
          </w:p>
        </w:tc>
        <w:tc>
          <w:tcPr>
            <w:tcW w:w="462" w:type="dxa"/>
            <w:tcBorders>
              <w:top w:val="nil"/>
              <w:left w:val="nil"/>
              <w:bottom w:val="single" w:sz="4" w:space="0" w:color="auto"/>
              <w:right w:val="single" w:sz="4" w:space="0" w:color="auto"/>
            </w:tcBorders>
            <w:shd w:val="clear" w:color="auto" w:fill="auto"/>
          </w:tcPr>
          <w:p w:rsidR="003F24A1" w:rsidRPr="003F24A1" w:rsidRDefault="003F24A1" w:rsidP="003F24A1">
            <w:pPr>
              <w:ind w:left="-1652" w:right="70"/>
              <w:jc w:val="right"/>
              <w:rPr>
                <w:sz w:val="15"/>
                <w:szCs w:val="15"/>
              </w:rPr>
            </w:pPr>
            <w:r w:rsidRPr="003F24A1">
              <w:rPr>
                <w:sz w:val="15"/>
                <w:szCs w:val="15"/>
              </w:rPr>
              <w:t>0.5</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136" w:right="84"/>
              <w:jc w:val="right"/>
              <w:rPr>
                <w:sz w:val="15"/>
                <w:szCs w:val="15"/>
              </w:rPr>
            </w:pPr>
            <w:r w:rsidRPr="003F24A1">
              <w:rPr>
                <w:sz w:val="15"/>
                <w:szCs w:val="15"/>
              </w:rPr>
              <w:t>0.7</w:t>
            </w:r>
          </w:p>
        </w:tc>
        <w:tc>
          <w:tcPr>
            <w:tcW w:w="420"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56"/>
              <w:jc w:val="right"/>
              <w:rPr>
                <w:sz w:val="15"/>
                <w:szCs w:val="15"/>
              </w:rPr>
            </w:pPr>
            <w:r w:rsidRPr="003F24A1">
              <w:rPr>
                <w:sz w:val="15"/>
                <w:szCs w:val="15"/>
              </w:rPr>
              <w:t>0.5</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170" w:right="84"/>
              <w:jc w:val="right"/>
              <w:rPr>
                <w:sz w:val="15"/>
                <w:szCs w:val="15"/>
              </w:rPr>
            </w:pPr>
            <w:r w:rsidRPr="003F24A1">
              <w:rPr>
                <w:sz w:val="15"/>
                <w:szCs w:val="15"/>
              </w:rPr>
              <w:t>0.5</w:t>
            </w:r>
          </w:p>
        </w:tc>
        <w:tc>
          <w:tcPr>
            <w:tcW w:w="447"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83"/>
              <w:jc w:val="right"/>
              <w:rPr>
                <w:sz w:val="15"/>
                <w:szCs w:val="15"/>
              </w:rPr>
            </w:pPr>
            <w:r w:rsidRPr="003F24A1">
              <w:rPr>
                <w:sz w:val="15"/>
                <w:szCs w:val="15"/>
              </w:rPr>
              <w:t>0.4</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tabs>
                <w:tab w:val="left" w:pos="196"/>
              </w:tabs>
              <w:ind w:left="-3251" w:right="98"/>
              <w:jc w:val="right"/>
              <w:rPr>
                <w:sz w:val="15"/>
                <w:szCs w:val="15"/>
              </w:rPr>
            </w:pPr>
            <w:r w:rsidRPr="003F24A1">
              <w:rPr>
                <w:sz w:val="15"/>
                <w:szCs w:val="15"/>
              </w:rPr>
              <w:t>0.4</w:t>
            </w:r>
          </w:p>
        </w:tc>
        <w:tc>
          <w:tcPr>
            <w:tcW w:w="434"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98"/>
              <w:jc w:val="right"/>
              <w:rPr>
                <w:sz w:val="15"/>
                <w:szCs w:val="15"/>
              </w:rPr>
            </w:pPr>
            <w:r w:rsidRPr="003F24A1">
              <w:rPr>
                <w:sz w:val="15"/>
                <w:szCs w:val="15"/>
              </w:rPr>
              <w:t>0.3</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198" w:right="56"/>
              <w:jc w:val="right"/>
              <w:rPr>
                <w:sz w:val="15"/>
                <w:szCs w:val="15"/>
              </w:rPr>
            </w:pPr>
            <w:r w:rsidRPr="003F24A1">
              <w:rPr>
                <w:sz w:val="15"/>
                <w:szCs w:val="15"/>
              </w:rPr>
              <w:t>0.4</w:t>
            </w:r>
          </w:p>
        </w:tc>
        <w:tc>
          <w:tcPr>
            <w:tcW w:w="434" w:type="dxa"/>
            <w:tcBorders>
              <w:top w:val="nil"/>
              <w:left w:val="nil"/>
              <w:bottom w:val="single" w:sz="4" w:space="0" w:color="auto"/>
              <w:right w:val="single" w:sz="4" w:space="0" w:color="auto"/>
            </w:tcBorders>
            <w:shd w:val="clear" w:color="auto" w:fill="auto"/>
          </w:tcPr>
          <w:p w:rsidR="003F24A1" w:rsidRPr="003F24A1" w:rsidRDefault="003F24A1" w:rsidP="003F24A1">
            <w:pPr>
              <w:ind w:left="-1854" w:right="98"/>
              <w:jc w:val="right"/>
              <w:rPr>
                <w:sz w:val="15"/>
                <w:szCs w:val="15"/>
              </w:rPr>
            </w:pPr>
            <w:r w:rsidRPr="003F24A1">
              <w:rPr>
                <w:sz w:val="15"/>
                <w:szCs w:val="15"/>
              </w:rPr>
              <w:t>0.3</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187" w:right="70"/>
              <w:jc w:val="right"/>
              <w:rPr>
                <w:sz w:val="15"/>
                <w:szCs w:val="15"/>
              </w:rPr>
            </w:pPr>
            <w:r w:rsidRPr="003F24A1">
              <w:rPr>
                <w:sz w:val="15"/>
                <w:szCs w:val="15"/>
              </w:rPr>
              <w:t>-0.2</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54" w:right="98"/>
              <w:jc w:val="right"/>
              <w:rPr>
                <w:b/>
                <w:sz w:val="15"/>
                <w:szCs w:val="15"/>
              </w:rPr>
            </w:pPr>
            <w:r w:rsidRPr="003F24A1">
              <w:rPr>
                <w:b/>
                <w:sz w:val="15"/>
                <w:szCs w:val="15"/>
              </w:rPr>
              <w:t>-0.6</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Unión Europea (IAPC)</w:t>
            </w:r>
            <w:r w:rsidRPr="003F24A1">
              <w:rPr>
                <w:sz w:val="15"/>
                <w:szCs w:val="15"/>
                <w:u w:val="single"/>
                <w:vertAlign w:val="superscript"/>
              </w:rPr>
              <w:t>4</w:t>
            </w:r>
            <w:r w:rsidRPr="003F24A1">
              <w:rPr>
                <w:sz w:val="15"/>
                <w:szCs w:val="15"/>
                <w:vertAlign w:val="superscript"/>
              </w:rPr>
              <w:t>/</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1.5</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0.6</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b/>
                <w:sz w:val="15"/>
                <w:szCs w:val="15"/>
              </w:rPr>
            </w:pPr>
            <w:r w:rsidRPr="003F24A1">
              <w:rPr>
                <w:b/>
                <w:sz w:val="15"/>
                <w:szCs w:val="15"/>
              </w:rPr>
              <w:t>0.9</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176" w:right="98"/>
              <w:jc w:val="right"/>
              <w:rPr>
                <w:sz w:val="15"/>
                <w:szCs w:val="15"/>
              </w:rPr>
            </w:pPr>
            <w:r w:rsidRPr="003F24A1">
              <w:rPr>
                <w:sz w:val="15"/>
                <w:szCs w:val="15"/>
              </w:rPr>
              <w:t>0.8</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652" w:right="70"/>
              <w:jc w:val="right"/>
              <w:rPr>
                <w:sz w:val="15"/>
                <w:szCs w:val="15"/>
              </w:rPr>
            </w:pPr>
            <w:r w:rsidRPr="003F24A1">
              <w:rPr>
                <w:sz w:val="15"/>
                <w:szCs w:val="15"/>
              </w:rPr>
              <w:t>0.6</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136" w:right="84"/>
              <w:jc w:val="right"/>
              <w:rPr>
                <w:sz w:val="15"/>
                <w:szCs w:val="15"/>
              </w:rPr>
            </w:pPr>
            <w:r w:rsidRPr="003F24A1">
              <w:rPr>
                <w:sz w:val="15"/>
                <w:szCs w:val="15"/>
              </w:rPr>
              <w:t>0.8</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54" w:right="56"/>
              <w:jc w:val="right"/>
              <w:rPr>
                <w:sz w:val="15"/>
                <w:szCs w:val="15"/>
              </w:rPr>
            </w:pPr>
            <w:r w:rsidRPr="003F24A1">
              <w:rPr>
                <w:sz w:val="15"/>
                <w:szCs w:val="15"/>
              </w:rPr>
              <w:t>0.6</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170" w:right="84"/>
              <w:jc w:val="right"/>
              <w:rPr>
                <w:sz w:val="15"/>
                <w:szCs w:val="15"/>
              </w:rPr>
            </w:pPr>
            <w:r w:rsidRPr="003F24A1">
              <w:rPr>
                <w:sz w:val="15"/>
                <w:szCs w:val="15"/>
              </w:rPr>
              <w:t>0.7</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54" w:right="83"/>
              <w:jc w:val="right"/>
              <w:rPr>
                <w:sz w:val="15"/>
                <w:szCs w:val="15"/>
              </w:rPr>
            </w:pPr>
            <w:r w:rsidRPr="003F24A1">
              <w:rPr>
                <w:sz w:val="15"/>
                <w:szCs w:val="15"/>
              </w:rPr>
              <w:t>0.5</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tabs>
                <w:tab w:val="left" w:pos="196"/>
              </w:tabs>
              <w:ind w:left="-3251" w:right="98"/>
              <w:jc w:val="right"/>
              <w:rPr>
                <w:sz w:val="15"/>
                <w:szCs w:val="15"/>
              </w:rPr>
            </w:pPr>
            <w:r w:rsidRPr="003F24A1">
              <w:rPr>
                <w:sz w:val="15"/>
                <w:szCs w:val="15"/>
              </w:rPr>
              <w:t>0.5</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54" w:right="98"/>
              <w:jc w:val="right"/>
              <w:rPr>
                <w:sz w:val="15"/>
                <w:szCs w:val="15"/>
              </w:rPr>
            </w:pPr>
            <w:r w:rsidRPr="003F24A1">
              <w:rPr>
                <w:sz w:val="15"/>
                <w:szCs w:val="15"/>
              </w:rPr>
              <w:t>0.4</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198" w:right="56"/>
              <w:jc w:val="right"/>
              <w:rPr>
                <w:sz w:val="15"/>
                <w:szCs w:val="15"/>
              </w:rPr>
            </w:pPr>
            <w:r w:rsidRPr="003F24A1">
              <w:rPr>
                <w:sz w:val="15"/>
                <w:szCs w:val="15"/>
              </w:rPr>
              <w:t>0.5</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54" w:right="98"/>
              <w:jc w:val="right"/>
              <w:rPr>
                <w:sz w:val="15"/>
                <w:szCs w:val="15"/>
              </w:rPr>
            </w:pPr>
            <w:r w:rsidRPr="003F24A1">
              <w:rPr>
                <w:sz w:val="15"/>
                <w:szCs w:val="15"/>
              </w:rPr>
              <w:t>0.3</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187" w:right="70"/>
              <w:jc w:val="right"/>
              <w:rPr>
                <w:sz w:val="15"/>
                <w:szCs w:val="15"/>
              </w:rPr>
            </w:pPr>
            <w:r w:rsidRPr="003F24A1">
              <w:rPr>
                <w:sz w:val="15"/>
                <w:szCs w:val="15"/>
              </w:rPr>
              <w:t>-0.1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854" w:right="98"/>
              <w:jc w:val="right"/>
              <w:rPr>
                <w:b/>
                <w:sz w:val="15"/>
                <w:szCs w:val="15"/>
              </w:rPr>
            </w:pPr>
            <w:r w:rsidRPr="003F24A1">
              <w:rPr>
                <w:b/>
                <w:sz w:val="15"/>
                <w:szCs w:val="15"/>
              </w:rPr>
              <w:t>-0.5</w:t>
            </w:r>
          </w:p>
        </w:tc>
      </w:tr>
      <w:tr w:rsidR="003F24A1" w:rsidRPr="003F24A1" w:rsidTr="004B3C2F">
        <w:trPr>
          <w:trHeight w:val="180"/>
          <w:jc w:val="center"/>
        </w:trPr>
        <w:tc>
          <w:tcPr>
            <w:tcW w:w="8399" w:type="dxa"/>
            <w:gridSpan w:val="17"/>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ind w:left="238" w:right="168"/>
              <w:rPr>
                <w:b/>
                <w:bCs/>
                <w:sz w:val="15"/>
                <w:szCs w:val="15"/>
              </w:rPr>
            </w:pPr>
            <w:r w:rsidRPr="003F24A1">
              <w:rPr>
                <w:b/>
                <w:bCs/>
                <w:sz w:val="15"/>
                <w:szCs w:val="15"/>
              </w:rPr>
              <w:t>Siete países mayores</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Canadá</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0.9</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1.5</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1.1</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1.5</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2.0</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2.3</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2.4</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2.1</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2.1</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2.0</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2.4</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2.0</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1.5</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1.0</w:t>
            </w:r>
          </w:p>
        </w:tc>
      </w:tr>
      <w:tr w:rsidR="003F24A1" w:rsidRPr="003F24A1" w:rsidTr="004B3C2F">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Francia</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0.9</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0.5</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0.7</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0.6</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0.7</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0.7</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0.5</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0.5</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0.4</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0.3</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0.5</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0.3</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0.1</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-0.4</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Alemania</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1.5</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1.2</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1.0</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1.3</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0.9</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1.0</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0.8</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0.6</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0.2</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-0.4</w:t>
            </w:r>
          </w:p>
        </w:tc>
      </w:tr>
      <w:tr w:rsidR="003F24A1" w:rsidRPr="003F24A1" w:rsidTr="004B3C2F">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Italia</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1.2</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0.2</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0.7</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0.5</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0.4</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0.6</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0.5</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0.3</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0.1</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-0.1</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-0.2</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0.1</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0.2</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0.0</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-0.6</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Japón</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0.4</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2.7</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1.4</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1.5</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1.6</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3.4</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3.7</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3.6</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3.4</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3.3</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3.2</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2.9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2.4</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2.4</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2.4</w:t>
            </w:r>
          </w:p>
        </w:tc>
      </w:tr>
      <w:tr w:rsidR="003F24A1" w:rsidRPr="003F24A1" w:rsidTr="004B3C2F">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Reino Unido</w:t>
            </w:r>
          </w:p>
        </w:tc>
        <w:tc>
          <w:tcPr>
            <w:tcW w:w="468"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2.6</w:t>
            </w:r>
          </w:p>
        </w:tc>
        <w:tc>
          <w:tcPr>
            <w:tcW w:w="463" w:type="dxa"/>
            <w:tcBorders>
              <w:top w:val="nil"/>
              <w:left w:val="nil"/>
              <w:bottom w:val="single" w:sz="4" w:space="0" w:color="auto"/>
              <w:right w:val="single" w:sz="4" w:space="0" w:color="auto"/>
            </w:tcBorders>
            <w:shd w:val="clear" w:color="auto" w:fill="auto"/>
          </w:tcPr>
          <w:p w:rsidR="003F24A1" w:rsidRPr="003F24A1" w:rsidRDefault="003F24A1" w:rsidP="003F24A1">
            <w:pPr>
              <w:ind w:left="-1040" w:right="84"/>
              <w:jc w:val="right"/>
              <w:rPr>
                <w:sz w:val="15"/>
                <w:szCs w:val="15"/>
              </w:rPr>
            </w:pPr>
            <w:r w:rsidRPr="003F24A1">
              <w:rPr>
                <w:sz w:val="15"/>
                <w:szCs w:val="15"/>
              </w:rPr>
              <w:t>1.5</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1.9</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1.7</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1.6</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1.8</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1.5</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1.9</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1.6</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1.5</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1.2</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1.3</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1.0</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0.5</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0.3</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right="-219"/>
              <w:rPr>
                <w:sz w:val="15"/>
                <w:szCs w:val="15"/>
              </w:rPr>
            </w:pPr>
            <w:r w:rsidRPr="003F24A1">
              <w:rPr>
                <w:sz w:val="15"/>
                <w:szCs w:val="15"/>
              </w:rPr>
              <w:t>Estados Unidos de Norteamérica</w:t>
            </w:r>
          </w:p>
        </w:tc>
        <w:tc>
          <w:tcPr>
            <w:tcW w:w="46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040" w:right="84"/>
              <w:jc w:val="right"/>
              <w:rPr>
                <w:sz w:val="15"/>
                <w:szCs w:val="15"/>
              </w:rPr>
            </w:pPr>
            <w:r w:rsidRPr="003F24A1">
              <w:rPr>
                <w:sz w:val="15"/>
                <w:szCs w:val="15"/>
              </w:rPr>
              <w:t>1.5</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040" w:right="84"/>
              <w:jc w:val="right"/>
              <w:rPr>
                <w:sz w:val="15"/>
                <w:szCs w:val="15"/>
              </w:rPr>
            </w:pPr>
            <w:r w:rsidRPr="003F24A1">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896" w:right="56"/>
              <w:jc w:val="right"/>
              <w:rPr>
                <w:b/>
                <w:sz w:val="15"/>
                <w:szCs w:val="15"/>
              </w:rPr>
            </w:pPr>
            <w:r w:rsidRPr="003F24A1">
              <w:rPr>
                <w:b/>
                <w:sz w:val="15"/>
                <w:szCs w:val="15"/>
              </w:rPr>
              <w:t>1.6</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2032" w:right="98"/>
              <w:jc w:val="right"/>
              <w:rPr>
                <w:sz w:val="15"/>
                <w:szCs w:val="15"/>
              </w:rPr>
            </w:pPr>
            <w:r w:rsidRPr="003F24A1">
              <w:rPr>
                <w:sz w:val="15"/>
                <w:szCs w:val="15"/>
              </w:rPr>
              <w:t>1.1</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8" w:right="70"/>
              <w:jc w:val="right"/>
              <w:rPr>
                <w:sz w:val="15"/>
                <w:szCs w:val="15"/>
              </w:rPr>
            </w:pPr>
            <w:r w:rsidRPr="003F24A1">
              <w:rPr>
                <w:sz w:val="15"/>
                <w:szCs w:val="15"/>
              </w:rPr>
              <w:t>1.5</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369" w:right="70"/>
              <w:jc w:val="right"/>
              <w:rPr>
                <w:sz w:val="15"/>
                <w:szCs w:val="15"/>
              </w:rPr>
            </w:pPr>
            <w:r w:rsidRPr="003F24A1">
              <w:rPr>
                <w:sz w:val="15"/>
                <w:szCs w:val="15"/>
              </w:rPr>
              <w:t>2.0</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70"/>
              <w:jc w:val="right"/>
              <w:rPr>
                <w:sz w:val="15"/>
                <w:szCs w:val="15"/>
              </w:rPr>
            </w:pPr>
            <w:r w:rsidRPr="003F24A1">
              <w:rPr>
                <w:sz w:val="15"/>
                <w:szCs w:val="15"/>
              </w:rPr>
              <w:t>2.1</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2.1</w:t>
            </w:r>
          </w:p>
        </w:tc>
        <w:tc>
          <w:tcPr>
            <w:tcW w:w="447"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2.0</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56"/>
              <w:jc w:val="right"/>
              <w:rPr>
                <w:sz w:val="15"/>
                <w:szCs w:val="15"/>
              </w:rPr>
            </w:pPr>
            <w:r w:rsidRPr="003F24A1">
              <w:rPr>
                <w:sz w:val="15"/>
                <w:szCs w:val="15"/>
              </w:rPr>
              <w:t>1.7</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1.7</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42"/>
              <w:jc w:val="right"/>
              <w:rPr>
                <w:sz w:val="15"/>
                <w:szCs w:val="15"/>
              </w:rPr>
            </w:pPr>
            <w:r w:rsidRPr="003F24A1">
              <w:rPr>
                <w:sz w:val="15"/>
                <w:szCs w:val="15"/>
              </w:rPr>
              <w:t>1.7</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84"/>
              <w:jc w:val="right"/>
              <w:rPr>
                <w:sz w:val="15"/>
                <w:szCs w:val="15"/>
              </w:rPr>
            </w:pPr>
            <w:r w:rsidRPr="003F24A1">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sz w:val="15"/>
                <w:szCs w:val="15"/>
              </w:rPr>
            </w:pPr>
            <w:r w:rsidRPr="003F24A1">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995" w:right="112"/>
              <w:jc w:val="right"/>
              <w:rPr>
                <w:b/>
                <w:sz w:val="15"/>
                <w:szCs w:val="15"/>
              </w:rPr>
            </w:pPr>
            <w:r w:rsidRPr="003F24A1">
              <w:rPr>
                <w:b/>
                <w:sz w:val="15"/>
                <w:szCs w:val="15"/>
              </w:rPr>
              <w:t>-0.1</w:t>
            </w:r>
          </w:p>
        </w:tc>
      </w:tr>
      <w:tr w:rsidR="003F24A1" w:rsidRPr="003F24A1" w:rsidTr="004B3C2F">
        <w:trPr>
          <w:trHeight w:val="77"/>
          <w:jc w:val="center"/>
        </w:trPr>
        <w:tc>
          <w:tcPr>
            <w:tcW w:w="8399" w:type="dxa"/>
            <w:gridSpan w:val="17"/>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ind w:left="238" w:right="83"/>
              <w:rPr>
                <w:b/>
                <w:bCs/>
                <w:sz w:val="15"/>
                <w:szCs w:val="15"/>
              </w:rPr>
            </w:pPr>
            <w:r w:rsidRPr="003F24A1">
              <w:rPr>
                <w:b/>
                <w:bCs/>
                <w:sz w:val="15"/>
                <w:szCs w:val="15"/>
              </w:rPr>
              <w:t>Otros países con economías importantes</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rPr>
                <w:sz w:val="15"/>
                <w:szCs w:val="15"/>
              </w:rPr>
            </w:pPr>
            <w:r w:rsidRPr="003F24A1">
              <w:rPr>
                <w:sz w:val="15"/>
                <w:szCs w:val="15"/>
              </w:rPr>
              <w:t>G20*</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3.3</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jc w:val="right"/>
              <w:rPr>
                <w:sz w:val="15"/>
                <w:szCs w:val="15"/>
              </w:rPr>
            </w:pPr>
            <w:r w:rsidRPr="003F24A1">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
              <w:jc w:val="right"/>
              <w:rPr>
                <w:b/>
                <w:sz w:val="15"/>
                <w:szCs w:val="15"/>
              </w:rPr>
            </w:pPr>
            <w:r w:rsidRPr="003F24A1">
              <w:rPr>
                <w:b/>
                <w:sz w:val="15"/>
                <w:szCs w:val="15"/>
              </w:rPr>
              <w:t>2.8b</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84" w:firstLine="141"/>
              <w:jc w:val="right"/>
              <w:rPr>
                <w:sz w:val="15"/>
                <w:szCs w:val="15"/>
              </w:rPr>
            </w:pPr>
            <w:r w:rsidRPr="003F24A1">
              <w:rPr>
                <w:sz w:val="15"/>
                <w:szCs w:val="15"/>
              </w:rPr>
              <w:t>2.6</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2.7</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3.0</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42" w:firstLine="141"/>
              <w:jc w:val="right"/>
              <w:rPr>
                <w:sz w:val="15"/>
                <w:szCs w:val="15"/>
              </w:rPr>
            </w:pPr>
            <w:r w:rsidRPr="003F24A1">
              <w:rPr>
                <w:sz w:val="15"/>
                <w:szCs w:val="15"/>
              </w:rPr>
              <w:t>3.2</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3.1</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3.0</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2.8</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2.8</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2.6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2.4</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2.8b</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07" w:firstLine="1134"/>
              <w:jc w:val="right"/>
              <w:rPr>
                <w:b/>
                <w:sz w:val="15"/>
                <w:szCs w:val="15"/>
              </w:rPr>
            </w:pPr>
            <w:r w:rsidRPr="003F24A1">
              <w:rPr>
                <w:b/>
                <w:sz w:val="15"/>
                <w:szCs w:val="15"/>
              </w:rPr>
              <w:t>2.5</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left="225" w:hanging="113"/>
              <w:rPr>
                <w:sz w:val="15"/>
                <w:szCs w:val="15"/>
              </w:rPr>
            </w:pPr>
            <w:r w:rsidRPr="003F24A1">
              <w:rPr>
                <w:sz w:val="15"/>
                <w:szCs w:val="15"/>
              </w:rPr>
              <w:t>Argentina</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10.6</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jc w:val="right"/>
              <w:rPr>
                <w:sz w:val="15"/>
                <w:szCs w:val="15"/>
              </w:rPr>
            </w:pPr>
            <w:r w:rsidRPr="003F24A1">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
              <w:jc w:val="right"/>
              <w:rPr>
                <w:b/>
                <w:sz w:val="15"/>
                <w:szCs w:val="15"/>
              </w:rPr>
            </w:pPr>
            <w:r w:rsidRPr="003F24A1">
              <w:rPr>
                <w:b/>
                <w:sz w:val="15"/>
                <w:szCs w:val="15"/>
              </w:rPr>
              <w:t>N.D.</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14" w:firstLine="141"/>
              <w:jc w:val="right"/>
              <w:rPr>
                <w:sz w:val="15"/>
                <w:szCs w:val="15"/>
              </w:rPr>
            </w:pPr>
            <w:r w:rsidRPr="003F24A1">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jc w:val="right"/>
              <w:rPr>
                <w:sz w:val="15"/>
                <w:szCs w:val="15"/>
              </w:rPr>
            </w:pPr>
            <w:r w:rsidRPr="003F24A1">
              <w:rPr>
                <w:sz w:val="15"/>
                <w:szCs w:val="15"/>
              </w:rPr>
              <w:t>N.D.</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28"/>
              <w:jc w:val="right"/>
              <w:rPr>
                <w:sz w:val="15"/>
                <w:szCs w:val="15"/>
              </w:rPr>
            </w:pPr>
            <w:r w:rsidRPr="003F24A1">
              <w:rPr>
                <w:sz w:val="15"/>
                <w:szCs w:val="15"/>
              </w:rPr>
              <w:t>N.D.</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14"/>
              <w:jc w:val="right"/>
              <w:rPr>
                <w:sz w:val="15"/>
                <w:szCs w:val="15"/>
              </w:rPr>
            </w:pPr>
            <w:r w:rsidRPr="003F24A1">
              <w:rPr>
                <w:sz w:val="15"/>
                <w:szCs w:val="15"/>
              </w:rPr>
              <w:t>N.D.</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28"/>
              <w:jc w:val="right"/>
              <w:rPr>
                <w:sz w:val="15"/>
                <w:szCs w:val="15"/>
              </w:rPr>
            </w:pPr>
            <w:r w:rsidRPr="003F24A1">
              <w:rPr>
                <w:sz w:val="15"/>
                <w:szCs w:val="15"/>
              </w:rPr>
              <w:t>N.D.</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jc w:val="right"/>
              <w:rPr>
                <w:sz w:val="15"/>
                <w:szCs w:val="15"/>
              </w:rPr>
            </w:pPr>
            <w:r w:rsidRPr="003F24A1">
              <w:rPr>
                <w:sz w:val="15"/>
                <w:szCs w:val="15"/>
              </w:rPr>
              <w:t>N.D.</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jc w:val="right"/>
              <w:rPr>
                <w:sz w:val="15"/>
                <w:szCs w:val="15"/>
              </w:rPr>
            </w:pPr>
            <w:r w:rsidRPr="003F24A1">
              <w:rPr>
                <w:sz w:val="15"/>
                <w:szCs w:val="15"/>
              </w:rPr>
              <w:t>N.D.</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firstLine="141"/>
              <w:jc w:val="right"/>
              <w:rPr>
                <w:sz w:val="15"/>
                <w:szCs w:val="15"/>
              </w:rPr>
            </w:pPr>
            <w:r w:rsidRPr="003F24A1">
              <w:rPr>
                <w:sz w:val="15"/>
                <w:szCs w:val="15"/>
              </w:rPr>
              <w:t>N.D.</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14"/>
              <w:jc w:val="right"/>
              <w:rPr>
                <w:sz w:val="15"/>
                <w:szCs w:val="15"/>
              </w:rPr>
            </w:pPr>
            <w:r w:rsidRPr="003F24A1">
              <w:rPr>
                <w:sz w:val="15"/>
                <w:szCs w:val="15"/>
              </w:rPr>
              <w:t>N.D.</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jc w:val="right"/>
              <w:rPr>
                <w:sz w:val="15"/>
                <w:szCs w:val="15"/>
              </w:rPr>
            </w:pPr>
            <w:r w:rsidRPr="003F24A1">
              <w:rPr>
                <w:sz w:val="15"/>
                <w:szCs w:val="15"/>
              </w:rPr>
              <w:t>N.D.</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14"/>
              <w:jc w:val="right"/>
              <w:rPr>
                <w:sz w:val="15"/>
                <w:szCs w:val="15"/>
              </w:rPr>
            </w:pPr>
            <w:r w:rsidRPr="003F24A1">
              <w:rPr>
                <w:sz w:val="15"/>
                <w:szCs w:val="15"/>
              </w:rPr>
              <w:t>23.9b</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42" w:firstLine="1134"/>
              <w:jc w:val="right"/>
              <w:rPr>
                <w:b/>
                <w:sz w:val="15"/>
                <w:szCs w:val="15"/>
              </w:rPr>
            </w:pPr>
            <w:r w:rsidRPr="003F24A1">
              <w:rPr>
                <w:b/>
                <w:sz w:val="15"/>
                <w:szCs w:val="15"/>
              </w:rPr>
              <w:t>20.9</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firstLine="112"/>
              <w:rPr>
                <w:sz w:val="15"/>
                <w:szCs w:val="15"/>
              </w:rPr>
            </w:pPr>
            <w:r w:rsidRPr="003F24A1">
              <w:rPr>
                <w:sz w:val="15"/>
                <w:szCs w:val="15"/>
              </w:rPr>
              <w:t>Brasil</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6.2</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6.3</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5.6</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5.7</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6.2</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6.3</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6.4</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6.5</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6.5</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6.5</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6.7</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6.6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6.6</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6.4</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7.1</w:t>
            </w:r>
          </w:p>
        </w:tc>
      </w:tr>
      <w:tr w:rsidR="003F24A1" w:rsidRPr="003F24A1" w:rsidTr="004B3C2F">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left="225" w:hanging="113"/>
              <w:rPr>
                <w:sz w:val="15"/>
                <w:szCs w:val="15"/>
              </w:rPr>
            </w:pPr>
            <w:r w:rsidRPr="003F24A1">
              <w:rPr>
                <w:sz w:val="15"/>
                <w:szCs w:val="15"/>
              </w:rPr>
              <w:t>China</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2.6</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2.0</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2.5</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2.0</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2.4</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1.8</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2.5</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2.3</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2.3</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2.0</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1.6</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1.6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1.4</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1.5</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0.8</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left="225" w:hanging="113"/>
              <w:rPr>
                <w:sz w:val="15"/>
                <w:szCs w:val="15"/>
              </w:rPr>
            </w:pPr>
            <w:r w:rsidRPr="003F24A1">
              <w:rPr>
                <w:sz w:val="15"/>
                <w:szCs w:val="15"/>
              </w:rPr>
              <w:t>India</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10.9</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6.4</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7.2</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6.7</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6.7</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7.1</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7.0</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6.5</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7.2</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6.8</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6.3</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5.0</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4.1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5.9</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7.2</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tcPr>
          <w:p w:rsidR="003F24A1" w:rsidRPr="003F24A1" w:rsidRDefault="003F24A1" w:rsidP="003F24A1">
            <w:pPr>
              <w:ind w:left="225" w:hanging="113"/>
              <w:rPr>
                <w:sz w:val="15"/>
                <w:szCs w:val="15"/>
              </w:rPr>
            </w:pPr>
            <w:r w:rsidRPr="003F24A1">
              <w:rPr>
                <w:sz w:val="15"/>
                <w:szCs w:val="15"/>
              </w:rPr>
              <w:t>Indonesia</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6.4</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6.4</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8.2</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7.7</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7.3</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7.3</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7.3</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6.7</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4.5</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4.0</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4.5</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4.8</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6.2</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8.4</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7.0</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left="225" w:hanging="113"/>
              <w:rPr>
                <w:sz w:val="15"/>
                <w:szCs w:val="15"/>
              </w:rPr>
            </w:pPr>
            <w:r w:rsidRPr="003F24A1">
              <w:rPr>
                <w:sz w:val="15"/>
                <w:szCs w:val="15"/>
              </w:rPr>
              <w:t>Federación Rusa</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6.8</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7.8</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6.1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6.2</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6.9</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7.3</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7.6</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7.8</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right="69"/>
              <w:jc w:val="right"/>
              <w:rPr>
                <w:sz w:val="15"/>
                <w:szCs w:val="15"/>
              </w:rPr>
            </w:pPr>
            <w:r w:rsidRPr="003F24A1">
              <w:rPr>
                <w:sz w:val="15"/>
                <w:szCs w:val="15"/>
              </w:rPr>
              <w:t>7.4</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1" w:right="70"/>
              <w:jc w:val="right"/>
              <w:rPr>
                <w:sz w:val="15"/>
                <w:szCs w:val="15"/>
              </w:rPr>
            </w:pPr>
            <w:r w:rsidRPr="003F24A1">
              <w:rPr>
                <w:sz w:val="15"/>
                <w:szCs w:val="15"/>
              </w:rPr>
              <w:t>7.6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8.0</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8.3</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9.1</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11.4</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14.9</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left="225" w:hanging="113"/>
              <w:rPr>
                <w:sz w:val="15"/>
                <w:szCs w:val="15"/>
              </w:rPr>
            </w:pPr>
            <w:r w:rsidRPr="003F24A1">
              <w:rPr>
                <w:sz w:val="15"/>
                <w:szCs w:val="15"/>
              </w:rPr>
              <w:t xml:space="preserve">Arabia Saudita </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3.5</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2.7</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2.9</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2.8</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2.6</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2.7</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2.7</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2.7</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2.6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2.8</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2.8</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2.6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2.5</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2.4</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2.2</w:t>
            </w:r>
          </w:p>
        </w:tc>
      </w:tr>
      <w:tr w:rsidR="003F24A1" w:rsidRPr="003F24A1" w:rsidTr="004B3C2F">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3F24A1" w:rsidRPr="003F24A1" w:rsidRDefault="003F24A1" w:rsidP="003F24A1">
            <w:pPr>
              <w:ind w:left="225" w:hanging="113"/>
              <w:rPr>
                <w:sz w:val="15"/>
                <w:szCs w:val="15"/>
              </w:rPr>
            </w:pPr>
            <w:r w:rsidRPr="003F24A1">
              <w:rPr>
                <w:sz w:val="15"/>
                <w:szCs w:val="15"/>
              </w:rPr>
              <w:t>Sudáfrica</w:t>
            </w:r>
          </w:p>
        </w:tc>
        <w:tc>
          <w:tcPr>
            <w:tcW w:w="46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84"/>
              <w:jc w:val="right"/>
              <w:rPr>
                <w:sz w:val="15"/>
                <w:szCs w:val="15"/>
              </w:rPr>
            </w:pPr>
            <w:r w:rsidRPr="003F24A1">
              <w:rPr>
                <w:sz w:val="15"/>
                <w:szCs w:val="15"/>
              </w:rPr>
              <w:t>5.8</w:t>
            </w:r>
          </w:p>
        </w:tc>
        <w:tc>
          <w:tcPr>
            <w:tcW w:w="463"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sz w:val="15"/>
                <w:szCs w:val="15"/>
              </w:rPr>
            </w:pPr>
            <w:r w:rsidRPr="003F24A1">
              <w:rPr>
                <w:sz w:val="15"/>
                <w:szCs w:val="15"/>
              </w:rPr>
              <w:t>6.1</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040" w:right="56"/>
              <w:jc w:val="right"/>
              <w:rPr>
                <w:b/>
                <w:sz w:val="15"/>
                <w:szCs w:val="15"/>
              </w:rPr>
            </w:pPr>
            <w:r w:rsidRPr="003F24A1">
              <w:rPr>
                <w:b/>
                <w:sz w:val="15"/>
                <w:szCs w:val="15"/>
              </w:rPr>
              <w:t>5.8</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5.9</w:t>
            </w:r>
          </w:p>
        </w:tc>
        <w:tc>
          <w:tcPr>
            <w:tcW w:w="462"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6.1</w:t>
            </w:r>
          </w:p>
        </w:tc>
        <w:tc>
          <w:tcPr>
            <w:tcW w:w="44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302" w:right="70" w:firstLine="141"/>
              <w:jc w:val="right"/>
              <w:rPr>
                <w:sz w:val="15"/>
                <w:szCs w:val="15"/>
              </w:rPr>
            </w:pPr>
            <w:r w:rsidRPr="003F24A1">
              <w:rPr>
                <w:sz w:val="15"/>
                <w:szCs w:val="15"/>
              </w:rPr>
              <w:t>6.2</w:t>
            </w:r>
          </w:p>
        </w:tc>
        <w:tc>
          <w:tcPr>
            <w:tcW w:w="420"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6.8</w:t>
            </w:r>
          </w:p>
        </w:tc>
        <w:tc>
          <w:tcPr>
            <w:tcW w:w="462" w:type="dxa"/>
            <w:gridSpan w:val="2"/>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98" w:firstLine="141"/>
              <w:jc w:val="right"/>
              <w:rPr>
                <w:sz w:val="15"/>
                <w:szCs w:val="15"/>
              </w:rPr>
            </w:pPr>
            <w:r w:rsidRPr="003F24A1">
              <w:rPr>
                <w:sz w:val="15"/>
                <w:szCs w:val="15"/>
              </w:rPr>
              <w:t>6.8</w:t>
            </w:r>
          </w:p>
        </w:tc>
        <w:tc>
          <w:tcPr>
            <w:tcW w:w="447"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69" w:firstLine="141"/>
              <w:jc w:val="right"/>
              <w:rPr>
                <w:sz w:val="15"/>
                <w:szCs w:val="15"/>
              </w:rPr>
            </w:pPr>
            <w:r w:rsidRPr="003F24A1">
              <w:rPr>
                <w:sz w:val="15"/>
                <w:szCs w:val="15"/>
              </w:rPr>
              <w:t>6.6</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6.4</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1995" w:right="70" w:firstLine="141"/>
              <w:jc w:val="right"/>
              <w:rPr>
                <w:sz w:val="15"/>
                <w:szCs w:val="15"/>
              </w:rPr>
            </w:pPr>
            <w:r w:rsidRPr="003F24A1">
              <w:rPr>
                <w:sz w:val="15"/>
                <w:szCs w:val="15"/>
              </w:rPr>
              <w:t>5.9</w:t>
            </w:r>
          </w:p>
        </w:tc>
        <w:tc>
          <w:tcPr>
            <w:tcW w:w="378"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56" w:firstLine="1134"/>
              <w:jc w:val="right"/>
              <w:rPr>
                <w:sz w:val="15"/>
                <w:szCs w:val="15"/>
              </w:rPr>
            </w:pPr>
            <w:r w:rsidRPr="003F24A1">
              <w:rPr>
                <w:sz w:val="15"/>
                <w:szCs w:val="15"/>
              </w:rPr>
              <w:t>5.9</w:t>
            </w:r>
          </w:p>
        </w:tc>
        <w:tc>
          <w:tcPr>
            <w:tcW w:w="434"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5.8</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70" w:firstLine="1134"/>
              <w:jc w:val="right"/>
              <w:rPr>
                <w:sz w:val="15"/>
                <w:szCs w:val="15"/>
              </w:rPr>
            </w:pPr>
            <w:r w:rsidRPr="003F24A1">
              <w:rPr>
                <w:sz w:val="15"/>
                <w:szCs w:val="15"/>
              </w:rPr>
              <w:t>5.3</w:t>
            </w:r>
          </w:p>
        </w:tc>
        <w:tc>
          <w:tcPr>
            <w:tcW w:w="476" w:type="dxa"/>
            <w:tcBorders>
              <w:top w:val="nil"/>
              <w:left w:val="nil"/>
              <w:bottom w:val="single" w:sz="4" w:space="0" w:color="auto"/>
              <w:right w:val="single" w:sz="4" w:space="0" w:color="auto"/>
            </w:tcBorders>
            <w:shd w:val="clear" w:color="auto" w:fill="auto"/>
            <w:vAlign w:val="bottom"/>
          </w:tcPr>
          <w:p w:rsidR="003F24A1" w:rsidRPr="003F24A1" w:rsidRDefault="003F24A1" w:rsidP="003F24A1">
            <w:pPr>
              <w:ind w:left="-2265" w:right="112" w:firstLine="1134"/>
              <w:jc w:val="right"/>
              <w:rPr>
                <w:b/>
                <w:sz w:val="15"/>
                <w:szCs w:val="15"/>
              </w:rPr>
            </w:pPr>
            <w:r w:rsidRPr="003F24A1">
              <w:rPr>
                <w:b/>
                <w:sz w:val="15"/>
                <w:szCs w:val="15"/>
              </w:rPr>
              <w:t>4.4</w:t>
            </w:r>
          </w:p>
        </w:tc>
      </w:tr>
      <w:tr w:rsidR="003F24A1" w:rsidRPr="003F24A1" w:rsidTr="004B3C2F">
        <w:trPr>
          <w:trHeight w:val="1622"/>
          <w:jc w:val="center"/>
        </w:trPr>
        <w:tc>
          <w:tcPr>
            <w:tcW w:w="8399" w:type="dxa"/>
            <w:gridSpan w:val="17"/>
            <w:tcBorders>
              <w:top w:val="single" w:sz="4" w:space="0" w:color="auto"/>
              <w:left w:val="nil"/>
              <w:bottom w:val="nil"/>
              <w:right w:val="nil"/>
            </w:tcBorders>
            <w:shd w:val="clear" w:color="auto" w:fill="auto"/>
            <w:noWrap/>
            <w:vAlign w:val="bottom"/>
          </w:tcPr>
          <w:p w:rsidR="003F24A1" w:rsidRPr="003F24A1" w:rsidRDefault="003F24A1" w:rsidP="003F24A1">
            <w:pPr>
              <w:tabs>
                <w:tab w:val="decimal" w:pos="-175"/>
                <w:tab w:val="left" w:pos="35"/>
              </w:tabs>
              <w:autoSpaceDE w:val="0"/>
              <w:autoSpaceDN w:val="0"/>
              <w:adjustRightInd w:val="0"/>
              <w:ind w:right="-72" w:firstLine="364"/>
              <w:jc w:val="both"/>
              <w:rPr>
                <w:sz w:val="14"/>
                <w:szCs w:val="14"/>
              </w:rPr>
            </w:pPr>
            <w:r w:rsidRPr="003F24A1">
              <w:rPr>
                <w:sz w:val="14"/>
                <w:szCs w:val="14"/>
              </w:rPr>
              <w:t xml:space="preserve">Nota: IAPC: Índice Armonizado de Precios al Consumidor; IPC: Índice de Precios al Consumidor; </w:t>
            </w:r>
          </w:p>
          <w:p w:rsidR="003F24A1" w:rsidRPr="003F24A1" w:rsidRDefault="003F24A1" w:rsidP="003F24A1">
            <w:pPr>
              <w:tabs>
                <w:tab w:val="decimal" w:pos="-175"/>
                <w:tab w:val="left" w:pos="35"/>
              </w:tabs>
              <w:autoSpaceDE w:val="0"/>
              <w:autoSpaceDN w:val="0"/>
              <w:adjustRightInd w:val="0"/>
              <w:ind w:right="-72" w:firstLine="406"/>
              <w:jc w:val="both"/>
              <w:rPr>
                <w:sz w:val="14"/>
                <w:szCs w:val="14"/>
              </w:rPr>
            </w:pPr>
            <w:r w:rsidRPr="003F24A1">
              <w:rPr>
                <w:sz w:val="14"/>
                <w:szCs w:val="14"/>
              </w:rPr>
              <w:t>N.D. no disponible</w:t>
            </w:r>
          </w:p>
          <w:p w:rsidR="003F24A1" w:rsidRPr="003F24A1" w:rsidRDefault="003F24A1" w:rsidP="003F24A1">
            <w:pPr>
              <w:tabs>
                <w:tab w:val="decimal" w:pos="-175"/>
                <w:tab w:val="left" w:pos="35"/>
              </w:tabs>
              <w:autoSpaceDE w:val="0"/>
              <w:autoSpaceDN w:val="0"/>
              <w:adjustRightInd w:val="0"/>
              <w:ind w:right="-72" w:firstLine="532"/>
              <w:jc w:val="both"/>
              <w:rPr>
                <w:sz w:val="14"/>
                <w:szCs w:val="14"/>
              </w:rPr>
            </w:pPr>
            <w:proofErr w:type="gramStart"/>
            <w:r w:rsidRPr="003F24A1">
              <w:rPr>
                <w:sz w:val="15"/>
                <w:szCs w:val="15"/>
                <w:u w:val="single"/>
                <w:vertAlign w:val="superscript"/>
              </w:rPr>
              <w:t>b</w:t>
            </w:r>
            <w:proofErr w:type="gramEnd"/>
            <w:r w:rsidRPr="003F24A1">
              <w:rPr>
                <w:sz w:val="15"/>
                <w:szCs w:val="15"/>
                <w:vertAlign w:val="superscript"/>
              </w:rPr>
              <w:t>/</w:t>
            </w:r>
            <w:r w:rsidRPr="003F24A1">
              <w:rPr>
                <w:sz w:val="14"/>
                <w:szCs w:val="14"/>
              </w:rPr>
              <w:t>: dato temporal.</w:t>
            </w:r>
          </w:p>
          <w:p w:rsidR="003F24A1" w:rsidRPr="003F24A1" w:rsidRDefault="003F24A1" w:rsidP="003F24A1">
            <w:pPr>
              <w:ind w:firstLine="686"/>
              <w:jc w:val="both"/>
              <w:rPr>
                <w:sz w:val="14"/>
                <w:szCs w:val="14"/>
              </w:rPr>
            </w:pPr>
            <w:r w:rsidRPr="003F24A1">
              <w:rPr>
                <w:sz w:val="14"/>
                <w:szCs w:val="14"/>
              </w:rPr>
              <w:t>El IAPC solamente se utiliza para el Área Euro y la Unión Europea, para todos los demás se utiliza el IPC.</w:t>
            </w:r>
          </w:p>
          <w:p w:rsidR="003F24A1" w:rsidRPr="003F24A1" w:rsidRDefault="003F24A1" w:rsidP="003F24A1">
            <w:pPr>
              <w:ind w:left="689" w:hanging="101"/>
              <w:jc w:val="both"/>
              <w:rPr>
                <w:sz w:val="14"/>
                <w:szCs w:val="14"/>
              </w:rPr>
            </w:pPr>
            <w:r w:rsidRPr="003F24A1">
              <w:rPr>
                <w:sz w:val="14"/>
                <w:szCs w:val="14"/>
                <w:u w:val="single"/>
                <w:vertAlign w:val="superscript"/>
              </w:rPr>
              <w:t>1</w:t>
            </w:r>
            <w:r w:rsidRPr="003F24A1">
              <w:rPr>
                <w:sz w:val="14"/>
                <w:szCs w:val="14"/>
                <w:vertAlign w:val="superscript"/>
              </w:rPr>
              <w:t>/</w:t>
            </w:r>
            <w:r w:rsidRPr="003F24A1">
              <w:rPr>
                <w:sz w:val="14"/>
                <w:szCs w:val="14"/>
              </w:rPr>
              <w:t xml:space="preserve"> La OCDE Total cubre los 34 países miembros de la OCDE: Alemania, Australia, Austria, Bélgica, Canadá, Corea, Chile, Dinamarca, Estados Unidos de Norteamérica, Eslovenia, España, Estonia, Finlandia, Francia, Grecia, Hungría, Islandia, Irlanda, Israel, Italia, Japón, Luxemburgo, México, Nueva Zelanda, Noruega, Países Bajos, Polonia, Portugal, República Checa,  República Eslovaca, Reino Unido, Suecia, Suiza y Turquía.</w:t>
            </w:r>
          </w:p>
          <w:p w:rsidR="003F24A1" w:rsidRPr="003F24A1" w:rsidRDefault="003F24A1" w:rsidP="003F24A1">
            <w:pPr>
              <w:ind w:left="689" w:hanging="140"/>
              <w:jc w:val="both"/>
              <w:rPr>
                <w:sz w:val="14"/>
                <w:szCs w:val="14"/>
              </w:rPr>
            </w:pPr>
            <w:r w:rsidRPr="003F24A1">
              <w:rPr>
                <w:sz w:val="14"/>
                <w:szCs w:val="14"/>
                <w:u w:val="single"/>
                <w:vertAlign w:val="superscript"/>
              </w:rPr>
              <w:t>2</w:t>
            </w:r>
            <w:r w:rsidR="00F97F64" w:rsidRPr="003F24A1">
              <w:rPr>
                <w:sz w:val="14"/>
                <w:szCs w:val="14"/>
                <w:vertAlign w:val="superscript"/>
              </w:rPr>
              <w:t xml:space="preserve">/ </w:t>
            </w:r>
            <w:r w:rsidR="00F97F64" w:rsidRPr="003F24A1">
              <w:rPr>
                <w:sz w:val="14"/>
                <w:szCs w:val="14"/>
              </w:rPr>
              <w:t>El</w:t>
            </w:r>
            <w:r w:rsidRPr="003F24A1">
              <w:rPr>
                <w:sz w:val="14"/>
                <w:szCs w:val="14"/>
              </w:rPr>
              <w:t xml:space="preserve"> área G7 cubre: Alemania, Canadá, Estados Unidos de Norteamérica, Francia, Italia, Japón y Reino Unido.</w:t>
            </w:r>
          </w:p>
          <w:p w:rsidR="003F24A1" w:rsidRPr="003F24A1" w:rsidRDefault="003F24A1" w:rsidP="003F24A1">
            <w:pPr>
              <w:ind w:left="689" w:hanging="140"/>
              <w:jc w:val="both"/>
              <w:rPr>
                <w:sz w:val="14"/>
                <w:szCs w:val="14"/>
              </w:rPr>
            </w:pPr>
            <w:r w:rsidRPr="003F24A1">
              <w:rPr>
                <w:sz w:val="14"/>
                <w:szCs w:val="14"/>
                <w:u w:val="single"/>
                <w:vertAlign w:val="superscript"/>
              </w:rPr>
              <w:t>3</w:t>
            </w:r>
            <w:r w:rsidRPr="003F24A1">
              <w:rPr>
                <w:sz w:val="14"/>
                <w:szCs w:val="14"/>
                <w:vertAlign w:val="superscript"/>
              </w:rPr>
              <w:t>/</w:t>
            </w:r>
            <w:r w:rsidRPr="003F24A1">
              <w:rPr>
                <w:sz w:val="14"/>
                <w:szCs w:val="14"/>
              </w:rPr>
              <w:t xml:space="preserve"> El Área Euro cubre los siguientes 15 países: Alemania, Austria, Bélgica, Chipre, Eslovenia, España, Finlandia, Francia, Grecia, Italia, Irlanda, Luxemburgo, Malta, Países Bajos y Portugal.</w:t>
            </w:r>
          </w:p>
          <w:p w:rsidR="003F24A1" w:rsidRPr="003F24A1" w:rsidRDefault="003F24A1" w:rsidP="003F24A1">
            <w:pPr>
              <w:ind w:left="706" w:hanging="140"/>
              <w:jc w:val="both"/>
              <w:rPr>
                <w:sz w:val="14"/>
                <w:szCs w:val="14"/>
              </w:rPr>
            </w:pPr>
            <w:r w:rsidRPr="003F24A1">
              <w:rPr>
                <w:sz w:val="14"/>
                <w:szCs w:val="14"/>
                <w:u w:val="single"/>
                <w:vertAlign w:val="superscript"/>
              </w:rPr>
              <w:t>4</w:t>
            </w:r>
            <w:r w:rsidRPr="003F24A1">
              <w:rPr>
                <w:sz w:val="14"/>
                <w:szCs w:val="14"/>
                <w:vertAlign w:val="superscript"/>
              </w:rPr>
              <w:t>/</w:t>
            </w:r>
            <w:r w:rsidRPr="003F24A1">
              <w:rPr>
                <w:sz w:val="14"/>
                <w:szCs w:val="14"/>
              </w:rPr>
              <w:t xml:space="preserve"> La Unión Europea se refiere a la composición actual de la Unión </w:t>
            </w:r>
            <w:r w:rsidR="00F97F64" w:rsidRPr="003F24A1">
              <w:rPr>
                <w:sz w:val="14"/>
                <w:szCs w:val="14"/>
              </w:rPr>
              <w:t>Europea (</w:t>
            </w:r>
            <w:r w:rsidRPr="003F24A1">
              <w:rPr>
                <w:sz w:val="14"/>
                <w:szCs w:val="14"/>
              </w:rPr>
              <w:t>27 países</w:t>
            </w:r>
            <w:r w:rsidR="00F97F64" w:rsidRPr="003F24A1">
              <w:rPr>
                <w:sz w:val="14"/>
                <w:szCs w:val="14"/>
              </w:rPr>
              <w:t>) para</w:t>
            </w:r>
            <w:r w:rsidRPr="003F24A1">
              <w:rPr>
                <w:sz w:val="14"/>
                <w:szCs w:val="14"/>
              </w:rPr>
              <w:t xml:space="preserve"> el período completo de las series de tiempo.</w:t>
            </w:r>
          </w:p>
          <w:p w:rsidR="003F24A1" w:rsidRPr="003F24A1" w:rsidRDefault="003F24A1" w:rsidP="003F24A1">
            <w:pPr>
              <w:widowControl w:val="0"/>
              <w:autoSpaceDE w:val="0"/>
              <w:autoSpaceDN w:val="0"/>
              <w:adjustRightInd w:val="0"/>
              <w:spacing w:before="33"/>
              <w:ind w:left="672" w:hanging="98"/>
              <w:jc w:val="both"/>
              <w:rPr>
                <w:sz w:val="14"/>
                <w:szCs w:val="14"/>
              </w:rPr>
            </w:pPr>
            <w:r w:rsidRPr="003F24A1">
              <w:rPr>
                <w:sz w:val="14"/>
                <w:szCs w:val="14"/>
              </w:rPr>
              <w:t>* Ver nota metodológica: :</w:t>
            </w:r>
            <w:r w:rsidRPr="003F24A1">
              <w:rPr>
                <w:spacing w:val="-5"/>
                <w:sz w:val="14"/>
                <w:szCs w:val="14"/>
              </w:rPr>
              <w:t xml:space="preserve"> </w:t>
            </w:r>
            <w:r w:rsidRPr="003F24A1">
              <w:rPr>
                <w:color w:val="3D648A"/>
                <w:spacing w:val="-44"/>
                <w:sz w:val="14"/>
                <w:szCs w:val="14"/>
              </w:rPr>
              <w:t xml:space="preserve"> </w:t>
            </w:r>
            <w:hyperlink r:id="rId52" w:history="1">
              <w:r w:rsidRPr="003F24A1">
                <w:rPr>
                  <w:color w:val="3D648A"/>
                  <w:spacing w:val="-1"/>
                  <w:sz w:val="14"/>
                  <w:szCs w:val="14"/>
                  <w:u w:val="single"/>
                </w:rPr>
                <w:t>h</w:t>
              </w:r>
              <w:r w:rsidRPr="003F24A1">
                <w:rPr>
                  <w:color w:val="3D648A"/>
                  <w:sz w:val="14"/>
                  <w:szCs w:val="14"/>
                  <w:u w:val="single"/>
                </w:rPr>
                <w:t>tt</w:t>
              </w:r>
              <w:r w:rsidRPr="003F24A1">
                <w:rPr>
                  <w:color w:val="3D648A"/>
                  <w:spacing w:val="1"/>
                  <w:sz w:val="14"/>
                  <w:szCs w:val="14"/>
                  <w:u w:val="single"/>
                </w:rPr>
                <w:t>p</w:t>
              </w:r>
              <w:r w:rsidRPr="003F24A1">
                <w:rPr>
                  <w:color w:val="3D648A"/>
                  <w:sz w:val="14"/>
                  <w:szCs w:val="14"/>
                  <w:u w:val="single"/>
                </w:rPr>
                <w:t>:/</w:t>
              </w:r>
              <w:r w:rsidRPr="003F24A1">
                <w:rPr>
                  <w:color w:val="3D648A"/>
                  <w:spacing w:val="2"/>
                  <w:sz w:val="14"/>
                  <w:szCs w:val="14"/>
                  <w:u w:val="single"/>
                </w:rPr>
                <w:t>/</w:t>
              </w:r>
              <w:r w:rsidRPr="003F24A1">
                <w:rPr>
                  <w:color w:val="3D648A"/>
                  <w:sz w:val="14"/>
                  <w:szCs w:val="14"/>
                  <w:u w:val="single"/>
                </w:rPr>
                <w:t>ww</w:t>
              </w:r>
              <w:r w:rsidRPr="003F24A1">
                <w:rPr>
                  <w:color w:val="3D648A"/>
                  <w:spacing w:val="-2"/>
                  <w:sz w:val="14"/>
                  <w:szCs w:val="14"/>
                  <w:u w:val="single"/>
                </w:rPr>
                <w:t>w</w:t>
              </w:r>
              <w:r w:rsidRPr="003F24A1">
                <w:rPr>
                  <w:color w:val="3D648A"/>
                  <w:spacing w:val="1"/>
                  <w:sz w:val="14"/>
                  <w:szCs w:val="14"/>
                  <w:u w:val="single"/>
                </w:rPr>
                <w:t>.o</w:t>
              </w:r>
              <w:r w:rsidRPr="003F24A1">
                <w:rPr>
                  <w:color w:val="3D648A"/>
                  <w:sz w:val="14"/>
                  <w:szCs w:val="14"/>
                  <w:u w:val="single"/>
                </w:rPr>
                <w:t>ec</w:t>
              </w:r>
              <w:r w:rsidRPr="003F24A1">
                <w:rPr>
                  <w:color w:val="3D648A"/>
                  <w:spacing w:val="1"/>
                  <w:sz w:val="14"/>
                  <w:szCs w:val="14"/>
                  <w:u w:val="single"/>
                </w:rPr>
                <w:t>d.or</w:t>
              </w:r>
              <w:r w:rsidRPr="003F24A1">
                <w:rPr>
                  <w:color w:val="3D648A"/>
                  <w:spacing w:val="-1"/>
                  <w:sz w:val="14"/>
                  <w:szCs w:val="14"/>
                  <w:u w:val="single"/>
                </w:rPr>
                <w:t>g</w:t>
              </w:r>
              <w:r w:rsidRPr="003F24A1">
                <w:rPr>
                  <w:color w:val="3D648A"/>
                  <w:sz w:val="14"/>
                  <w:szCs w:val="14"/>
                  <w:u w:val="single"/>
                </w:rPr>
                <w:t>/</w:t>
              </w:r>
              <w:r w:rsidRPr="003F24A1">
                <w:rPr>
                  <w:color w:val="3D648A"/>
                  <w:spacing w:val="-1"/>
                  <w:sz w:val="14"/>
                  <w:szCs w:val="14"/>
                  <w:u w:val="single"/>
                </w:rPr>
                <w:t>s</w:t>
              </w:r>
              <w:r w:rsidRPr="003F24A1">
                <w:rPr>
                  <w:color w:val="3D648A"/>
                  <w:sz w:val="14"/>
                  <w:szCs w:val="14"/>
                  <w:u w:val="single"/>
                </w:rPr>
                <w:t>t</w:t>
              </w:r>
              <w:r w:rsidRPr="003F24A1">
                <w:rPr>
                  <w:color w:val="3D648A"/>
                  <w:spacing w:val="1"/>
                  <w:sz w:val="14"/>
                  <w:szCs w:val="14"/>
                  <w:u w:val="single"/>
                </w:rPr>
                <w:t>d</w:t>
              </w:r>
              <w:r w:rsidRPr="003F24A1">
                <w:rPr>
                  <w:color w:val="3D648A"/>
                  <w:sz w:val="14"/>
                  <w:szCs w:val="14"/>
                  <w:u w:val="single"/>
                </w:rPr>
                <w:t>/</w:t>
              </w:r>
              <w:r w:rsidRPr="003F24A1">
                <w:rPr>
                  <w:color w:val="3D648A"/>
                  <w:spacing w:val="1"/>
                  <w:sz w:val="14"/>
                  <w:szCs w:val="14"/>
                  <w:u w:val="single"/>
                </w:rPr>
                <w:t>pr</w:t>
              </w:r>
              <w:r w:rsidRPr="003F24A1">
                <w:rPr>
                  <w:color w:val="3D648A"/>
                  <w:sz w:val="14"/>
                  <w:szCs w:val="14"/>
                  <w:u w:val="single"/>
                </w:rPr>
                <w:t>ice</w:t>
              </w:r>
              <w:r w:rsidRPr="003F24A1">
                <w:rPr>
                  <w:color w:val="3D648A"/>
                  <w:spacing w:val="-1"/>
                  <w:sz w:val="14"/>
                  <w:szCs w:val="14"/>
                  <w:u w:val="single"/>
                </w:rPr>
                <w:t>s</w:t>
              </w:r>
              <w:r w:rsidRPr="003F24A1">
                <w:rPr>
                  <w:color w:val="3D648A"/>
                  <w:spacing w:val="3"/>
                  <w:sz w:val="14"/>
                  <w:szCs w:val="14"/>
                  <w:u w:val="single"/>
                </w:rPr>
                <w:t>a</w:t>
              </w:r>
              <w:r w:rsidRPr="003F24A1">
                <w:rPr>
                  <w:color w:val="3D648A"/>
                  <w:spacing w:val="-1"/>
                  <w:sz w:val="14"/>
                  <w:szCs w:val="14"/>
                  <w:u w:val="single"/>
                </w:rPr>
                <w:t>n</w:t>
              </w:r>
              <w:r w:rsidRPr="003F24A1">
                <w:rPr>
                  <w:color w:val="3D648A"/>
                  <w:spacing w:val="1"/>
                  <w:sz w:val="14"/>
                  <w:szCs w:val="14"/>
                  <w:u w:val="single"/>
                </w:rPr>
                <w:t>dp</w:t>
              </w:r>
              <w:r w:rsidRPr="003F24A1">
                <w:rPr>
                  <w:color w:val="3D648A"/>
                  <w:spacing w:val="-1"/>
                  <w:sz w:val="14"/>
                  <w:szCs w:val="14"/>
                  <w:u w:val="single"/>
                </w:rPr>
                <w:t>u</w:t>
              </w:r>
              <w:r w:rsidRPr="003F24A1">
                <w:rPr>
                  <w:color w:val="3D648A"/>
                  <w:spacing w:val="1"/>
                  <w:sz w:val="14"/>
                  <w:szCs w:val="14"/>
                  <w:u w:val="single"/>
                </w:rPr>
                <w:t>r</w:t>
              </w:r>
              <w:r w:rsidRPr="003F24A1">
                <w:rPr>
                  <w:color w:val="3D648A"/>
                  <w:sz w:val="14"/>
                  <w:szCs w:val="14"/>
                  <w:u w:val="single"/>
                </w:rPr>
                <w:t>c</w:t>
              </w:r>
              <w:r w:rsidRPr="003F24A1">
                <w:rPr>
                  <w:color w:val="3D648A"/>
                  <w:spacing w:val="-1"/>
                  <w:sz w:val="14"/>
                  <w:szCs w:val="14"/>
                  <w:u w:val="single"/>
                </w:rPr>
                <w:t>h</w:t>
              </w:r>
              <w:r w:rsidRPr="003F24A1">
                <w:rPr>
                  <w:color w:val="3D648A"/>
                  <w:sz w:val="14"/>
                  <w:szCs w:val="14"/>
                  <w:u w:val="single"/>
                </w:rPr>
                <w:t>a</w:t>
              </w:r>
              <w:r w:rsidRPr="003F24A1">
                <w:rPr>
                  <w:color w:val="3D648A"/>
                  <w:spacing w:val="-1"/>
                  <w:sz w:val="14"/>
                  <w:szCs w:val="14"/>
                  <w:u w:val="single"/>
                </w:rPr>
                <w:t>s</w:t>
              </w:r>
              <w:r w:rsidRPr="003F24A1">
                <w:rPr>
                  <w:color w:val="3D648A"/>
                  <w:spacing w:val="2"/>
                  <w:sz w:val="14"/>
                  <w:szCs w:val="14"/>
                  <w:u w:val="single"/>
                </w:rPr>
                <w:t>i</w:t>
              </w:r>
              <w:r w:rsidRPr="003F24A1">
                <w:rPr>
                  <w:color w:val="3D648A"/>
                  <w:spacing w:val="1"/>
                  <w:sz w:val="14"/>
                  <w:szCs w:val="14"/>
                  <w:u w:val="single"/>
                </w:rPr>
                <w:t>n</w:t>
              </w:r>
              <w:r w:rsidRPr="003F24A1">
                <w:rPr>
                  <w:color w:val="3D648A"/>
                  <w:spacing w:val="-1"/>
                  <w:sz w:val="14"/>
                  <w:szCs w:val="14"/>
                  <w:u w:val="single"/>
                </w:rPr>
                <w:t>g</w:t>
              </w:r>
              <w:r w:rsidRPr="003F24A1">
                <w:rPr>
                  <w:color w:val="3D648A"/>
                  <w:spacing w:val="1"/>
                  <w:sz w:val="14"/>
                  <w:szCs w:val="14"/>
                  <w:u w:val="single"/>
                </w:rPr>
                <w:t>p</w:t>
              </w:r>
              <w:r w:rsidRPr="003F24A1">
                <w:rPr>
                  <w:color w:val="3D648A"/>
                  <w:spacing w:val="4"/>
                  <w:sz w:val="14"/>
                  <w:szCs w:val="14"/>
                  <w:u w:val="single"/>
                </w:rPr>
                <w:t>o</w:t>
              </w:r>
              <w:r w:rsidRPr="003F24A1">
                <w:rPr>
                  <w:color w:val="3D648A"/>
                  <w:spacing w:val="-5"/>
                  <w:sz w:val="14"/>
                  <w:szCs w:val="14"/>
                  <w:u w:val="single"/>
                </w:rPr>
                <w:t>w</w:t>
              </w:r>
              <w:r w:rsidRPr="003F24A1">
                <w:rPr>
                  <w:color w:val="3D648A"/>
                  <w:sz w:val="14"/>
                  <w:szCs w:val="14"/>
                  <w:u w:val="single"/>
                </w:rPr>
                <w:t>e</w:t>
              </w:r>
              <w:r w:rsidRPr="003F24A1">
                <w:rPr>
                  <w:color w:val="3D648A"/>
                  <w:spacing w:val="1"/>
                  <w:sz w:val="14"/>
                  <w:szCs w:val="14"/>
                  <w:u w:val="single"/>
                </w:rPr>
                <w:t>rp</w:t>
              </w:r>
              <w:r w:rsidRPr="003F24A1">
                <w:rPr>
                  <w:color w:val="3D648A"/>
                  <w:sz w:val="14"/>
                  <w:szCs w:val="14"/>
                  <w:u w:val="single"/>
                </w:rPr>
                <w:t>a</w:t>
              </w:r>
              <w:r w:rsidRPr="003F24A1">
                <w:rPr>
                  <w:color w:val="3D648A"/>
                  <w:spacing w:val="1"/>
                  <w:sz w:val="14"/>
                  <w:szCs w:val="14"/>
                  <w:u w:val="single"/>
                </w:rPr>
                <w:t>r</w:t>
              </w:r>
              <w:r w:rsidRPr="003F24A1">
                <w:rPr>
                  <w:color w:val="3D648A"/>
                  <w:sz w:val="14"/>
                  <w:szCs w:val="14"/>
                  <w:u w:val="single"/>
                </w:rPr>
                <w:t>itie</w:t>
              </w:r>
              <w:r w:rsidRPr="003F24A1">
                <w:rPr>
                  <w:color w:val="3D648A"/>
                  <w:spacing w:val="-1"/>
                  <w:sz w:val="14"/>
                  <w:szCs w:val="14"/>
                  <w:u w:val="single"/>
                </w:rPr>
                <w:t>s</w:t>
              </w:r>
              <w:r w:rsidRPr="003F24A1">
                <w:rPr>
                  <w:color w:val="3D648A"/>
                  <w:spacing w:val="1"/>
                  <w:sz w:val="14"/>
                  <w:szCs w:val="14"/>
                  <w:u w:val="single"/>
                </w:rPr>
                <w:t>ppp</w:t>
              </w:r>
              <w:r w:rsidRPr="003F24A1">
                <w:rPr>
                  <w:color w:val="3D648A"/>
                  <w:sz w:val="14"/>
                  <w:szCs w:val="14"/>
                  <w:u w:val="single"/>
                </w:rPr>
                <w:t>/</w:t>
              </w:r>
              <w:r w:rsidRPr="003F24A1">
                <w:rPr>
                  <w:color w:val="3D648A"/>
                  <w:spacing w:val="1"/>
                  <w:sz w:val="14"/>
                  <w:szCs w:val="14"/>
                  <w:u w:val="single"/>
                </w:rPr>
                <w:t>470</w:t>
              </w:r>
              <w:r w:rsidRPr="003F24A1">
                <w:rPr>
                  <w:color w:val="3D648A"/>
                  <w:spacing w:val="-1"/>
                  <w:sz w:val="14"/>
                  <w:szCs w:val="14"/>
                  <w:u w:val="single"/>
                </w:rPr>
                <w:t>1</w:t>
              </w:r>
              <w:r w:rsidRPr="003F24A1">
                <w:rPr>
                  <w:color w:val="3D648A"/>
                  <w:spacing w:val="1"/>
                  <w:sz w:val="14"/>
                  <w:szCs w:val="14"/>
                  <w:u w:val="single"/>
                </w:rPr>
                <w:t>0757</w:t>
              </w:r>
              <w:r w:rsidRPr="003F24A1">
                <w:rPr>
                  <w:color w:val="3D648A"/>
                  <w:spacing w:val="-2"/>
                  <w:sz w:val="14"/>
                  <w:szCs w:val="14"/>
                  <w:u w:val="single"/>
                </w:rPr>
                <w:t>.</w:t>
              </w:r>
              <w:r w:rsidRPr="003F24A1">
                <w:rPr>
                  <w:color w:val="3D648A"/>
                  <w:spacing w:val="1"/>
                  <w:sz w:val="14"/>
                  <w:szCs w:val="14"/>
                  <w:u w:val="single"/>
                </w:rPr>
                <w:t>pdf</w:t>
              </w:r>
            </w:hyperlink>
            <w:r w:rsidRPr="003F24A1">
              <w:rPr>
                <w:color w:val="3D648A"/>
                <w:spacing w:val="-44"/>
                <w:sz w:val="20"/>
                <w:szCs w:val="20"/>
              </w:rPr>
              <w:t xml:space="preserve">        </w:t>
            </w:r>
            <w:r w:rsidRPr="003F24A1">
              <w:rPr>
                <w:sz w:val="14"/>
                <w:szCs w:val="14"/>
              </w:rPr>
              <w:t xml:space="preserve"> </w:t>
            </w:r>
          </w:p>
          <w:p w:rsidR="003F24A1" w:rsidRPr="003F24A1" w:rsidRDefault="003F24A1" w:rsidP="003F24A1">
            <w:pPr>
              <w:widowControl w:val="0"/>
              <w:autoSpaceDE w:val="0"/>
              <w:autoSpaceDN w:val="0"/>
              <w:adjustRightInd w:val="0"/>
              <w:spacing w:before="33"/>
              <w:ind w:left="672"/>
              <w:jc w:val="both"/>
              <w:rPr>
                <w:sz w:val="14"/>
                <w:szCs w:val="14"/>
              </w:rPr>
            </w:pPr>
            <w:r w:rsidRPr="003F24A1">
              <w:rPr>
                <w:sz w:val="14"/>
                <w:szCs w:val="14"/>
              </w:rPr>
              <w:t xml:space="preserve">G20 está integrado por: Argentina, Australia, Brasil, Canadá, China, Francia, Alemania, India, Indonesia, Italia, Japón, Corea, México, Federación Rusa, Arabia Saudita, Sudáfrica, Turquía, Reino Unido, Estados Unidos de Norteamérica y la Unión Europea.   </w:t>
            </w:r>
          </w:p>
          <w:p w:rsidR="003F24A1" w:rsidRPr="003F24A1" w:rsidRDefault="003F24A1" w:rsidP="003F24A1">
            <w:pPr>
              <w:ind w:left="56"/>
              <w:jc w:val="both"/>
              <w:rPr>
                <w:rFonts w:ascii="Arial" w:hAnsi="Arial" w:cs="Arial"/>
                <w:sz w:val="14"/>
                <w:szCs w:val="14"/>
              </w:rPr>
            </w:pPr>
            <w:r w:rsidRPr="003F24A1">
              <w:rPr>
                <w:sz w:val="14"/>
                <w:szCs w:val="14"/>
              </w:rPr>
              <w:t xml:space="preserve">FUENTE: OECD </w:t>
            </w:r>
            <w:proofErr w:type="spellStart"/>
            <w:r w:rsidRPr="003F24A1">
              <w:rPr>
                <w:sz w:val="14"/>
                <w:szCs w:val="14"/>
              </w:rPr>
              <w:t>Consumer</w:t>
            </w:r>
            <w:proofErr w:type="spellEnd"/>
            <w:r w:rsidRPr="003F24A1">
              <w:rPr>
                <w:sz w:val="14"/>
                <w:szCs w:val="14"/>
              </w:rPr>
              <w:t xml:space="preserve"> Price </w:t>
            </w:r>
            <w:proofErr w:type="spellStart"/>
            <w:r w:rsidRPr="003F24A1">
              <w:rPr>
                <w:sz w:val="14"/>
                <w:szCs w:val="14"/>
              </w:rPr>
              <w:t>Index</w:t>
            </w:r>
            <w:proofErr w:type="spellEnd"/>
            <w:r w:rsidRPr="003F24A1">
              <w:rPr>
                <w:sz w:val="14"/>
                <w:szCs w:val="14"/>
              </w:rPr>
              <w:t>.</w:t>
            </w:r>
          </w:p>
        </w:tc>
      </w:tr>
    </w:tbl>
    <w:p w:rsidR="003F24A1" w:rsidRPr="003F24A1" w:rsidRDefault="003F24A1" w:rsidP="003F24A1">
      <w:pPr>
        <w:jc w:val="both"/>
        <w:rPr>
          <w:sz w:val="2"/>
          <w:szCs w:val="2"/>
        </w:rPr>
      </w:pPr>
    </w:p>
    <w:p w:rsidR="003F24A1" w:rsidRPr="003F24A1" w:rsidRDefault="003F24A1" w:rsidP="003F24A1">
      <w:pPr>
        <w:spacing w:before="20"/>
        <w:jc w:val="both"/>
        <w:rPr>
          <w:sz w:val="20"/>
          <w:szCs w:val="20"/>
        </w:rPr>
      </w:pPr>
      <w:r w:rsidRPr="003F24A1">
        <w:rPr>
          <w:sz w:val="20"/>
          <w:szCs w:val="20"/>
        </w:rPr>
        <w:br w:type="column"/>
      </w:r>
    </w:p>
    <w:p w:rsidR="003F24A1" w:rsidRPr="003F24A1" w:rsidRDefault="003F24A1" w:rsidP="003F24A1">
      <w:pPr>
        <w:spacing w:before="20"/>
        <w:jc w:val="both"/>
        <w:rPr>
          <w:sz w:val="20"/>
          <w:szCs w:val="20"/>
        </w:rPr>
      </w:pPr>
    </w:p>
    <w:p w:rsidR="003F24A1" w:rsidRPr="003F24A1" w:rsidRDefault="003F24A1" w:rsidP="003F24A1">
      <w:pPr>
        <w:jc w:val="center"/>
        <w:rPr>
          <w:b/>
          <w:bCs/>
          <w:sz w:val="22"/>
          <w:szCs w:val="22"/>
        </w:rPr>
      </w:pPr>
      <w:r w:rsidRPr="003F24A1">
        <w:rPr>
          <w:b/>
          <w:bCs/>
          <w:sz w:val="22"/>
          <w:szCs w:val="22"/>
        </w:rPr>
        <w:t>PRECIOS AL CONSUMIDOR, TODOS LOS RUBROS MENOS ALIMENTO Y ENERGÍA</w:t>
      </w:r>
    </w:p>
    <w:p w:rsidR="003F24A1" w:rsidRPr="003F24A1" w:rsidRDefault="003F24A1" w:rsidP="003F24A1">
      <w:pPr>
        <w:spacing w:before="20"/>
        <w:jc w:val="center"/>
        <w:rPr>
          <w:sz w:val="20"/>
          <w:szCs w:val="20"/>
        </w:rPr>
      </w:pPr>
      <w:r w:rsidRPr="003F24A1">
        <w:rPr>
          <w:sz w:val="22"/>
          <w:szCs w:val="22"/>
        </w:rPr>
        <w:t>- Cambio porcentual respecto al mismo mes del año anterior -</w:t>
      </w:r>
    </w:p>
    <w:tbl>
      <w:tblPr>
        <w:tblW w:w="9361" w:type="dxa"/>
        <w:jc w:val="center"/>
        <w:tblLayout w:type="fixed"/>
        <w:tblCellMar>
          <w:left w:w="70" w:type="dxa"/>
          <w:right w:w="70" w:type="dxa"/>
        </w:tblCellMar>
        <w:tblLook w:val="0000" w:firstRow="0" w:lastRow="0" w:firstColumn="0" w:lastColumn="0" w:noHBand="0" w:noVBand="0"/>
      </w:tblPr>
      <w:tblGrid>
        <w:gridCol w:w="2592"/>
        <w:gridCol w:w="463"/>
        <w:gridCol w:w="15"/>
        <w:gridCol w:w="463"/>
        <w:gridCol w:w="462"/>
        <w:gridCol w:w="448"/>
        <w:gridCol w:w="420"/>
        <w:gridCol w:w="23"/>
        <w:gridCol w:w="439"/>
        <w:gridCol w:w="419"/>
        <w:gridCol w:w="37"/>
        <w:gridCol w:w="425"/>
        <w:gridCol w:w="434"/>
        <w:gridCol w:w="378"/>
        <w:gridCol w:w="434"/>
        <w:gridCol w:w="476"/>
        <w:gridCol w:w="476"/>
        <w:gridCol w:w="471"/>
        <w:gridCol w:w="486"/>
      </w:tblGrid>
      <w:tr w:rsidR="003F24A1" w:rsidRPr="003F24A1" w:rsidTr="004B3C2F">
        <w:trPr>
          <w:trHeight w:val="180"/>
          <w:jc w:val="center"/>
        </w:trPr>
        <w:tc>
          <w:tcPr>
            <w:tcW w:w="2592" w:type="dxa"/>
            <w:vMerge w:val="restart"/>
            <w:tcBorders>
              <w:top w:val="single" w:sz="4" w:space="0" w:color="auto"/>
              <w:left w:val="single" w:sz="4" w:space="0" w:color="auto"/>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 </w:t>
            </w:r>
          </w:p>
        </w:tc>
        <w:tc>
          <w:tcPr>
            <w:tcW w:w="478" w:type="dxa"/>
            <w:gridSpan w:val="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2013</w:t>
            </w:r>
          </w:p>
        </w:tc>
        <w:tc>
          <w:tcPr>
            <w:tcW w:w="463"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2014</w:t>
            </w:r>
          </w:p>
        </w:tc>
        <w:tc>
          <w:tcPr>
            <w:tcW w:w="5342" w:type="dxa"/>
            <w:gridSpan w:val="14"/>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2014</w:t>
            </w:r>
          </w:p>
        </w:tc>
        <w:tc>
          <w:tcPr>
            <w:tcW w:w="486"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3F24A1" w:rsidRPr="003F24A1" w:rsidRDefault="003F24A1" w:rsidP="003F24A1">
            <w:pPr>
              <w:jc w:val="center"/>
              <w:rPr>
                <w:b/>
                <w:bCs/>
                <w:color w:val="FFFFFF" w:themeColor="background1"/>
                <w:sz w:val="16"/>
                <w:szCs w:val="16"/>
              </w:rPr>
            </w:pPr>
            <w:r w:rsidRPr="003F24A1">
              <w:rPr>
                <w:b/>
                <w:bCs/>
                <w:color w:val="FFFFFF" w:themeColor="background1"/>
                <w:sz w:val="16"/>
                <w:szCs w:val="16"/>
              </w:rPr>
              <w:t>2015</w:t>
            </w:r>
          </w:p>
        </w:tc>
      </w:tr>
      <w:tr w:rsidR="003F24A1" w:rsidRPr="003F24A1" w:rsidTr="004B3C2F">
        <w:trPr>
          <w:trHeight w:val="180"/>
          <w:jc w:val="center"/>
        </w:trPr>
        <w:tc>
          <w:tcPr>
            <w:tcW w:w="2592" w:type="dxa"/>
            <w:vMerge/>
            <w:tcBorders>
              <w:top w:val="single" w:sz="6" w:space="0" w:color="E7E6E6" w:themeColor="background2"/>
              <w:left w:val="single" w:sz="4" w:space="0" w:color="auto"/>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rPr>
                <w:b/>
                <w:bCs/>
                <w:color w:val="FFFFFF" w:themeColor="background1"/>
                <w:sz w:val="16"/>
                <w:szCs w:val="16"/>
              </w:rPr>
            </w:pPr>
          </w:p>
        </w:tc>
        <w:tc>
          <w:tcPr>
            <w:tcW w:w="941" w:type="dxa"/>
            <w:gridSpan w:val="3"/>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both"/>
              <w:rPr>
                <w:b/>
                <w:bCs/>
                <w:color w:val="FFFFFF" w:themeColor="background1"/>
                <w:sz w:val="16"/>
                <w:szCs w:val="16"/>
              </w:rPr>
            </w:pPr>
            <w:r w:rsidRPr="003F24A1">
              <w:rPr>
                <w:b/>
                <w:bCs/>
                <w:color w:val="FFFFFF" w:themeColor="background1"/>
                <w:sz w:val="16"/>
                <w:szCs w:val="16"/>
              </w:rPr>
              <w:t>Promedio</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right"/>
              <w:rPr>
                <w:b/>
                <w:bCs/>
                <w:color w:val="FFFFFF" w:themeColor="background1"/>
                <w:sz w:val="16"/>
                <w:szCs w:val="16"/>
              </w:rPr>
            </w:pPr>
            <w:r w:rsidRPr="003F24A1">
              <w:rPr>
                <w:b/>
                <w:bCs/>
                <w:color w:val="FFFFFF" w:themeColor="background1"/>
                <w:sz w:val="16"/>
                <w:szCs w:val="16"/>
              </w:rPr>
              <w:t>Ene</w:t>
            </w:r>
          </w:p>
        </w:tc>
        <w:tc>
          <w:tcPr>
            <w:tcW w:w="44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right"/>
              <w:rPr>
                <w:b/>
                <w:bCs/>
                <w:color w:val="FFFFFF" w:themeColor="background1"/>
                <w:sz w:val="16"/>
                <w:szCs w:val="16"/>
              </w:rPr>
            </w:pPr>
            <w:r w:rsidRPr="003F24A1">
              <w:rPr>
                <w:b/>
                <w:bCs/>
                <w:color w:val="FFFFFF" w:themeColor="background1"/>
                <w:sz w:val="16"/>
                <w:szCs w:val="16"/>
              </w:rPr>
              <w:t>Feb</w:t>
            </w:r>
          </w:p>
        </w:tc>
        <w:tc>
          <w:tcPr>
            <w:tcW w:w="443" w:type="dxa"/>
            <w:gridSpan w:val="2"/>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right"/>
              <w:rPr>
                <w:b/>
                <w:bCs/>
                <w:color w:val="FFFFFF" w:themeColor="background1"/>
                <w:sz w:val="16"/>
                <w:szCs w:val="16"/>
              </w:rPr>
            </w:pPr>
            <w:r w:rsidRPr="003F24A1">
              <w:rPr>
                <w:b/>
                <w:bCs/>
                <w:color w:val="FFFFFF" w:themeColor="background1"/>
                <w:sz w:val="16"/>
                <w:szCs w:val="16"/>
              </w:rPr>
              <w:t>Mar</w:t>
            </w:r>
          </w:p>
        </w:tc>
        <w:tc>
          <w:tcPr>
            <w:tcW w:w="439"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left="-1270" w:right="33"/>
              <w:jc w:val="right"/>
              <w:rPr>
                <w:b/>
                <w:bCs/>
                <w:color w:val="FFFFFF" w:themeColor="background1"/>
                <w:sz w:val="16"/>
                <w:szCs w:val="16"/>
              </w:rPr>
            </w:pPr>
            <w:r w:rsidRPr="003F24A1">
              <w:rPr>
                <w:b/>
                <w:bCs/>
                <w:color w:val="FFFFFF" w:themeColor="background1"/>
                <w:sz w:val="16"/>
                <w:szCs w:val="16"/>
              </w:rPr>
              <w:t>Abr</w:t>
            </w:r>
          </w:p>
        </w:tc>
        <w:tc>
          <w:tcPr>
            <w:tcW w:w="456" w:type="dxa"/>
            <w:gridSpan w:val="2"/>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right"/>
              <w:rPr>
                <w:b/>
                <w:bCs/>
                <w:color w:val="FFFFFF" w:themeColor="background1"/>
                <w:sz w:val="16"/>
                <w:szCs w:val="16"/>
              </w:rPr>
            </w:pPr>
            <w:proofErr w:type="spellStart"/>
            <w:r w:rsidRPr="003F24A1">
              <w:rPr>
                <w:b/>
                <w:bCs/>
                <w:color w:val="FFFFFF" w:themeColor="background1"/>
                <w:sz w:val="16"/>
                <w:szCs w:val="16"/>
              </w:rPr>
              <w:t>May</w:t>
            </w:r>
            <w:proofErr w:type="spellEnd"/>
          </w:p>
        </w:tc>
        <w:tc>
          <w:tcPr>
            <w:tcW w:w="425"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jc w:val="right"/>
              <w:rPr>
                <w:b/>
                <w:bCs/>
                <w:color w:val="FFFFFF" w:themeColor="background1"/>
                <w:sz w:val="16"/>
                <w:szCs w:val="16"/>
              </w:rPr>
            </w:pPr>
            <w:r w:rsidRPr="003F24A1">
              <w:rPr>
                <w:b/>
                <w:bCs/>
                <w:color w:val="FFFFFF" w:themeColor="background1"/>
                <w:sz w:val="16"/>
                <w:szCs w:val="16"/>
              </w:rPr>
              <w:t>Jun</w:t>
            </w:r>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left="-1456" w:right="47"/>
              <w:jc w:val="right"/>
              <w:rPr>
                <w:b/>
                <w:bCs/>
                <w:color w:val="FFFFFF" w:themeColor="background1"/>
                <w:sz w:val="16"/>
                <w:szCs w:val="16"/>
              </w:rPr>
            </w:pPr>
            <w:r w:rsidRPr="003F24A1">
              <w:rPr>
                <w:b/>
                <w:bCs/>
                <w:color w:val="FFFFFF" w:themeColor="background1"/>
                <w:sz w:val="16"/>
                <w:szCs w:val="16"/>
              </w:rPr>
              <w:t>Jul</w:t>
            </w:r>
          </w:p>
        </w:tc>
        <w:tc>
          <w:tcPr>
            <w:tcW w:w="37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left="-841"/>
              <w:jc w:val="right"/>
              <w:rPr>
                <w:b/>
                <w:bCs/>
                <w:color w:val="FFFFFF" w:themeColor="background1"/>
                <w:sz w:val="16"/>
                <w:szCs w:val="16"/>
              </w:rPr>
            </w:pPr>
            <w:proofErr w:type="spellStart"/>
            <w:r w:rsidRPr="003F24A1">
              <w:rPr>
                <w:b/>
                <w:bCs/>
                <w:color w:val="FFFFFF" w:themeColor="background1"/>
                <w:sz w:val="16"/>
                <w:szCs w:val="16"/>
              </w:rPr>
              <w:t>Ago</w:t>
            </w:r>
            <w:proofErr w:type="spellEnd"/>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left="-841" w:right="19"/>
              <w:jc w:val="right"/>
              <w:rPr>
                <w:b/>
                <w:bCs/>
                <w:color w:val="FFFFFF" w:themeColor="background1"/>
                <w:sz w:val="16"/>
                <w:szCs w:val="16"/>
              </w:rPr>
            </w:pPr>
            <w:proofErr w:type="spellStart"/>
            <w:r w:rsidRPr="003F24A1">
              <w:rPr>
                <w:b/>
                <w:bCs/>
                <w:color w:val="FFFFFF" w:themeColor="background1"/>
                <w:sz w:val="16"/>
                <w:szCs w:val="16"/>
              </w:rPr>
              <w:t>Sep</w:t>
            </w:r>
            <w:proofErr w:type="spellEnd"/>
          </w:p>
        </w:tc>
        <w:tc>
          <w:tcPr>
            <w:tcW w:w="476"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3F24A1" w:rsidRPr="003F24A1" w:rsidRDefault="003F24A1" w:rsidP="003F24A1">
            <w:pPr>
              <w:ind w:left="-1852" w:right="61"/>
              <w:jc w:val="right"/>
              <w:rPr>
                <w:b/>
                <w:bCs/>
                <w:color w:val="FFFFFF" w:themeColor="background1"/>
                <w:sz w:val="16"/>
                <w:szCs w:val="16"/>
              </w:rPr>
            </w:pPr>
            <w:r w:rsidRPr="003F24A1">
              <w:rPr>
                <w:b/>
                <w:bCs/>
                <w:color w:val="FFFFFF" w:themeColor="background1"/>
                <w:sz w:val="16"/>
                <w:szCs w:val="16"/>
              </w:rPr>
              <w:t>Oct</w:t>
            </w:r>
          </w:p>
        </w:tc>
        <w:tc>
          <w:tcPr>
            <w:tcW w:w="476"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tcPr>
          <w:p w:rsidR="003F24A1" w:rsidRPr="003F24A1" w:rsidRDefault="003F24A1" w:rsidP="003F24A1">
            <w:pPr>
              <w:ind w:left="-910" w:right="33"/>
              <w:jc w:val="right"/>
              <w:rPr>
                <w:b/>
                <w:bCs/>
                <w:color w:val="FFFFFF" w:themeColor="background1"/>
                <w:sz w:val="16"/>
                <w:szCs w:val="16"/>
              </w:rPr>
            </w:pPr>
            <w:r w:rsidRPr="003F24A1">
              <w:rPr>
                <w:b/>
                <w:bCs/>
                <w:color w:val="FFFFFF" w:themeColor="background1"/>
                <w:sz w:val="16"/>
                <w:szCs w:val="16"/>
              </w:rPr>
              <w:t>Nov</w:t>
            </w:r>
          </w:p>
        </w:tc>
        <w:tc>
          <w:tcPr>
            <w:tcW w:w="471"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tcPr>
          <w:p w:rsidR="003F24A1" w:rsidRPr="003F24A1" w:rsidRDefault="003F24A1" w:rsidP="003F24A1">
            <w:pPr>
              <w:ind w:left="-1528" w:right="42"/>
              <w:jc w:val="right"/>
              <w:rPr>
                <w:b/>
                <w:bCs/>
                <w:color w:val="FFFFFF" w:themeColor="background1"/>
                <w:sz w:val="16"/>
                <w:szCs w:val="16"/>
              </w:rPr>
            </w:pPr>
            <w:r w:rsidRPr="003F24A1">
              <w:rPr>
                <w:b/>
                <w:bCs/>
                <w:color w:val="FFFFFF" w:themeColor="background1"/>
                <w:sz w:val="16"/>
                <w:szCs w:val="16"/>
              </w:rPr>
              <w:t>Dic</w:t>
            </w:r>
          </w:p>
        </w:tc>
        <w:tc>
          <w:tcPr>
            <w:tcW w:w="486"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vAlign w:val="center"/>
          </w:tcPr>
          <w:p w:rsidR="003F24A1" w:rsidRPr="003F24A1" w:rsidRDefault="003F24A1" w:rsidP="003F24A1">
            <w:pPr>
              <w:ind w:left="-1148" w:right="52"/>
              <w:jc w:val="right"/>
              <w:rPr>
                <w:b/>
                <w:bCs/>
                <w:color w:val="FFFFFF" w:themeColor="background1"/>
                <w:sz w:val="16"/>
                <w:szCs w:val="16"/>
              </w:rPr>
            </w:pPr>
            <w:r w:rsidRPr="003F24A1">
              <w:rPr>
                <w:b/>
                <w:bCs/>
                <w:color w:val="FFFFFF" w:themeColor="background1"/>
                <w:sz w:val="16"/>
                <w:szCs w:val="16"/>
              </w:rPr>
              <w:t>Ene</w:t>
            </w:r>
          </w:p>
        </w:tc>
      </w:tr>
      <w:tr w:rsidR="003F24A1" w:rsidRPr="003F24A1" w:rsidTr="004B3C2F">
        <w:trPr>
          <w:trHeight w:val="180"/>
          <w:jc w:val="center"/>
        </w:trPr>
        <w:tc>
          <w:tcPr>
            <w:tcW w:w="2592" w:type="dxa"/>
            <w:tcBorders>
              <w:top w:val="single" w:sz="4" w:space="0" w:color="E7E6E6" w:themeColor="background2"/>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OCDE-Total</w:t>
            </w:r>
            <w:r w:rsidRPr="003F24A1">
              <w:rPr>
                <w:sz w:val="15"/>
                <w:szCs w:val="15"/>
                <w:u w:val="single"/>
                <w:vertAlign w:val="superscript"/>
              </w:rPr>
              <w:t>1</w:t>
            </w:r>
            <w:r w:rsidRPr="003F24A1">
              <w:rPr>
                <w:sz w:val="15"/>
                <w:szCs w:val="15"/>
                <w:vertAlign w:val="superscript"/>
              </w:rPr>
              <w:t>/</w:t>
            </w:r>
          </w:p>
        </w:tc>
        <w:tc>
          <w:tcPr>
            <w:tcW w:w="463"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tabs>
                <w:tab w:val="left" w:pos="-1452"/>
              </w:tabs>
              <w:ind w:left="-1678" w:right="56"/>
              <w:jc w:val="right"/>
              <w:rPr>
                <w:sz w:val="15"/>
                <w:szCs w:val="15"/>
              </w:rPr>
            </w:pPr>
            <w:r w:rsidRPr="003F24A1">
              <w:rPr>
                <w:sz w:val="15"/>
                <w:szCs w:val="15"/>
              </w:rPr>
              <w:t>1.6</w:t>
            </w:r>
          </w:p>
        </w:tc>
        <w:tc>
          <w:tcPr>
            <w:tcW w:w="478" w:type="dxa"/>
            <w:gridSpan w:val="2"/>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1.8</w:t>
            </w:r>
          </w:p>
        </w:tc>
        <w:tc>
          <w:tcPr>
            <w:tcW w:w="462"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89"/>
              <w:jc w:val="right"/>
              <w:rPr>
                <w:b/>
                <w:sz w:val="15"/>
                <w:szCs w:val="15"/>
              </w:rPr>
            </w:pPr>
            <w:r w:rsidRPr="003F24A1">
              <w:rPr>
                <w:b/>
                <w:sz w:val="15"/>
                <w:szCs w:val="15"/>
              </w:rPr>
              <w:t>1.6</w:t>
            </w:r>
          </w:p>
        </w:tc>
        <w:tc>
          <w:tcPr>
            <w:tcW w:w="448"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1.6</w:t>
            </w:r>
          </w:p>
        </w:tc>
        <w:tc>
          <w:tcPr>
            <w:tcW w:w="420"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42"/>
              <w:jc w:val="right"/>
              <w:rPr>
                <w:sz w:val="15"/>
                <w:szCs w:val="15"/>
              </w:rPr>
            </w:pPr>
            <w:r w:rsidRPr="003F24A1">
              <w:rPr>
                <w:sz w:val="15"/>
                <w:szCs w:val="15"/>
              </w:rPr>
              <w:t>1.7</w:t>
            </w:r>
          </w:p>
        </w:tc>
        <w:tc>
          <w:tcPr>
            <w:tcW w:w="462" w:type="dxa"/>
            <w:gridSpan w:val="2"/>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2.0</w:t>
            </w:r>
          </w:p>
        </w:tc>
        <w:tc>
          <w:tcPr>
            <w:tcW w:w="419"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1.9</w:t>
            </w:r>
          </w:p>
        </w:tc>
        <w:tc>
          <w:tcPr>
            <w:tcW w:w="462" w:type="dxa"/>
            <w:gridSpan w:val="2"/>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2.0</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1.9</w:t>
            </w:r>
          </w:p>
        </w:tc>
        <w:tc>
          <w:tcPr>
            <w:tcW w:w="378"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33"/>
              <w:jc w:val="right"/>
              <w:rPr>
                <w:sz w:val="15"/>
                <w:szCs w:val="15"/>
              </w:rPr>
            </w:pPr>
            <w:r w:rsidRPr="003F24A1">
              <w:rPr>
                <w:sz w:val="15"/>
                <w:szCs w:val="15"/>
              </w:rPr>
              <w:t>1.9</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1.8</w:t>
            </w:r>
          </w:p>
        </w:tc>
        <w:tc>
          <w:tcPr>
            <w:tcW w:w="476" w:type="dxa"/>
            <w:tcBorders>
              <w:top w:val="single" w:sz="4" w:space="0" w:color="E7E6E6" w:themeColor="background2"/>
              <w:left w:val="nil"/>
              <w:bottom w:val="single" w:sz="4" w:space="0" w:color="auto"/>
              <w:right w:val="single" w:sz="4" w:space="0" w:color="auto"/>
            </w:tcBorders>
            <w:shd w:val="clear" w:color="auto" w:fill="auto"/>
            <w:vAlign w:val="center"/>
          </w:tcPr>
          <w:p w:rsidR="003F24A1" w:rsidRPr="003F24A1" w:rsidRDefault="003F24A1" w:rsidP="003F24A1">
            <w:pPr>
              <w:ind w:left="-1614" w:right="98"/>
              <w:jc w:val="right"/>
              <w:rPr>
                <w:sz w:val="15"/>
                <w:szCs w:val="15"/>
              </w:rPr>
            </w:pPr>
            <w:r w:rsidRPr="003F24A1">
              <w:rPr>
                <w:sz w:val="15"/>
                <w:szCs w:val="15"/>
              </w:rPr>
              <w:t>1.8</w:t>
            </w:r>
          </w:p>
        </w:tc>
        <w:tc>
          <w:tcPr>
            <w:tcW w:w="476" w:type="dxa"/>
            <w:tcBorders>
              <w:top w:val="single" w:sz="4" w:space="0" w:color="E7E6E6" w:themeColor="background2"/>
              <w:left w:val="nil"/>
              <w:bottom w:val="single" w:sz="4" w:space="0" w:color="auto"/>
              <w:right w:val="single" w:sz="4" w:space="0" w:color="auto"/>
            </w:tcBorders>
            <w:shd w:val="clear" w:color="auto" w:fill="auto"/>
          </w:tcPr>
          <w:p w:rsidR="003F24A1" w:rsidRPr="003F24A1" w:rsidRDefault="003F24A1" w:rsidP="003F24A1">
            <w:pPr>
              <w:ind w:left="-1614" w:right="98"/>
              <w:jc w:val="right"/>
              <w:rPr>
                <w:sz w:val="15"/>
                <w:szCs w:val="15"/>
              </w:rPr>
            </w:pPr>
            <w:r w:rsidRPr="003F24A1">
              <w:rPr>
                <w:sz w:val="15"/>
                <w:szCs w:val="15"/>
              </w:rPr>
              <w:t>1.8</w:t>
            </w:r>
          </w:p>
        </w:tc>
        <w:tc>
          <w:tcPr>
            <w:tcW w:w="471" w:type="dxa"/>
            <w:tcBorders>
              <w:top w:val="single" w:sz="4" w:space="0" w:color="E7E6E6" w:themeColor="background2"/>
              <w:left w:val="nil"/>
              <w:bottom w:val="single" w:sz="4" w:space="0" w:color="auto"/>
              <w:right w:val="single" w:sz="4" w:space="0" w:color="auto"/>
            </w:tcBorders>
          </w:tcPr>
          <w:p w:rsidR="003F24A1" w:rsidRPr="003F24A1" w:rsidRDefault="003F24A1" w:rsidP="003F24A1">
            <w:pPr>
              <w:ind w:left="-1614" w:right="98"/>
              <w:jc w:val="right"/>
              <w:rPr>
                <w:sz w:val="15"/>
                <w:szCs w:val="15"/>
              </w:rPr>
            </w:pPr>
            <w:r w:rsidRPr="003F24A1">
              <w:rPr>
                <w:sz w:val="15"/>
                <w:szCs w:val="15"/>
              </w:rPr>
              <w:t>1.8</w:t>
            </w:r>
          </w:p>
        </w:tc>
        <w:tc>
          <w:tcPr>
            <w:tcW w:w="486" w:type="dxa"/>
            <w:tcBorders>
              <w:top w:val="single" w:sz="4" w:space="0" w:color="E7E6E6" w:themeColor="background2"/>
              <w:left w:val="nil"/>
              <w:bottom w:val="single" w:sz="4" w:space="0" w:color="auto"/>
              <w:right w:val="single" w:sz="4" w:space="0" w:color="auto"/>
            </w:tcBorders>
          </w:tcPr>
          <w:p w:rsidR="003F24A1" w:rsidRPr="003F24A1" w:rsidRDefault="003F24A1" w:rsidP="003F24A1">
            <w:pPr>
              <w:ind w:left="-1614" w:right="98"/>
              <w:jc w:val="right"/>
              <w:rPr>
                <w:b/>
                <w:sz w:val="15"/>
                <w:szCs w:val="15"/>
              </w:rPr>
            </w:pPr>
            <w:r w:rsidRPr="003F24A1">
              <w:rPr>
                <w:b/>
                <w:sz w:val="15"/>
                <w:szCs w:val="15"/>
              </w:rPr>
              <w:t>1.7</w:t>
            </w:r>
          </w:p>
        </w:tc>
      </w:tr>
      <w:tr w:rsidR="003F24A1" w:rsidRPr="003F24A1" w:rsidTr="004B3C2F">
        <w:trPr>
          <w:trHeight w:val="77"/>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G7</w:t>
            </w:r>
            <w:r w:rsidRPr="003F24A1">
              <w:rPr>
                <w:sz w:val="15"/>
                <w:szCs w:val="15"/>
                <w:u w:val="single"/>
                <w:vertAlign w:val="superscript"/>
              </w:rPr>
              <w:t>2</w:t>
            </w:r>
            <w:r w:rsidRPr="003F24A1">
              <w:rPr>
                <w:sz w:val="15"/>
                <w:szCs w:val="15"/>
                <w:vertAlign w:val="superscript"/>
              </w:rPr>
              <w:t>/</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tabs>
                <w:tab w:val="left" w:pos="-1452"/>
              </w:tabs>
              <w:ind w:left="-1678" w:right="56"/>
              <w:jc w:val="right"/>
              <w:rPr>
                <w:sz w:val="15"/>
                <w:szCs w:val="15"/>
              </w:rPr>
            </w:pPr>
            <w:r w:rsidRPr="003F24A1">
              <w:rPr>
                <w:sz w:val="15"/>
                <w:szCs w:val="15"/>
              </w:rPr>
              <w:t>1.3</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9"/>
              <w:jc w:val="right"/>
              <w:rPr>
                <w:b/>
                <w:sz w:val="15"/>
                <w:szCs w:val="15"/>
              </w:rPr>
            </w:pPr>
            <w:r w:rsidRPr="003F24A1">
              <w:rPr>
                <w:b/>
                <w:sz w:val="15"/>
                <w:szCs w:val="15"/>
              </w:rPr>
              <w:t>1.4</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1.4</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2"/>
              <w:jc w:val="right"/>
              <w:rPr>
                <w:sz w:val="15"/>
                <w:szCs w:val="15"/>
              </w:rPr>
            </w:pPr>
            <w:r w:rsidRPr="003F24A1">
              <w:rPr>
                <w:sz w:val="15"/>
                <w:szCs w:val="15"/>
              </w:rPr>
              <w:t>1.4</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1.8</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1.8</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1.8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1.7</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33"/>
              <w:jc w:val="right"/>
              <w:rPr>
                <w:sz w:val="15"/>
                <w:szCs w:val="15"/>
              </w:rPr>
            </w:pPr>
            <w:r w:rsidRPr="003F24A1">
              <w:rPr>
                <w:sz w:val="15"/>
                <w:szCs w:val="15"/>
              </w:rPr>
              <w:t>1.7</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4" w:right="98"/>
              <w:jc w:val="right"/>
              <w:rPr>
                <w:sz w:val="15"/>
                <w:szCs w:val="15"/>
              </w:rPr>
            </w:pPr>
            <w:r w:rsidRPr="003F24A1">
              <w:rPr>
                <w:sz w:val="15"/>
                <w:szCs w:val="15"/>
              </w:rPr>
              <w:t>1.7</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14" w:right="98"/>
              <w:jc w:val="right"/>
              <w:rPr>
                <w:sz w:val="15"/>
                <w:szCs w:val="15"/>
              </w:rPr>
            </w:pPr>
            <w:r w:rsidRPr="003F24A1">
              <w:rPr>
                <w:sz w:val="15"/>
                <w:szCs w:val="15"/>
              </w:rPr>
              <w:t>1.5</w:t>
            </w:r>
          </w:p>
        </w:tc>
        <w:tc>
          <w:tcPr>
            <w:tcW w:w="471" w:type="dxa"/>
            <w:tcBorders>
              <w:top w:val="nil"/>
              <w:left w:val="nil"/>
              <w:bottom w:val="single" w:sz="4" w:space="0" w:color="auto"/>
              <w:right w:val="single" w:sz="4" w:space="0" w:color="auto"/>
            </w:tcBorders>
          </w:tcPr>
          <w:p w:rsidR="003F24A1" w:rsidRPr="003F24A1" w:rsidRDefault="003F24A1" w:rsidP="003F24A1">
            <w:pPr>
              <w:ind w:left="-1614" w:right="98"/>
              <w:jc w:val="right"/>
              <w:rPr>
                <w:sz w:val="15"/>
                <w:szCs w:val="15"/>
              </w:rPr>
            </w:pPr>
            <w:r w:rsidRPr="003F24A1">
              <w:rPr>
                <w:sz w:val="15"/>
                <w:szCs w:val="15"/>
              </w:rPr>
              <w:t>1.6</w:t>
            </w:r>
          </w:p>
        </w:tc>
        <w:tc>
          <w:tcPr>
            <w:tcW w:w="486" w:type="dxa"/>
            <w:tcBorders>
              <w:top w:val="nil"/>
              <w:left w:val="nil"/>
              <w:bottom w:val="single" w:sz="4" w:space="0" w:color="auto"/>
              <w:right w:val="single" w:sz="4" w:space="0" w:color="auto"/>
            </w:tcBorders>
          </w:tcPr>
          <w:p w:rsidR="003F24A1" w:rsidRPr="003F24A1" w:rsidRDefault="003F24A1" w:rsidP="003F24A1">
            <w:pPr>
              <w:ind w:left="-1614" w:right="98"/>
              <w:jc w:val="right"/>
              <w:rPr>
                <w:b/>
                <w:sz w:val="15"/>
                <w:szCs w:val="15"/>
              </w:rPr>
            </w:pPr>
            <w:r w:rsidRPr="003F24A1">
              <w:rPr>
                <w:b/>
                <w:sz w:val="15"/>
                <w:szCs w:val="15"/>
              </w:rPr>
              <w:t>1.5</w:t>
            </w:r>
          </w:p>
        </w:tc>
      </w:tr>
      <w:tr w:rsidR="003F24A1" w:rsidRPr="003F24A1" w:rsidTr="004B3C2F">
        <w:trPr>
          <w:trHeigh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Área Euro (IAPC)</w:t>
            </w:r>
            <w:r w:rsidRPr="003F24A1">
              <w:rPr>
                <w:sz w:val="15"/>
                <w:szCs w:val="15"/>
                <w:u w:val="single"/>
                <w:vertAlign w:val="superscript"/>
              </w:rPr>
              <w:t>3</w:t>
            </w:r>
            <w:r w:rsidRPr="003F24A1">
              <w:rPr>
                <w:sz w:val="15"/>
                <w:szCs w:val="15"/>
                <w:vertAlign w:val="superscript"/>
              </w:rPr>
              <w:t>/</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tabs>
                <w:tab w:val="left" w:pos="-1452"/>
              </w:tabs>
              <w:ind w:left="-1678" w:right="56"/>
              <w:jc w:val="right"/>
              <w:rPr>
                <w:sz w:val="15"/>
                <w:szCs w:val="15"/>
              </w:rPr>
            </w:pPr>
            <w:r w:rsidRPr="003F24A1">
              <w:rPr>
                <w:sz w:val="15"/>
                <w:szCs w:val="15"/>
              </w:rPr>
              <w:t>1.1</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0.8</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9"/>
              <w:jc w:val="right"/>
              <w:rPr>
                <w:b/>
                <w:sz w:val="15"/>
                <w:szCs w:val="15"/>
              </w:rPr>
            </w:pPr>
            <w:r w:rsidRPr="003F24A1">
              <w:rPr>
                <w:b/>
                <w:sz w:val="15"/>
                <w:szCs w:val="15"/>
              </w:rPr>
              <w:t>0.8</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1.0</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2"/>
              <w:jc w:val="right"/>
              <w:rPr>
                <w:sz w:val="15"/>
                <w:szCs w:val="15"/>
              </w:rPr>
            </w:pPr>
            <w:r w:rsidRPr="003F24A1">
              <w:rPr>
                <w:sz w:val="15"/>
                <w:szCs w:val="15"/>
              </w:rPr>
              <w:t>0.7</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1.0</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0.7</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0.8</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33"/>
              <w:jc w:val="right"/>
              <w:rPr>
                <w:sz w:val="15"/>
                <w:szCs w:val="15"/>
              </w:rPr>
            </w:pPr>
            <w:r w:rsidRPr="003F24A1">
              <w:rPr>
                <w:sz w:val="15"/>
                <w:szCs w:val="15"/>
              </w:rPr>
              <w:t>0.9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4" w:right="98"/>
              <w:jc w:val="right"/>
              <w:rPr>
                <w:sz w:val="15"/>
                <w:szCs w:val="15"/>
              </w:rPr>
            </w:pPr>
            <w:r w:rsidRPr="003F24A1">
              <w:rPr>
                <w:sz w:val="15"/>
                <w:szCs w:val="15"/>
              </w:rPr>
              <w:t>0.7</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14" w:right="98"/>
              <w:jc w:val="right"/>
              <w:rPr>
                <w:sz w:val="15"/>
                <w:szCs w:val="15"/>
              </w:rPr>
            </w:pPr>
            <w:r w:rsidRPr="003F24A1">
              <w:rPr>
                <w:sz w:val="15"/>
                <w:szCs w:val="15"/>
              </w:rPr>
              <w:t>0.7</w:t>
            </w:r>
          </w:p>
        </w:tc>
        <w:tc>
          <w:tcPr>
            <w:tcW w:w="471" w:type="dxa"/>
            <w:tcBorders>
              <w:top w:val="nil"/>
              <w:left w:val="nil"/>
              <w:bottom w:val="single" w:sz="4" w:space="0" w:color="auto"/>
              <w:right w:val="single" w:sz="4" w:space="0" w:color="auto"/>
            </w:tcBorders>
          </w:tcPr>
          <w:p w:rsidR="003F24A1" w:rsidRPr="003F24A1" w:rsidRDefault="003F24A1" w:rsidP="003F24A1">
            <w:pPr>
              <w:ind w:left="-1614" w:right="98"/>
              <w:jc w:val="right"/>
              <w:rPr>
                <w:sz w:val="15"/>
                <w:szCs w:val="15"/>
              </w:rPr>
            </w:pPr>
            <w:r w:rsidRPr="003F24A1">
              <w:rPr>
                <w:sz w:val="15"/>
                <w:szCs w:val="15"/>
              </w:rPr>
              <w:t>0.8</w:t>
            </w:r>
          </w:p>
        </w:tc>
        <w:tc>
          <w:tcPr>
            <w:tcW w:w="486" w:type="dxa"/>
            <w:tcBorders>
              <w:top w:val="nil"/>
              <w:left w:val="nil"/>
              <w:bottom w:val="single" w:sz="4" w:space="0" w:color="auto"/>
              <w:right w:val="single" w:sz="4" w:space="0" w:color="auto"/>
            </w:tcBorders>
          </w:tcPr>
          <w:p w:rsidR="003F24A1" w:rsidRPr="003F24A1" w:rsidRDefault="003F24A1" w:rsidP="003F24A1">
            <w:pPr>
              <w:ind w:left="-1614" w:right="98"/>
              <w:jc w:val="right"/>
              <w:rPr>
                <w:b/>
                <w:sz w:val="15"/>
                <w:szCs w:val="15"/>
              </w:rPr>
            </w:pPr>
            <w:r w:rsidRPr="003F24A1">
              <w:rPr>
                <w:b/>
                <w:sz w:val="15"/>
                <w:szCs w:val="15"/>
              </w:rPr>
              <w:t>0.6</w:t>
            </w:r>
          </w:p>
        </w:tc>
      </w:tr>
      <w:tr w:rsidR="003F24A1" w:rsidRPr="003F24A1" w:rsidTr="004B3C2F">
        <w:trPr>
          <w:trHeigh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Unión Europea (IAPC)</w:t>
            </w:r>
            <w:r w:rsidRPr="003F24A1">
              <w:rPr>
                <w:sz w:val="15"/>
                <w:szCs w:val="15"/>
                <w:u w:val="single"/>
                <w:vertAlign w:val="superscript"/>
              </w:rPr>
              <w:t>4</w:t>
            </w:r>
            <w:r w:rsidRPr="003F24A1">
              <w:rPr>
                <w:sz w:val="15"/>
                <w:szCs w:val="15"/>
                <w:vertAlign w:val="superscript"/>
              </w:rPr>
              <w:t>/</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tabs>
                <w:tab w:val="left" w:pos="-1452"/>
              </w:tabs>
              <w:ind w:left="-1678" w:right="56"/>
              <w:jc w:val="right"/>
              <w:rPr>
                <w:sz w:val="15"/>
                <w:szCs w:val="15"/>
              </w:rPr>
            </w:pPr>
            <w:r w:rsidRPr="003F24A1">
              <w:rPr>
                <w:sz w:val="15"/>
                <w:szCs w:val="15"/>
              </w:rPr>
              <w:t>1.2</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9"/>
              <w:jc w:val="right"/>
              <w:rPr>
                <w:b/>
                <w:sz w:val="15"/>
                <w:szCs w:val="15"/>
              </w:rPr>
            </w:pPr>
            <w:r w:rsidRPr="003F24A1">
              <w:rPr>
                <w:b/>
                <w:sz w:val="15"/>
                <w:szCs w:val="15"/>
              </w:rPr>
              <w:t>0.9</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1.0</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2"/>
              <w:jc w:val="right"/>
              <w:rPr>
                <w:sz w:val="15"/>
                <w:szCs w:val="15"/>
              </w:rPr>
            </w:pPr>
            <w:r w:rsidRPr="003F24A1">
              <w:rPr>
                <w:sz w:val="15"/>
                <w:szCs w:val="15"/>
              </w:rPr>
              <w:t>0.8</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1.1</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0.8</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0.9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0.9</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33"/>
              <w:jc w:val="right"/>
              <w:rPr>
                <w:sz w:val="15"/>
                <w:szCs w:val="15"/>
              </w:rPr>
            </w:pPr>
            <w:r w:rsidRPr="003F24A1">
              <w:rPr>
                <w:sz w:val="15"/>
                <w:szCs w:val="15"/>
              </w:rPr>
              <w:t>1.0</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14" w:right="98"/>
              <w:jc w:val="right"/>
              <w:rPr>
                <w:sz w:val="15"/>
                <w:szCs w:val="15"/>
              </w:rPr>
            </w:pPr>
            <w:r w:rsidRPr="003F24A1">
              <w:rPr>
                <w:sz w:val="15"/>
                <w:szCs w:val="15"/>
              </w:rPr>
              <w:t>0.8</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14" w:right="98"/>
              <w:jc w:val="right"/>
              <w:rPr>
                <w:sz w:val="15"/>
                <w:szCs w:val="15"/>
              </w:rPr>
            </w:pPr>
            <w:r w:rsidRPr="003F24A1">
              <w:rPr>
                <w:sz w:val="15"/>
                <w:szCs w:val="15"/>
              </w:rPr>
              <w:t>0.7</w:t>
            </w:r>
          </w:p>
        </w:tc>
        <w:tc>
          <w:tcPr>
            <w:tcW w:w="471" w:type="dxa"/>
            <w:tcBorders>
              <w:top w:val="nil"/>
              <w:left w:val="nil"/>
              <w:bottom w:val="single" w:sz="4" w:space="0" w:color="auto"/>
              <w:right w:val="single" w:sz="4" w:space="0" w:color="auto"/>
            </w:tcBorders>
          </w:tcPr>
          <w:p w:rsidR="003F24A1" w:rsidRPr="003F24A1" w:rsidRDefault="003F24A1" w:rsidP="003F24A1">
            <w:pPr>
              <w:ind w:left="-1614" w:right="98"/>
              <w:jc w:val="right"/>
              <w:rPr>
                <w:sz w:val="15"/>
                <w:szCs w:val="15"/>
              </w:rPr>
            </w:pPr>
            <w:r w:rsidRPr="003F24A1">
              <w:rPr>
                <w:sz w:val="15"/>
                <w:szCs w:val="15"/>
              </w:rPr>
              <w:t>0.8</w:t>
            </w:r>
          </w:p>
        </w:tc>
        <w:tc>
          <w:tcPr>
            <w:tcW w:w="486" w:type="dxa"/>
            <w:tcBorders>
              <w:top w:val="nil"/>
              <w:left w:val="nil"/>
              <w:bottom w:val="single" w:sz="4" w:space="0" w:color="auto"/>
              <w:right w:val="single" w:sz="4" w:space="0" w:color="auto"/>
            </w:tcBorders>
          </w:tcPr>
          <w:p w:rsidR="003F24A1" w:rsidRPr="003F24A1" w:rsidRDefault="003F24A1" w:rsidP="003F24A1">
            <w:pPr>
              <w:ind w:left="-1614" w:right="98"/>
              <w:jc w:val="right"/>
              <w:rPr>
                <w:b/>
                <w:sz w:val="15"/>
                <w:szCs w:val="15"/>
              </w:rPr>
            </w:pPr>
            <w:r w:rsidRPr="003F24A1">
              <w:rPr>
                <w:b/>
                <w:sz w:val="15"/>
                <w:szCs w:val="15"/>
              </w:rPr>
              <w:t>0.7</w:t>
            </w:r>
          </w:p>
        </w:tc>
      </w:tr>
      <w:tr w:rsidR="003F24A1" w:rsidRPr="003F24A1" w:rsidTr="004B3C2F">
        <w:trPr>
          <w:trHeight w:val="180"/>
          <w:jc w:val="center"/>
        </w:trPr>
        <w:tc>
          <w:tcPr>
            <w:tcW w:w="8404" w:type="dxa"/>
            <w:gridSpan w:val="17"/>
            <w:tcBorders>
              <w:top w:val="single" w:sz="4" w:space="0" w:color="auto"/>
              <w:left w:val="single" w:sz="4" w:space="0" w:color="auto"/>
              <w:bottom w:val="single" w:sz="4" w:space="0" w:color="auto"/>
              <w:right w:val="single" w:sz="4" w:space="0" w:color="000000"/>
            </w:tcBorders>
            <w:shd w:val="clear" w:color="auto" w:fill="auto"/>
            <w:vAlign w:val="bottom"/>
          </w:tcPr>
          <w:p w:rsidR="003F24A1" w:rsidRPr="003F24A1" w:rsidRDefault="003F24A1" w:rsidP="003F24A1">
            <w:pPr>
              <w:ind w:left="1060" w:right="69" w:hanging="857"/>
              <w:jc w:val="both"/>
              <w:rPr>
                <w:b/>
                <w:bCs/>
                <w:sz w:val="15"/>
                <w:szCs w:val="15"/>
              </w:rPr>
            </w:pPr>
            <w:r w:rsidRPr="003F24A1">
              <w:rPr>
                <w:b/>
                <w:bCs/>
                <w:sz w:val="15"/>
                <w:szCs w:val="15"/>
              </w:rPr>
              <w:t>Siete países mayores</w:t>
            </w:r>
          </w:p>
        </w:tc>
        <w:tc>
          <w:tcPr>
            <w:tcW w:w="471" w:type="dxa"/>
            <w:tcBorders>
              <w:top w:val="single" w:sz="4" w:space="0" w:color="auto"/>
              <w:left w:val="single" w:sz="4" w:space="0" w:color="auto"/>
              <w:bottom w:val="single" w:sz="4" w:space="0" w:color="auto"/>
              <w:right w:val="single" w:sz="4" w:space="0" w:color="000000"/>
            </w:tcBorders>
          </w:tcPr>
          <w:p w:rsidR="003F24A1" w:rsidRPr="003F24A1" w:rsidRDefault="003F24A1" w:rsidP="003F24A1">
            <w:pPr>
              <w:ind w:left="1060" w:right="69" w:hanging="857"/>
              <w:jc w:val="both"/>
              <w:rPr>
                <w:b/>
                <w:bCs/>
                <w:sz w:val="15"/>
                <w:szCs w:val="15"/>
              </w:rPr>
            </w:pPr>
          </w:p>
        </w:tc>
        <w:tc>
          <w:tcPr>
            <w:tcW w:w="486" w:type="dxa"/>
            <w:tcBorders>
              <w:top w:val="single" w:sz="4" w:space="0" w:color="auto"/>
              <w:left w:val="single" w:sz="4" w:space="0" w:color="auto"/>
              <w:bottom w:val="single" w:sz="4" w:space="0" w:color="auto"/>
              <w:right w:val="single" w:sz="4" w:space="0" w:color="000000"/>
            </w:tcBorders>
          </w:tcPr>
          <w:p w:rsidR="003F24A1" w:rsidRPr="003F24A1" w:rsidRDefault="003F24A1" w:rsidP="003F24A1">
            <w:pPr>
              <w:ind w:left="1060" w:right="69" w:hanging="857"/>
              <w:jc w:val="both"/>
              <w:rPr>
                <w:b/>
                <w:bCs/>
                <w:sz w:val="15"/>
                <w:szCs w:val="15"/>
              </w:rPr>
            </w:pPr>
          </w:p>
        </w:tc>
      </w:tr>
      <w:tr w:rsidR="003F24A1" w:rsidRPr="003F24A1" w:rsidTr="004B3C2F">
        <w:trPr>
          <w:trHeigh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Canadá</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0.8</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1.1</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1.1</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1.1</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1.1</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1.3</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1.5</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1.5</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1.8</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2.0</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2.1</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2.2</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2.4</w:t>
            </w:r>
          </w:p>
        </w:tc>
      </w:tr>
      <w:tr w:rsidR="003F24A1" w:rsidRPr="003F24A1" w:rsidTr="004B3C2F">
        <w:trPr>
          <w:trHeight w:hRule="exac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Francia</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0.7</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0.7</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1.4</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1.1</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1.2</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0.9</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0.8</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1.1</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0.9</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0.8</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0.6</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0.8</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0.9</w:t>
            </w:r>
          </w:p>
        </w:tc>
      </w:tr>
      <w:tr w:rsidR="003F24A1" w:rsidRPr="003F24A1" w:rsidTr="004B3C2F">
        <w:trPr>
          <w:trHeigh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Alemania</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1.2</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1.4</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1.6</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1.3</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1.7</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1.2</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1.4</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1.3</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1.3</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1.2</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1.1</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1.3</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1.0</w:t>
            </w:r>
          </w:p>
        </w:tc>
      </w:tr>
      <w:tr w:rsidR="003F24A1" w:rsidRPr="003F24A1" w:rsidTr="004B3C2F">
        <w:trPr>
          <w:trHeight w:hRule="exac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Italia</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1.1</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1.2</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1.2</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1.2</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1.3</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1.0</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0.9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0.9</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0.7</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0.6</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0.7</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0.8</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1.0</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0.4</w:t>
            </w:r>
          </w:p>
        </w:tc>
      </w:tr>
      <w:tr w:rsidR="003F24A1" w:rsidRPr="003F24A1" w:rsidTr="004B3C2F">
        <w:trPr>
          <w:trHeigh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Japón</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-0.1</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1.9</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0.7</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0.7</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0.7</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2.3</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2.3</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2.3</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2.3</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2.3</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2.4</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2.3</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2.1</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2.1</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2.2</w:t>
            </w:r>
          </w:p>
        </w:tc>
      </w:tr>
      <w:tr w:rsidR="003F24A1" w:rsidRPr="003F24A1" w:rsidTr="004B3C2F">
        <w:trPr>
          <w:trHeight w:hRule="exac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Reino Unido</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2.1</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1.6</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1.7</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1.6</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2.0</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1.6</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2.0</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1.8</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1.5</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1.5</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1.2</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1.3</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1.4</w:t>
            </w:r>
          </w:p>
        </w:tc>
      </w:tr>
      <w:tr w:rsidR="003F24A1" w:rsidRPr="003F24A1" w:rsidTr="004B3C2F">
        <w:trPr>
          <w:trHeight w:val="180"/>
          <w:jc w:val="center"/>
        </w:trPr>
        <w:tc>
          <w:tcPr>
            <w:tcW w:w="2592" w:type="dxa"/>
            <w:tcBorders>
              <w:top w:val="single" w:sz="4" w:space="0" w:color="auto"/>
              <w:left w:val="single" w:sz="4" w:space="0" w:color="auto"/>
              <w:bottom w:val="single" w:sz="4" w:space="0" w:color="auto"/>
              <w:right w:val="single" w:sz="4" w:space="0" w:color="000000"/>
            </w:tcBorders>
            <w:shd w:val="clear" w:color="auto" w:fill="auto"/>
            <w:vAlign w:val="center"/>
          </w:tcPr>
          <w:p w:rsidR="003F24A1" w:rsidRPr="003F24A1" w:rsidRDefault="003F24A1" w:rsidP="003F24A1">
            <w:pPr>
              <w:rPr>
                <w:sz w:val="15"/>
                <w:szCs w:val="15"/>
              </w:rPr>
            </w:pPr>
            <w:r w:rsidRPr="003F24A1">
              <w:rPr>
                <w:sz w:val="15"/>
                <w:szCs w:val="15"/>
              </w:rPr>
              <w:t>Estados Unidos de Norteamérica</w:t>
            </w:r>
          </w:p>
        </w:tc>
        <w:tc>
          <w:tcPr>
            <w:tcW w:w="463"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1.8</w:t>
            </w:r>
          </w:p>
        </w:tc>
        <w:tc>
          <w:tcPr>
            <w:tcW w:w="478"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1.7</w:t>
            </w:r>
          </w:p>
        </w:tc>
        <w:tc>
          <w:tcPr>
            <w:tcW w:w="462"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b/>
                <w:sz w:val="15"/>
                <w:szCs w:val="15"/>
              </w:rPr>
            </w:pPr>
            <w:r w:rsidRPr="003F24A1">
              <w:rPr>
                <w:b/>
                <w:sz w:val="15"/>
                <w:szCs w:val="15"/>
              </w:rPr>
              <w:t>1.6</w:t>
            </w:r>
          </w:p>
        </w:tc>
        <w:tc>
          <w:tcPr>
            <w:tcW w:w="44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56"/>
              <w:jc w:val="right"/>
              <w:rPr>
                <w:sz w:val="15"/>
                <w:szCs w:val="15"/>
              </w:rPr>
            </w:pPr>
            <w:r w:rsidRPr="003F24A1">
              <w:rPr>
                <w:sz w:val="15"/>
                <w:szCs w:val="15"/>
              </w:rPr>
              <w:t>1.7</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1.8</w:t>
            </w:r>
          </w:p>
        </w:tc>
        <w:tc>
          <w:tcPr>
            <w:tcW w:w="419"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70"/>
              <w:jc w:val="right"/>
              <w:rPr>
                <w:sz w:val="15"/>
                <w:szCs w:val="15"/>
              </w:rPr>
            </w:pPr>
            <w:r w:rsidRPr="003F24A1">
              <w:rPr>
                <w:sz w:val="15"/>
                <w:szCs w:val="15"/>
              </w:rPr>
              <w:t>2.0</w:t>
            </w:r>
          </w:p>
        </w:tc>
        <w:tc>
          <w:tcPr>
            <w:tcW w:w="462" w:type="dxa"/>
            <w:gridSpan w:val="2"/>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84"/>
              <w:jc w:val="right"/>
              <w:rPr>
                <w:sz w:val="15"/>
                <w:szCs w:val="15"/>
              </w:rPr>
            </w:pPr>
            <w:r w:rsidRPr="003F24A1">
              <w:rPr>
                <w:sz w:val="15"/>
                <w:szCs w:val="15"/>
              </w:rPr>
              <w:t>1.9</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61"/>
              <w:jc w:val="right"/>
              <w:rPr>
                <w:sz w:val="15"/>
                <w:szCs w:val="15"/>
              </w:rPr>
            </w:pPr>
            <w:r w:rsidRPr="003F24A1">
              <w:rPr>
                <w:sz w:val="15"/>
                <w:szCs w:val="15"/>
              </w:rPr>
              <w:t>1.9</w:t>
            </w:r>
          </w:p>
        </w:tc>
        <w:tc>
          <w:tcPr>
            <w:tcW w:w="378"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1.7</w:t>
            </w:r>
          </w:p>
        </w:tc>
        <w:tc>
          <w:tcPr>
            <w:tcW w:w="434"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47"/>
              <w:jc w:val="right"/>
              <w:rPr>
                <w:sz w:val="15"/>
                <w:szCs w:val="15"/>
              </w:rPr>
            </w:pPr>
            <w:r w:rsidRPr="003F24A1">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3F24A1" w:rsidRPr="003F24A1" w:rsidRDefault="003F24A1" w:rsidP="003F24A1">
            <w:pPr>
              <w:ind w:left="-1678" w:right="98"/>
              <w:jc w:val="right"/>
              <w:rPr>
                <w:sz w:val="15"/>
                <w:szCs w:val="15"/>
              </w:rPr>
            </w:pPr>
            <w:r w:rsidRPr="003F24A1">
              <w:rPr>
                <w:sz w:val="15"/>
                <w:szCs w:val="15"/>
              </w:rPr>
              <w:t>1.8</w:t>
            </w:r>
          </w:p>
        </w:tc>
        <w:tc>
          <w:tcPr>
            <w:tcW w:w="476" w:type="dxa"/>
            <w:tcBorders>
              <w:top w:val="nil"/>
              <w:left w:val="nil"/>
              <w:bottom w:val="single" w:sz="4" w:space="0" w:color="auto"/>
              <w:right w:val="single" w:sz="4" w:space="0" w:color="auto"/>
            </w:tcBorders>
            <w:shd w:val="clear" w:color="auto" w:fill="auto"/>
          </w:tcPr>
          <w:p w:rsidR="003F24A1" w:rsidRPr="003F24A1" w:rsidRDefault="003F24A1" w:rsidP="003F24A1">
            <w:pPr>
              <w:ind w:left="-1678" w:right="98"/>
              <w:jc w:val="right"/>
              <w:rPr>
                <w:sz w:val="15"/>
                <w:szCs w:val="15"/>
              </w:rPr>
            </w:pPr>
            <w:r w:rsidRPr="003F24A1">
              <w:rPr>
                <w:sz w:val="15"/>
                <w:szCs w:val="15"/>
              </w:rPr>
              <w:t>1.7</w:t>
            </w:r>
          </w:p>
        </w:tc>
        <w:tc>
          <w:tcPr>
            <w:tcW w:w="471" w:type="dxa"/>
            <w:tcBorders>
              <w:top w:val="nil"/>
              <w:left w:val="nil"/>
              <w:bottom w:val="single" w:sz="4" w:space="0" w:color="auto"/>
              <w:right w:val="single" w:sz="4" w:space="0" w:color="auto"/>
            </w:tcBorders>
          </w:tcPr>
          <w:p w:rsidR="003F24A1" w:rsidRPr="003F24A1" w:rsidRDefault="003F24A1" w:rsidP="003F24A1">
            <w:pPr>
              <w:ind w:left="-1678" w:right="98"/>
              <w:jc w:val="right"/>
              <w:rPr>
                <w:sz w:val="15"/>
                <w:szCs w:val="15"/>
              </w:rPr>
            </w:pPr>
            <w:r w:rsidRPr="003F24A1">
              <w:rPr>
                <w:sz w:val="15"/>
                <w:szCs w:val="15"/>
              </w:rPr>
              <w:t>1.6</w:t>
            </w:r>
          </w:p>
        </w:tc>
        <w:tc>
          <w:tcPr>
            <w:tcW w:w="486" w:type="dxa"/>
            <w:tcBorders>
              <w:top w:val="nil"/>
              <w:left w:val="nil"/>
              <w:bottom w:val="single" w:sz="4" w:space="0" w:color="auto"/>
              <w:right w:val="single" w:sz="4" w:space="0" w:color="auto"/>
            </w:tcBorders>
          </w:tcPr>
          <w:p w:rsidR="003F24A1" w:rsidRPr="003F24A1" w:rsidRDefault="003F24A1" w:rsidP="003F24A1">
            <w:pPr>
              <w:ind w:left="-1678" w:right="98"/>
              <w:jc w:val="right"/>
              <w:rPr>
                <w:b/>
                <w:sz w:val="15"/>
                <w:szCs w:val="15"/>
              </w:rPr>
            </w:pPr>
            <w:r w:rsidRPr="003F24A1">
              <w:rPr>
                <w:b/>
                <w:sz w:val="15"/>
                <w:szCs w:val="15"/>
              </w:rPr>
              <w:t>1.6</w:t>
            </w:r>
          </w:p>
        </w:tc>
      </w:tr>
      <w:tr w:rsidR="003F24A1" w:rsidRPr="003F24A1" w:rsidTr="004B3C2F">
        <w:trPr>
          <w:trHeight w:val="1622"/>
          <w:jc w:val="center"/>
        </w:trPr>
        <w:tc>
          <w:tcPr>
            <w:tcW w:w="9361" w:type="dxa"/>
            <w:gridSpan w:val="19"/>
            <w:tcBorders>
              <w:top w:val="single" w:sz="4" w:space="0" w:color="auto"/>
              <w:left w:val="nil"/>
              <w:bottom w:val="nil"/>
              <w:right w:val="nil"/>
            </w:tcBorders>
            <w:shd w:val="clear" w:color="auto" w:fill="auto"/>
            <w:noWrap/>
            <w:vAlign w:val="bottom"/>
          </w:tcPr>
          <w:p w:rsidR="003F24A1" w:rsidRPr="003F24A1" w:rsidRDefault="003F24A1" w:rsidP="003F24A1">
            <w:pPr>
              <w:tabs>
                <w:tab w:val="decimal" w:pos="-175"/>
                <w:tab w:val="left" w:pos="35"/>
              </w:tabs>
              <w:autoSpaceDE w:val="0"/>
              <w:autoSpaceDN w:val="0"/>
              <w:adjustRightInd w:val="0"/>
              <w:ind w:right="-72" w:firstLine="364"/>
              <w:jc w:val="both"/>
              <w:rPr>
                <w:sz w:val="14"/>
                <w:szCs w:val="14"/>
              </w:rPr>
            </w:pPr>
            <w:r w:rsidRPr="003F24A1">
              <w:rPr>
                <w:sz w:val="14"/>
                <w:szCs w:val="14"/>
              </w:rPr>
              <w:t xml:space="preserve">Nota: IAPC: Índice Armonizado de Precios al Consumidor; IPC: Índice de Precios al Consumidor; </w:t>
            </w:r>
          </w:p>
          <w:p w:rsidR="003F24A1" w:rsidRPr="003F24A1" w:rsidRDefault="003F24A1" w:rsidP="003F24A1">
            <w:pPr>
              <w:tabs>
                <w:tab w:val="decimal" w:pos="-175"/>
                <w:tab w:val="left" w:pos="35"/>
              </w:tabs>
              <w:autoSpaceDE w:val="0"/>
              <w:autoSpaceDN w:val="0"/>
              <w:adjustRightInd w:val="0"/>
              <w:ind w:right="-72" w:firstLine="406"/>
              <w:jc w:val="both"/>
              <w:rPr>
                <w:sz w:val="14"/>
                <w:szCs w:val="14"/>
              </w:rPr>
            </w:pPr>
            <w:r w:rsidRPr="003F24A1">
              <w:rPr>
                <w:sz w:val="14"/>
                <w:szCs w:val="14"/>
              </w:rPr>
              <w:t>N.D. no disponible</w:t>
            </w:r>
          </w:p>
          <w:p w:rsidR="003F24A1" w:rsidRPr="003F24A1" w:rsidRDefault="003F24A1" w:rsidP="003F24A1">
            <w:pPr>
              <w:ind w:firstLine="686"/>
              <w:jc w:val="both"/>
              <w:rPr>
                <w:sz w:val="14"/>
                <w:szCs w:val="14"/>
              </w:rPr>
            </w:pPr>
            <w:r w:rsidRPr="003F24A1">
              <w:rPr>
                <w:sz w:val="14"/>
                <w:szCs w:val="14"/>
              </w:rPr>
              <w:t>El IAPC solamente se utiliza para el Área Euro y la Unión Europea, para todos los demás se utiliza el IPC.</w:t>
            </w:r>
          </w:p>
          <w:p w:rsidR="003F24A1" w:rsidRPr="003F24A1" w:rsidRDefault="003F24A1" w:rsidP="003F24A1">
            <w:pPr>
              <w:ind w:left="689" w:hanging="101"/>
              <w:jc w:val="both"/>
              <w:rPr>
                <w:sz w:val="14"/>
                <w:szCs w:val="14"/>
              </w:rPr>
            </w:pPr>
            <w:r w:rsidRPr="003F24A1">
              <w:rPr>
                <w:sz w:val="14"/>
                <w:szCs w:val="14"/>
                <w:u w:val="single"/>
                <w:vertAlign w:val="superscript"/>
              </w:rPr>
              <w:t>1</w:t>
            </w:r>
            <w:r w:rsidRPr="003F24A1">
              <w:rPr>
                <w:sz w:val="14"/>
                <w:szCs w:val="14"/>
                <w:vertAlign w:val="superscript"/>
              </w:rPr>
              <w:t>/</w:t>
            </w:r>
            <w:r w:rsidRPr="003F24A1">
              <w:rPr>
                <w:sz w:val="14"/>
                <w:szCs w:val="14"/>
              </w:rPr>
              <w:t xml:space="preserve"> La OCDE Total cubre los 34 países miembros de la OCDE: Alemania, Australia, Austria, Bélgica, Canadá, Corea, Chile, Dinamarca, Estados Unidos de Norteamérica, Eslovenia, España, Estonia, Finlandia, Francia, Grecia, Hungría, Islandia, Irlanda, Israel, Italia, Japón, Luxemburgo, México, Nueva Zelanda, Noruega, Países Bajos, Polonia, Portugal, República Checa,  República Eslovaca, Reino Unido, Suecia, Suiza y Turquía.</w:t>
            </w:r>
          </w:p>
          <w:p w:rsidR="003F24A1" w:rsidRPr="003F24A1" w:rsidRDefault="003F24A1" w:rsidP="003F24A1">
            <w:pPr>
              <w:ind w:left="689" w:hanging="140"/>
              <w:jc w:val="both"/>
              <w:rPr>
                <w:sz w:val="14"/>
                <w:szCs w:val="14"/>
              </w:rPr>
            </w:pPr>
            <w:r w:rsidRPr="003F24A1">
              <w:rPr>
                <w:sz w:val="14"/>
                <w:szCs w:val="14"/>
                <w:u w:val="single"/>
                <w:vertAlign w:val="superscript"/>
              </w:rPr>
              <w:t>2</w:t>
            </w:r>
            <w:r w:rsidR="00F97F64" w:rsidRPr="003F24A1">
              <w:rPr>
                <w:sz w:val="14"/>
                <w:szCs w:val="14"/>
                <w:vertAlign w:val="superscript"/>
              </w:rPr>
              <w:t xml:space="preserve">/ </w:t>
            </w:r>
            <w:r w:rsidR="00F97F64" w:rsidRPr="003F24A1">
              <w:rPr>
                <w:sz w:val="14"/>
                <w:szCs w:val="14"/>
              </w:rPr>
              <w:t>El</w:t>
            </w:r>
            <w:r w:rsidRPr="003F24A1">
              <w:rPr>
                <w:sz w:val="14"/>
                <w:szCs w:val="14"/>
              </w:rPr>
              <w:t xml:space="preserve"> área G7 cubre: Alemania, Canadá, Estados Unidos de Norteamérica, Francia, Italia, Japón y Reino Unido.</w:t>
            </w:r>
          </w:p>
          <w:p w:rsidR="003F24A1" w:rsidRPr="003F24A1" w:rsidRDefault="003F24A1" w:rsidP="003F24A1">
            <w:pPr>
              <w:ind w:left="689" w:hanging="140"/>
              <w:jc w:val="both"/>
              <w:rPr>
                <w:sz w:val="14"/>
                <w:szCs w:val="14"/>
              </w:rPr>
            </w:pPr>
            <w:r w:rsidRPr="003F24A1">
              <w:rPr>
                <w:sz w:val="14"/>
                <w:szCs w:val="14"/>
                <w:u w:val="single"/>
                <w:vertAlign w:val="superscript"/>
              </w:rPr>
              <w:t>3</w:t>
            </w:r>
            <w:r w:rsidRPr="003F24A1">
              <w:rPr>
                <w:sz w:val="14"/>
                <w:szCs w:val="14"/>
                <w:vertAlign w:val="superscript"/>
              </w:rPr>
              <w:t>/</w:t>
            </w:r>
            <w:r w:rsidRPr="003F24A1">
              <w:rPr>
                <w:sz w:val="14"/>
                <w:szCs w:val="14"/>
              </w:rPr>
              <w:t xml:space="preserve"> El Área Euro cubre los siguientes 15 países: Alemania, Austria, Bélgica, Chipre, Eslovenia, España, Finlandia, Francia, Grecia, Italia, Irlanda, Luxemburgo, Malta, Países Bajos y Portugal.</w:t>
            </w:r>
          </w:p>
          <w:p w:rsidR="003F24A1" w:rsidRPr="003F24A1" w:rsidRDefault="003F24A1" w:rsidP="003F24A1">
            <w:pPr>
              <w:ind w:left="706" w:hanging="140"/>
              <w:jc w:val="both"/>
              <w:rPr>
                <w:sz w:val="14"/>
                <w:szCs w:val="14"/>
              </w:rPr>
            </w:pPr>
            <w:r w:rsidRPr="003F24A1">
              <w:rPr>
                <w:sz w:val="14"/>
                <w:szCs w:val="14"/>
                <w:u w:val="single"/>
                <w:vertAlign w:val="superscript"/>
              </w:rPr>
              <w:t>4</w:t>
            </w:r>
            <w:r w:rsidRPr="003F24A1">
              <w:rPr>
                <w:sz w:val="14"/>
                <w:szCs w:val="14"/>
                <w:vertAlign w:val="superscript"/>
              </w:rPr>
              <w:t>/</w:t>
            </w:r>
            <w:r w:rsidRPr="003F24A1">
              <w:rPr>
                <w:sz w:val="14"/>
                <w:szCs w:val="14"/>
              </w:rPr>
              <w:t xml:space="preserve"> La Unión Europea se refiere a la composición actual de la Unión </w:t>
            </w:r>
            <w:r w:rsidR="00F97F64" w:rsidRPr="003F24A1">
              <w:rPr>
                <w:sz w:val="14"/>
                <w:szCs w:val="14"/>
              </w:rPr>
              <w:t>Europea (</w:t>
            </w:r>
            <w:r w:rsidRPr="003F24A1">
              <w:rPr>
                <w:sz w:val="14"/>
                <w:szCs w:val="14"/>
              </w:rPr>
              <w:t>27 países</w:t>
            </w:r>
            <w:r w:rsidR="00F97F64" w:rsidRPr="003F24A1">
              <w:rPr>
                <w:sz w:val="14"/>
                <w:szCs w:val="14"/>
              </w:rPr>
              <w:t>) para</w:t>
            </w:r>
            <w:r w:rsidRPr="003F24A1">
              <w:rPr>
                <w:sz w:val="14"/>
                <w:szCs w:val="14"/>
              </w:rPr>
              <w:t xml:space="preserve"> el período completo de las series de tiempo.</w:t>
            </w:r>
          </w:p>
          <w:p w:rsidR="003F24A1" w:rsidRPr="003F24A1" w:rsidRDefault="003F24A1" w:rsidP="003F24A1">
            <w:pPr>
              <w:ind w:left="56"/>
              <w:jc w:val="both"/>
              <w:rPr>
                <w:rFonts w:ascii="Arial" w:hAnsi="Arial" w:cs="Arial"/>
                <w:sz w:val="14"/>
                <w:szCs w:val="14"/>
              </w:rPr>
            </w:pPr>
            <w:r w:rsidRPr="003F24A1">
              <w:rPr>
                <w:sz w:val="14"/>
                <w:szCs w:val="14"/>
              </w:rPr>
              <w:t xml:space="preserve">FUENTE: OECD </w:t>
            </w:r>
            <w:proofErr w:type="spellStart"/>
            <w:r w:rsidRPr="003F24A1">
              <w:rPr>
                <w:sz w:val="14"/>
                <w:szCs w:val="14"/>
              </w:rPr>
              <w:t>Consumer</w:t>
            </w:r>
            <w:proofErr w:type="spellEnd"/>
            <w:r w:rsidRPr="003F24A1">
              <w:rPr>
                <w:sz w:val="14"/>
                <w:szCs w:val="14"/>
              </w:rPr>
              <w:t xml:space="preserve"> Price </w:t>
            </w:r>
            <w:proofErr w:type="spellStart"/>
            <w:r w:rsidRPr="003F24A1">
              <w:rPr>
                <w:sz w:val="14"/>
                <w:szCs w:val="14"/>
              </w:rPr>
              <w:t>Index</w:t>
            </w:r>
            <w:proofErr w:type="spellEnd"/>
            <w:r w:rsidRPr="003F24A1">
              <w:rPr>
                <w:sz w:val="14"/>
                <w:szCs w:val="14"/>
              </w:rPr>
              <w:t>.</w:t>
            </w:r>
          </w:p>
        </w:tc>
      </w:tr>
    </w:tbl>
    <w:p w:rsidR="003F24A1" w:rsidRPr="003F24A1" w:rsidRDefault="003F24A1" w:rsidP="003F24A1">
      <w:pPr>
        <w:jc w:val="both"/>
        <w:rPr>
          <w:sz w:val="2"/>
          <w:szCs w:val="2"/>
        </w:rPr>
      </w:pPr>
    </w:p>
    <w:p w:rsidR="003F24A1" w:rsidRPr="003F24A1" w:rsidRDefault="003F24A1" w:rsidP="003F24A1">
      <w:pPr>
        <w:spacing w:before="20"/>
        <w:jc w:val="both"/>
        <w:rPr>
          <w:sz w:val="20"/>
          <w:szCs w:val="20"/>
        </w:rPr>
      </w:pPr>
      <w:r w:rsidRPr="003F24A1">
        <w:rPr>
          <w:b/>
          <w:sz w:val="20"/>
          <w:szCs w:val="20"/>
        </w:rPr>
        <w:t>Fuente de información:</w:t>
      </w:r>
      <w:r w:rsidRPr="003F24A1">
        <w:rPr>
          <w:sz w:val="20"/>
          <w:szCs w:val="20"/>
        </w:rPr>
        <w:t xml:space="preserve"> </w:t>
      </w:r>
    </w:p>
    <w:p w:rsidR="0023171E" w:rsidRDefault="00935135" w:rsidP="00C47851">
      <w:pPr>
        <w:rPr>
          <w:sz w:val="20"/>
          <w:szCs w:val="20"/>
        </w:rPr>
      </w:pPr>
      <w:hyperlink r:id="rId53" w:history="1">
        <w:r w:rsidR="00C47851" w:rsidRPr="00C47851">
          <w:rPr>
            <w:rStyle w:val="Hipervnculo"/>
            <w:sz w:val="20"/>
            <w:szCs w:val="20"/>
          </w:rPr>
          <w:t>http://www.oecd.org/std/prices-ppp/OECD-CPI-03-15.pdf</w:t>
        </w:r>
      </w:hyperlink>
      <w:r w:rsidR="00C47851" w:rsidRPr="00C47851">
        <w:rPr>
          <w:sz w:val="20"/>
          <w:szCs w:val="20"/>
        </w:rPr>
        <w:t xml:space="preserve"> </w:t>
      </w:r>
    </w:p>
    <w:p w:rsidR="0023171E" w:rsidRPr="00E313B7" w:rsidRDefault="0023171E" w:rsidP="00534273">
      <w:pPr>
        <w:keepNext/>
        <w:spacing w:before="240" w:after="240" w:line="360" w:lineRule="auto"/>
        <w:ind w:right="23"/>
        <w:outlineLvl w:val="0"/>
        <w:rPr>
          <w:b/>
          <w:color w:val="0000FF"/>
          <w:sz w:val="26"/>
          <w:szCs w:val="26"/>
        </w:rPr>
      </w:pPr>
      <w:r>
        <w:rPr>
          <w:sz w:val="20"/>
          <w:szCs w:val="20"/>
        </w:rPr>
        <w:br w:type="column"/>
      </w:r>
      <w:r w:rsidRPr="00E313B7">
        <w:rPr>
          <w:b/>
          <w:color w:val="0000FF"/>
          <w:sz w:val="26"/>
          <w:szCs w:val="26"/>
        </w:rPr>
        <w:lastRenderedPageBreak/>
        <w:t>Precios en la región del Euro (BCE)</w:t>
      </w:r>
    </w:p>
    <w:p w:rsidR="0023171E" w:rsidRDefault="0023171E" w:rsidP="00534273">
      <w:pPr>
        <w:tabs>
          <w:tab w:val="left" w:pos="4111"/>
        </w:tabs>
        <w:spacing w:before="240" w:after="240" w:line="360" w:lineRule="auto"/>
        <w:jc w:val="both"/>
        <w:rPr>
          <w:sz w:val="26"/>
          <w:szCs w:val="26"/>
        </w:rPr>
      </w:pPr>
      <w:r w:rsidRPr="00636A3C">
        <w:rPr>
          <w:sz w:val="26"/>
          <w:szCs w:val="26"/>
        </w:rPr>
        <w:t xml:space="preserve">El Banco Central Europeo (BCE) publicó en su Boletín Mensual del </w:t>
      </w:r>
      <w:r w:rsidR="00FE1D6E">
        <w:rPr>
          <w:sz w:val="26"/>
          <w:szCs w:val="26"/>
        </w:rPr>
        <w:t>1</w:t>
      </w:r>
      <w:r w:rsidR="00B849DE">
        <w:rPr>
          <w:sz w:val="26"/>
          <w:szCs w:val="26"/>
        </w:rPr>
        <w:t>8</w:t>
      </w:r>
      <w:r w:rsidRPr="00753DF1">
        <w:rPr>
          <w:sz w:val="26"/>
          <w:szCs w:val="26"/>
        </w:rPr>
        <w:t xml:space="preserve"> de </w:t>
      </w:r>
      <w:r w:rsidR="00FE1D6E">
        <w:rPr>
          <w:sz w:val="26"/>
          <w:szCs w:val="26"/>
        </w:rPr>
        <w:t>marzo</w:t>
      </w:r>
      <w:r w:rsidRPr="00636A3C">
        <w:rPr>
          <w:sz w:val="26"/>
          <w:szCs w:val="26"/>
        </w:rPr>
        <w:t xml:space="preserve"> de 201</w:t>
      </w:r>
      <w:r>
        <w:rPr>
          <w:sz w:val="26"/>
          <w:szCs w:val="26"/>
        </w:rPr>
        <w:t>5</w:t>
      </w:r>
      <w:r w:rsidRPr="00636A3C">
        <w:rPr>
          <w:sz w:val="26"/>
          <w:szCs w:val="26"/>
        </w:rPr>
        <w:t xml:space="preserve">, correspondiente al mes de </w:t>
      </w:r>
      <w:r w:rsidR="00FE1D6E">
        <w:rPr>
          <w:sz w:val="26"/>
          <w:szCs w:val="26"/>
        </w:rPr>
        <w:t>febrero</w:t>
      </w:r>
      <w:r w:rsidRPr="00636A3C">
        <w:rPr>
          <w:sz w:val="26"/>
          <w:szCs w:val="26"/>
        </w:rPr>
        <w:t xml:space="preserve"> de 201</w:t>
      </w:r>
      <w:r w:rsidR="00FE1D6E">
        <w:rPr>
          <w:sz w:val="26"/>
          <w:szCs w:val="26"/>
        </w:rPr>
        <w:t>5</w:t>
      </w:r>
      <w:r w:rsidRPr="00636A3C">
        <w:rPr>
          <w:sz w:val="26"/>
          <w:szCs w:val="26"/>
        </w:rPr>
        <w:t>, información relativa al análisis de los precios al consumi</w:t>
      </w:r>
      <w:bookmarkStart w:id="1" w:name="_GoBack"/>
      <w:bookmarkEnd w:id="1"/>
      <w:r w:rsidRPr="00636A3C">
        <w:rPr>
          <w:sz w:val="26"/>
          <w:szCs w:val="26"/>
        </w:rPr>
        <w:t>dor en la región del euro. A continuación se presentan los detalles.</w:t>
      </w:r>
    </w:p>
    <w:p w:rsidR="00C47851" w:rsidRPr="00FE1D6E" w:rsidRDefault="0023171E" w:rsidP="00534273">
      <w:pPr>
        <w:spacing w:before="240" w:after="240" w:line="360" w:lineRule="auto"/>
        <w:jc w:val="both"/>
        <w:rPr>
          <w:b/>
          <w:sz w:val="26"/>
          <w:szCs w:val="26"/>
        </w:rPr>
      </w:pPr>
      <w:r w:rsidRPr="00FE1D6E">
        <w:rPr>
          <w:b/>
          <w:sz w:val="26"/>
          <w:szCs w:val="26"/>
        </w:rPr>
        <w:t xml:space="preserve">Precios y </w:t>
      </w:r>
      <w:r w:rsidR="00601452">
        <w:rPr>
          <w:b/>
          <w:sz w:val="26"/>
          <w:szCs w:val="26"/>
        </w:rPr>
        <w:t>costo</w:t>
      </w:r>
      <w:r w:rsidRPr="00FE1D6E">
        <w:rPr>
          <w:b/>
          <w:sz w:val="26"/>
          <w:szCs w:val="26"/>
        </w:rPr>
        <w:t>s</w:t>
      </w:r>
    </w:p>
    <w:p w:rsidR="0023171E" w:rsidRPr="0023171E" w:rsidRDefault="0023171E" w:rsidP="00534273">
      <w:pPr>
        <w:spacing w:before="240" w:after="240" w:line="360" w:lineRule="auto"/>
        <w:jc w:val="both"/>
        <w:rPr>
          <w:sz w:val="26"/>
          <w:szCs w:val="26"/>
        </w:rPr>
      </w:pPr>
      <w:r w:rsidRPr="0023171E">
        <w:rPr>
          <w:sz w:val="26"/>
          <w:szCs w:val="26"/>
        </w:rPr>
        <w:t>Factores globales e internos explican el prolongado descenso de la inflación medida por el IAPC observado desde finales de 2011, y la acusada caída que han experimentado recientemente los precios del petróleo ha sido el principal factor determinante de que la inflación se haya situado en terreno negativo en los últimos meses. A partir de los precios vigentes de los futuros sobre el petróleo, se prevé que la inflación interanual medida por el IAPC permanezca en niveles negativos o muy bajos en los próximos meses. Las proyecciones macroeconómicas de marzo de 2015 elaboradas por los expertos del BCE para la zona del euro sitúan la tasa media de inflación en el 0</w:t>
      </w:r>
      <w:r w:rsidR="00FE1D6E">
        <w:rPr>
          <w:sz w:val="26"/>
          <w:szCs w:val="26"/>
        </w:rPr>
        <w:t>.</w:t>
      </w:r>
      <w:r w:rsidRPr="0023171E">
        <w:rPr>
          <w:sz w:val="26"/>
          <w:szCs w:val="26"/>
        </w:rPr>
        <w:t>0</w:t>
      </w:r>
      <w:r w:rsidR="00FE1D6E">
        <w:rPr>
          <w:sz w:val="26"/>
          <w:szCs w:val="26"/>
        </w:rPr>
        <w:t>%</w:t>
      </w:r>
      <w:r w:rsidRPr="0023171E">
        <w:rPr>
          <w:sz w:val="26"/>
          <w:szCs w:val="26"/>
        </w:rPr>
        <w:t xml:space="preserve"> en 2015, aunque aumentará de forma significativa en 2016, hasta el 1</w:t>
      </w:r>
      <w:r w:rsidR="00FE1D6E">
        <w:rPr>
          <w:sz w:val="26"/>
          <w:szCs w:val="26"/>
        </w:rPr>
        <w:t>.</w:t>
      </w:r>
      <w:r w:rsidRPr="0023171E">
        <w:rPr>
          <w:sz w:val="26"/>
          <w:szCs w:val="26"/>
        </w:rPr>
        <w:t>5</w:t>
      </w:r>
      <w:r w:rsidR="00FE1D6E">
        <w:rPr>
          <w:sz w:val="26"/>
          <w:szCs w:val="26"/>
        </w:rPr>
        <w:t>%</w:t>
      </w:r>
      <w:r w:rsidRPr="0023171E">
        <w:rPr>
          <w:sz w:val="26"/>
          <w:szCs w:val="26"/>
        </w:rPr>
        <w:t>, y hasta el 1</w:t>
      </w:r>
      <w:r w:rsidR="00FE1D6E">
        <w:rPr>
          <w:sz w:val="26"/>
          <w:szCs w:val="26"/>
        </w:rPr>
        <w:t>.</w:t>
      </w:r>
      <w:r w:rsidRPr="0023171E">
        <w:rPr>
          <w:sz w:val="26"/>
          <w:szCs w:val="26"/>
        </w:rPr>
        <w:t>8</w:t>
      </w:r>
      <w:r w:rsidR="00FE1D6E">
        <w:rPr>
          <w:sz w:val="26"/>
          <w:szCs w:val="26"/>
        </w:rPr>
        <w:t>%</w:t>
      </w:r>
      <w:r w:rsidRPr="0023171E">
        <w:rPr>
          <w:sz w:val="26"/>
          <w:szCs w:val="26"/>
        </w:rPr>
        <w:t xml:space="preserve"> en 2017. Se espera que la inflación medida por el IAPC, excluidos la energía y los alimentos, se incremente del 0</w:t>
      </w:r>
      <w:r w:rsidR="00FE1D6E">
        <w:rPr>
          <w:sz w:val="26"/>
          <w:szCs w:val="26"/>
        </w:rPr>
        <w:t>.</w:t>
      </w:r>
      <w:r w:rsidRPr="0023171E">
        <w:rPr>
          <w:sz w:val="26"/>
          <w:szCs w:val="26"/>
        </w:rPr>
        <w:t>8</w:t>
      </w:r>
      <w:r w:rsidR="00FE1D6E">
        <w:rPr>
          <w:sz w:val="26"/>
          <w:szCs w:val="26"/>
        </w:rPr>
        <w:t>%</w:t>
      </w:r>
      <w:r w:rsidRPr="0023171E">
        <w:rPr>
          <w:sz w:val="26"/>
          <w:szCs w:val="26"/>
        </w:rPr>
        <w:t xml:space="preserve"> en 2015 al 1</w:t>
      </w:r>
      <w:r w:rsidR="00FE1D6E">
        <w:rPr>
          <w:sz w:val="26"/>
          <w:szCs w:val="26"/>
        </w:rPr>
        <w:t>.</w:t>
      </w:r>
      <w:r w:rsidRPr="0023171E">
        <w:rPr>
          <w:sz w:val="26"/>
          <w:szCs w:val="26"/>
        </w:rPr>
        <w:t>3</w:t>
      </w:r>
      <w:r w:rsidR="00FE1D6E">
        <w:rPr>
          <w:sz w:val="26"/>
          <w:szCs w:val="26"/>
        </w:rPr>
        <w:t>%</w:t>
      </w:r>
      <w:r w:rsidRPr="0023171E">
        <w:rPr>
          <w:sz w:val="26"/>
          <w:szCs w:val="26"/>
        </w:rPr>
        <w:t xml:space="preserve"> en</w:t>
      </w:r>
      <w:r>
        <w:rPr>
          <w:sz w:val="26"/>
          <w:szCs w:val="26"/>
        </w:rPr>
        <w:t xml:space="preserve"> </w:t>
      </w:r>
      <w:r w:rsidRPr="0023171E">
        <w:rPr>
          <w:sz w:val="26"/>
          <w:szCs w:val="26"/>
        </w:rPr>
        <w:t>2016 y el 1</w:t>
      </w:r>
      <w:r w:rsidR="00FE1D6E">
        <w:rPr>
          <w:sz w:val="26"/>
          <w:szCs w:val="26"/>
        </w:rPr>
        <w:t>.</w:t>
      </w:r>
      <w:r w:rsidRPr="0023171E">
        <w:rPr>
          <w:sz w:val="26"/>
          <w:szCs w:val="26"/>
        </w:rPr>
        <w:t>7</w:t>
      </w:r>
      <w:r w:rsidR="00FE1D6E">
        <w:rPr>
          <w:sz w:val="26"/>
          <w:szCs w:val="26"/>
        </w:rPr>
        <w:t>%</w:t>
      </w:r>
      <w:r w:rsidRPr="0023171E">
        <w:rPr>
          <w:sz w:val="26"/>
          <w:szCs w:val="26"/>
        </w:rPr>
        <w:t xml:space="preserve"> en 2017, así como que las recientes medidas de política monetaria contribuyan al aumento de la inflación en el horizonte de las proyecciones y a reforzar el anclaje de las expectativas de inflación. Los riesgos para las perspectivas de evolución de los precios a medio plazo serán objeto de un atento seguimiento, prestando especial atención a la transmisión de las medidas de política monetaria y a los acontecimientos geopolíticos, así como a la evolución del tipo de cambio y de los precios de la energía.</w:t>
      </w:r>
    </w:p>
    <w:p w:rsidR="00FE1D6E" w:rsidRDefault="0023171E" w:rsidP="00534273">
      <w:pPr>
        <w:spacing w:before="240" w:after="240" w:line="360" w:lineRule="auto"/>
        <w:jc w:val="both"/>
        <w:rPr>
          <w:sz w:val="26"/>
          <w:szCs w:val="26"/>
        </w:rPr>
      </w:pPr>
      <w:r w:rsidRPr="00BE5A0D">
        <w:rPr>
          <w:b/>
          <w:sz w:val="26"/>
          <w:szCs w:val="26"/>
        </w:rPr>
        <w:t xml:space="preserve">En los últimos meses, las tasas de inflación han sido considerablemente más bajas de lo previsto en las proyecciones macroeconómicas de diciembre de 2014 elaboradas </w:t>
      </w:r>
      <w:r w:rsidR="00534273" w:rsidRPr="00BE5A0D">
        <w:rPr>
          <w:b/>
          <w:sz w:val="26"/>
          <w:szCs w:val="26"/>
        </w:rPr>
        <w:t>por los expertos del Euro</w:t>
      </w:r>
      <w:r w:rsidRPr="00BE5A0D">
        <w:rPr>
          <w:b/>
          <w:sz w:val="26"/>
          <w:szCs w:val="26"/>
        </w:rPr>
        <w:t xml:space="preserve"> sistema para la zona del euro.</w:t>
      </w:r>
      <w:r w:rsidRPr="0023171E">
        <w:rPr>
          <w:sz w:val="26"/>
          <w:szCs w:val="26"/>
        </w:rPr>
        <w:t xml:space="preserve"> Según la </w:t>
      </w:r>
      <w:r w:rsidRPr="0023171E">
        <w:rPr>
          <w:sz w:val="26"/>
          <w:szCs w:val="26"/>
        </w:rPr>
        <w:lastRenderedPageBreak/>
        <w:t xml:space="preserve">estimación preliminar de </w:t>
      </w:r>
      <w:proofErr w:type="spellStart"/>
      <w:r w:rsidRPr="0023171E">
        <w:rPr>
          <w:sz w:val="26"/>
          <w:szCs w:val="26"/>
        </w:rPr>
        <w:t>Eurostat</w:t>
      </w:r>
      <w:proofErr w:type="spellEnd"/>
      <w:r w:rsidRPr="0023171E">
        <w:rPr>
          <w:sz w:val="26"/>
          <w:szCs w:val="26"/>
        </w:rPr>
        <w:t xml:space="preserve">, la inflación interanual medida por el IAPC se situó en el </w:t>
      </w:r>
      <w:r w:rsidR="00FE1D6E">
        <w:rPr>
          <w:sz w:val="26"/>
          <w:szCs w:val="26"/>
        </w:rPr>
        <w:t>-</w:t>
      </w:r>
      <w:r w:rsidRPr="0023171E">
        <w:rPr>
          <w:sz w:val="26"/>
          <w:szCs w:val="26"/>
        </w:rPr>
        <w:t>0</w:t>
      </w:r>
      <w:r w:rsidR="00FE1D6E">
        <w:rPr>
          <w:sz w:val="26"/>
          <w:szCs w:val="26"/>
        </w:rPr>
        <w:t>.</w:t>
      </w:r>
      <w:r w:rsidRPr="0023171E">
        <w:rPr>
          <w:sz w:val="26"/>
          <w:szCs w:val="26"/>
        </w:rPr>
        <w:t>3</w:t>
      </w:r>
      <w:r w:rsidR="00FE1D6E">
        <w:rPr>
          <w:sz w:val="26"/>
          <w:szCs w:val="26"/>
        </w:rPr>
        <w:t>% en febrero de 2015, frente al -</w:t>
      </w:r>
      <w:r w:rsidRPr="0023171E">
        <w:rPr>
          <w:sz w:val="26"/>
          <w:szCs w:val="26"/>
        </w:rPr>
        <w:t>0</w:t>
      </w:r>
      <w:r w:rsidR="00FE1D6E">
        <w:rPr>
          <w:sz w:val="26"/>
          <w:szCs w:val="26"/>
        </w:rPr>
        <w:t>.</w:t>
      </w:r>
      <w:r w:rsidRPr="0023171E">
        <w:rPr>
          <w:sz w:val="26"/>
          <w:szCs w:val="26"/>
        </w:rPr>
        <w:t>6</w:t>
      </w:r>
      <w:r w:rsidR="00FE1D6E">
        <w:rPr>
          <w:sz w:val="26"/>
          <w:szCs w:val="26"/>
        </w:rPr>
        <w:t>% de enero y el -</w:t>
      </w:r>
      <w:r w:rsidRPr="0023171E">
        <w:rPr>
          <w:sz w:val="26"/>
          <w:szCs w:val="26"/>
        </w:rPr>
        <w:t>0</w:t>
      </w:r>
      <w:r w:rsidR="00FE1D6E">
        <w:rPr>
          <w:sz w:val="26"/>
          <w:szCs w:val="26"/>
        </w:rPr>
        <w:t>.</w:t>
      </w:r>
      <w:r w:rsidRPr="0023171E">
        <w:rPr>
          <w:sz w:val="26"/>
          <w:szCs w:val="26"/>
        </w:rPr>
        <w:t>2</w:t>
      </w:r>
      <w:r w:rsidR="00FE1D6E">
        <w:rPr>
          <w:sz w:val="26"/>
          <w:szCs w:val="26"/>
        </w:rPr>
        <w:t>%</w:t>
      </w:r>
      <w:r w:rsidRPr="0023171E">
        <w:rPr>
          <w:sz w:val="26"/>
          <w:szCs w:val="26"/>
        </w:rPr>
        <w:t xml:space="preserve"> de diciembre de 2014 (</w:t>
      </w:r>
      <w:r w:rsidR="0037453E">
        <w:rPr>
          <w:sz w:val="26"/>
          <w:szCs w:val="26"/>
        </w:rPr>
        <w:t>ver gráfica siguiente</w:t>
      </w:r>
      <w:r w:rsidRPr="0023171E">
        <w:rPr>
          <w:sz w:val="26"/>
          <w:szCs w:val="26"/>
        </w:rPr>
        <w:t xml:space="preserve">). </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FE1D6E" w:rsidRPr="00FE1D6E" w:rsidTr="007D69FB">
        <w:tc>
          <w:tcPr>
            <w:tcW w:w="8604" w:type="dxa"/>
          </w:tcPr>
          <w:p w:rsidR="00FE1D6E" w:rsidRDefault="00FE1D6E" w:rsidP="00FE1D6E">
            <w:pPr>
              <w:keepNext/>
              <w:ind w:right="23"/>
              <w:jc w:val="center"/>
              <w:outlineLvl w:val="0"/>
              <w:rPr>
                <w:b/>
                <w:color w:val="221F1F"/>
                <w:spacing w:val="1"/>
                <w:sz w:val="22"/>
                <w:szCs w:val="22"/>
              </w:rPr>
            </w:pPr>
            <w:r>
              <w:rPr>
                <w:b/>
                <w:color w:val="221F1F"/>
                <w:spacing w:val="1"/>
                <w:sz w:val="22"/>
                <w:szCs w:val="22"/>
              </w:rPr>
              <w:t>INF</w:t>
            </w:r>
            <w:r w:rsidR="00534273">
              <w:rPr>
                <w:b/>
                <w:color w:val="221F1F"/>
                <w:spacing w:val="1"/>
                <w:sz w:val="22"/>
                <w:szCs w:val="22"/>
              </w:rPr>
              <w:t>L</w:t>
            </w:r>
            <w:r>
              <w:rPr>
                <w:b/>
                <w:color w:val="221F1F"/>
                <w:spacing w:val="1"/>
                <w:sz w:val="22"/>
                <w:szCs w:val="22"/>
              </w:rPr>
              <w:t>ACIÓN MEDIDA POR EL IAPC E INF</w:t>
            </w:r>
            <w:r w:rsidR="00534273">
              <w:rPr>
                <w:b/>
                <w:color w:val="221F1F"/>
                <w:spacing w:val="1"/>
                <w:sz w:val="22"/>
                <w:szCs w:val="22"/>
              </w:rPr>
              <w:t>L</w:t>
            </w:r>
            <w:r w:rsidRPr="00FE1D6E">
              <w:rPr>
                <w:b/>
                <w:color w:val="221F1F"/>
                <w:spacing w:val="1"/>
                <w:sz w:val="22"/>
                <w:szCs w:val="22"/>
              </w:rPr>
              <w:t>ACIÓN</w:t>
            </w:r>
            <w:r>
              <w:rPr>
                <w:b/>
                <w:color w:val="221F1F"/>
                <w:spacing w:val="1"/>
                <w:sz w:val="22"/>
                <w:szCs w:val="22"/>
              </w:rPr>
              <w:t xml:space="preserve"> </w:t>
            </w:r>
            <w:r w:rsidRPr="00FE1D6E">
              <w:rPr>
                <w:b/>
                <w:color w:val="221F1F"/>
                <w:spacing w:val="1"/>
                <w:sz w:val="22"/>
                <w:szCs w:val="22"/>
              </w:rPr>
              <w:t>MEDIDA POR EL IAPC, EXCLUIDOS ENERGÍA Y ALIMENTOS,</w:t>
            </w:r>
            <w:r>
              <w:rPr>
                <w:b/>
                <w:color w:val="221F1F"/>
                <w:spacing w:val="1"/>
                <w:sz w:val="22"/>
                <w:szCs w:val="22"/>
              </w:rPr>
              <w:t xml:space="preserve"> </w:t>
            </w:r>
            <w:r w:rsidRPr="00FE1D6E">
              <w:rPr>
                <w:b/>
                <w:color w:val="221F1F"/>
                <w:spacing w:val="1"/>
                <w:sz w:val="22"/>
                <w:szCs w:val="22"/>
              </w:rPr>
              <w:t>EN LA ZONA DEL EURO</w:t>
            </w:r>
          </w:p>
          <w:p w:rsidR="00FE1D6E" w:rsidRPr="00FE1D6E" w:rsidRDefault="00FE1D6E" w:rsidP="00A66401">
            <w:pPr>
              <w:keepNext/>
              <w:ind w:right="23"/>
              <w:jc w:val="center"/>
              <w:outlineLvl w:val="0"/>
              <w:rPr>
                <w:color w:val="221F1F"/>
                <w:spacing w:val="1"/>
                <w:sz w:val="26"/>
                <w:szCs w:val="26"/>
              </w:rPr>
            </w:pPr>
            <w:r w:rsidRPr="00FE1D6E">
              <w:rPr>
                <w:color w:val="221F1F"/>
                <w:spacing w:val="1"/>
                <w:sz w:val="22"/>
                <w:szCs w:val="22"/>
              </w:rPr>
              <w:t xml:space="preserve">- Tasas de variación interanual </w:t>
            </w:r>
            <w:r w:rsidR="00A66401">
              <w:rPr>
                <w:color w:val="221F1F"/>
                <w:spacing w:val="1"/>
                <w:sz w:val="22"/>
                <w:szCs w:val="22"/>
              </w:rPr>
              <w:t>-</w:t>
            </w:r>
          </w:p>
        </w:tc>
      </w:tr>
      <w:tr w:rsidR="00FE1D6E" w:rsidRPr="00FE1D6E" w:rsidTr="007D69FB">
        <w:tc>
          <w:tcPr>
            <w:tcW w:w="8604" w:type="dxa"/>
          </w:tcPr>
          <w:p w:rsidR="00FE1D6E" w:rsidRPr="00FE1D6E" w:rsidRDefault="00FE1D6E" w:rsidP="00FE1D6E">
            <w:pPr>
              <w:keepNext/>
              <w:ind w:right="23"/>
              <w:jc w:val="center"/>
              <w:outlineLvl w:val="0"/>
              <w:rPr>
                <w:color w:val="221F1F"/>
                <w:spacing w:val="1"/>
                <w:sz w:val="26"/>
                <w:szCs w:val="26"/>
              </w:rPr>
            </w:pPr>
            <w:r>
              <w:rPr>
                <w:noProof/>
                <w:lang w:val="es-MX" w:eastAsia="es-MX"/>
              </w:rPr>
              <w:drawing>
                <wp:inline distT="0" distB="0" distL="0" distR="0" wp14:anchorId="6DDF152B" wp14:editId="223BFEF8">
                  <wp:extent cx="3242931" cy="3705667"/>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0646" t="12468" r="42224" b="12068"/>
                          <a:stretch/>
                        </pic:blipFill>
                        <pic:spPr bwMode="auto">
                          <a:xfrm>
                            <a:off x="0" y="0"/>
                            <a:ext cx="3278040" cy="3745785"/>
                          </a:xfrm>
                          <a:prstGeom prst="rect">
                            <a:avLst/>
                          </a:prstGeom>
                          <a:ln>
                            <a:noFill/>
                          </a:ln>
                          <a:extLst>
                            <a:ext uri="{53640926-AAD7-44D8-BBD7-CCE9431645EC}">
                              <a14:shadowObscured xmlns:a14="http://schemas.microsoft.com/office/drawing/2010/main"/>
                            </a:ext>
                          </a:extLst>
                        </pic:spPr>
                      </pic:pic>
                    </a:graphicData>
                  </a:graphic>
                </wp:inline>
              </w:drawing>
            </w:r>
          </w:p>
        </w:tc>
      </w:tr>
      <w:tr w:rsidR="00FE1D6E" w:rsidRPr="00FE1D6E" w:rsidTr="007D69FB">
        <w:tc>
          <w:tcPr>
            <w:tcW w:w="8604" w:type="dxa"/>
          </w:tcPr>
          <w:p w:rsidR="00FE1D6E" w:rsidRDefault="00A66401" w:rsidP="00A66401">
            <w:pPr>
              <w:keepNext/>
              <w:ind w:left="2006" w:right="23" w:hanging="608"/>
              <w:jc w:val="both"/>
              <w:outlineLvl w:val="0"/>
              <w:rPr>
                <w:color w:val="221F1F"/>
                <w:spacing w:val="1"/>
                <w:sz w:val="20"/>
                <w:szCs w:val="20"/>
              </w:rPr>
            </w:pPr>
            <w:r w:rsidRPr="00A66401">
              <w:rPr>
                <w:color w:val="221F1F"/>
                <w:spacing w:val="1"/>
                <w:sz w:val="20"/>
                <w:szCs w:val="20"/>
              </w:rPr>
              <w:t xml:space="preserve">Notas: Las últimas </w:t>
            </w:r>
            <w:r>
              <w:rPr>
                <w:color w:val="221F1F"/>
                <w:spacing w:val="1"/>
                <w:sz w:val="20"/>
                <w:szCs w:val="20"/>
              </w:rPr>
              <w:t>observaciones relativas a la inf</w:t>
            </w:r>
            <w:r w:rsidRPr="00A66401">
              <w:rPr>
                <w:color w:val="221F1F"/>
                <w:spacing w:val="1"/>
                <w:sz w:val="20"/>
                <w:szCs w:val="20"/>
              </w:rPr>
              <w:t>lación medida por</w:t>
            </w:r>
            <w:r>
              <w:rPr>
                <w:color w:val="221F1F"/>
                <w:spacing w:val="1"/>
                <w:sz w:val="20"/>
                <w:szCs w:val="20"/>
              </w:rPr>
              <w:t xml:space="preserve"> </w:t>
            </w:r>
            <w:r w:rsidRPr="00A66401">
              <w:rPr>
                <w:color w:val="221F1F"/>
                <w:spacing w:val="1"/>
                <w:sz w:val="20"/>
                <w:szCs w:val="20"/>
              </w:rPr>
              <w:t>el IAPC y a la in</w:t>
            </w:r>
            <w:r>
              <w:rPr>
                <w:color w:val="221F1F"/>
                <w:spacing w:val="1"/>
                <w:sz w:val="20"/>
                <w:szCs w:val="20"/>
              </w:rPr>
              <w:t>f</w:t>
            </w:r>
            <w:r w:rsidRPr="00A66401">
              <w:rPr>
                <w:color w:val="221F1F"/>
                <w:spacing w:val="1"/>
                <w:sz w:val="20"/>
                <w:szCs w:val="20"/>
              </w:rPr>
              <w:t>lación medida por el IAPC, excluidos la energía y</w:t>
            </w:r>
            <w:r>
              <w:rPr>
                <w:color w:val="221F1F"/>
                <w:spacing w:val="1"/>
                <w:sz w:val="20"/>
                <w:szCs w:val="20"/>
              </w:rPr>
              <w:t xml:space="preserve"> </w:t>
            </w:r>
            <w:r w:rsidRPr="00A66401">
              <w:rPr>
                <w:color w:val="221F1F"/>
                <w:spacing w:val="1"/>
                <w:sz w:val="20"/>
                <w:szCs w:val="20"/>
              </w:rPr>
              <w:t>los alimentos, corresponden a febrero de 2015 (estimaciones preliminares).</w:t>
            </w:r>
            <w:r>
              <w:rPr>
                <w:color w:val="221F1F"/>
                <w:spacing w:val="1"/>
                <w:sz w:val="20"/>
                <w:szCs w:val="20"/>
              </w:rPr>
              <w:t xml:space="preserve"> </w:t>
            </w:r>
            <w:r w:rsidRPr="00A66401">
              <w:rPr>
                <w:color w:val="221F1F"/>
                <w:spacing w:val="1"/>
                <w:sz w:val="20"/>
                <w:szCs w:val="20"/>
              </w:rPr>
              <w:t>Los datos de las proyecciones se re</w:t>
            </w:r>
            <w:r>
              <w:rPr>
                <w:color w:val="221F1F"/>
                <w:spacing w:val="1"/>
                <w:sz w:val="20"/>
                <w:szCs w:val="20"/>
              </w:rPr>
              <w:t>f</w:t>
            </w:r>
            <w:r w:rsidRPr="00A66401">
              <w:rPr>
                <w:color w:val="221F1F"/>
                <w:spacing w:val="1"/>
                <w:sz w:val="20"/>
                <w:szCs w:val="20"/>
              </w:rPr>
              <w:t>ieren a medias anuales</w:t>
            </w:r>
            <w:r>
              <w:rPr>
                <w:color w:val="221F1F"/>
                <w:spacing w:val="1"/>
                <w:sz w:val="20"/>
                <w:szCs w:val="20"/>
              </w:rPr>
              <w:t xml:space="preserve"> </w:t>
            </w:r>
            <w:r w:rsidRPr="00A66401">
              <w:rPr>
                <w:color w:val="221F1F"/>
                <w:spacing w:val="1"/>
                <w:sz w:val="20"/>
                <w:szCs w:val="20"/>
              </w:rPr>
              <w:t>para 2015, 2016 y 2017, como en el d</w:t>
            </w:r>
            <w:r w:rsidR="00BE5A0D">
              <w:rPr>
                <w:color w:val="221F1F"/>
                <w:spacing w:val="1"/>
                <w:sz w:val="20"/>
                <w:szCs w:val="20"/>
              </w:rPr>
              <w:t>ocumento titulado “</w:t>
            </w:r>
            <w:r w:rsidRPr="00A66401">
              <w:rPr>
                <w:color w:val="221F1F"/>
                <w:spacing w:val="1"/>
                <w:sz w:val="20"/>
                <w:szCs w:val="20"/>
              </w:rPr>
              <w:t>Proyecciones</w:t>
            </w:r>
            <w:r>
              <w:rPr>
                <w:color w:val="221F1F"/>
                <w:spacing w:val="1"/>
                <w:sz w:val="20"/>
                <w:szCs w:val="20"/>
              </w:rPr>
              <w:t xml:space="preserve"> </w:t>
            </w:r>
            <w:r w:rsidRPr="00A66401">
              <w:rPr>
                <w:color w:val="221F1F"/>
                <w:spacing w:val="1"/>
                <w:sz w:val="20"/>
                <w:szCs w:val="20"/>
              </w:rPr>
              <w:t>macroeconómicas de marzo de 2015 elaboradas por los</w:t>
            </w:r>
            <w:r>
              <w:rPr>
                <w:color w:val="221F1F"/>
                <w:spacing w:val="1"/>
                <w:sz w:val="20"/>
                <w:szCs w:val="20"/>
              </w:rPr>
              <w:t xml:space="preserve"> </w:t>
            </w:r>
            <w:r w:rsidRPr="00A66401">
              <w:rPr>
                <w:color w:val="221F1F"/>
                <w:spacing w:val="1"/>
                <w:sz w:val="20"/>
                <w:szCs w:val="20"/>
              </w:rPr>
              <w:t>expertos</w:t>
            </w:r>
            <w:r>
              <w:rPr>
                <w:color w:val="221F1F"/>
                <w:spacing w:val="1"/>
                <w:sz w:val="20"/>
                <w:szCs w:val="20"/>
              </w:rPr>
              <w:t xml:space="preserve"> </w:t>
            </w:r>
            <w:r w:rsidRPr="00A66401">
              <w:rPr>
                <w:color w:val="221F1F"/>
                <w:spacing w:val="1"/>
                <w:sz w:val="20"/>
                <w:szCs w:val="20"/>
              </w:rPr>
              <w:t>del BCE para la zona del euro</w:t>
            </w:r>
            <w:r w:rsidR="00BE5A0D">
              <w:rPr>
                <w:color w:val="221F1F"/>
                <w:spacing w:val="1"/>
                <w:sz w:val="20"/>
                <w:szCs w:val="20"/>
              </w:rPr>
              <w:t>”</w:t>
            </w:r>
            <w:r w:rsidRPr="00A66401">
              <w:rPr>
                <w:color w:val="221F1F"/>
                <w:spacing w:val="1"/>
                <w:sz w:val="20"/>
                <w:szCs w:val="20"/>
              </w:rPr>
              <w:t xml:space="preserve"> publicadas en el sitio web</w:t>
            </w:r>
            <w:r>
              <w:rPr>
                <w:color w:val="221F1F"/>
                <w:spacing w:val="1"/>
                <w:sz w:val="20"/>
                <w:szCs w:val="20"/>
              </w:rPr>
              <w:t xml:space="preserve"> </w:t>
            </w:r>
            <w:r w:rsidRPr="00A66401">
              <w:rPr>
                <w:color w:val="221F1F"/>
                <w:spacing w:val="1"/>
                <w:sz w:val="20"/>
                <w:szCs w:val="20"/>
              </w:rPr>
              <w:t>del</w:t>
            </w:r>
            <w:r>
              <w:rPr>
                <w:color w:val="221F1F"/>
                <w:spacing w:val="1"/>
                <w:sz w:val="20"/>
                <w:szCs w:val="20"/>
              </w:rPr>
              <w:t xml:space="preserve"> </w:t>
            </w:r>
            <w:r w:rsidRPr="00A66401">
              <w:rPr>
                <w:color w:val="221F1F"/>
                <w:spacing w:val="1"/>
                <w:sz w:val="20"/>
                <w:szCs w:val="20"/>
              </w:rPr>
              <w:t>BCE el 5 de marzo de 2015.</w:t>
            </w:r>
          </w:p>
          <w:p w:rsidR="00A66401" w:rsidRPr="00FE1D6E" w:rsidRDefault="00A66401" w:rsidP="0037453E">
            <w:pPr>
              <w:keepNext/>
              <w:ind w:left="2439" w:right="23" w:hanging="1329"/>
              <w:outlineLvl w:val="0"/>
              <w:rPr>
                <w:color w:val="221F1F"/>
                <w:spacing w:val="1"/>
                <w:sz w:val="20"/>
                <w:szCs w:val="20"/>
              </w:rPr>
            </w:pPr>
            <w:r w:rsidRPr="00FE1D6E">
              <w:rPr>
                <w:color w:val="221F1F"/>
                <w:spacing w:val="1"/>
                <w:sz w:val="20"/>
                <w:szCs w:val="20"/>
              </w:rPr>
              <w:t xml:space="preserve">FUENTE: </w:t>
            </w:r>
            <w:proofErr w:type="spellStart"/>
            <w:r w:rsidRPr="00A66401">
              <w:rPr>
                <w:color w:val="221F1F"/>
                <w:spacing w:val="1"/>
                <w:sz w:val="20"/>
                <w:szCs w:val="20"/>
              </w:rPr>
              <w:t>Eurostat</w:t>
            </w:r>
            <w:proofErr w:type="spellEnd"/>
            <w:r w:rsidRPr="00A66401">
              <w:rPr>
                <w:color w:val="221F1F"/>
                <w:spacing w:val="1"/>
                <w:sz w:val="20"/>
                <w:szCs w:val="20"/>
              </w:rPr>
              <w:t xml:space="preserve"> y cálculos de los expertos del BCE.</w:t>
            </w:r>
          </w:p>
        </w:tc>
      </w:tr>
    </w:tbl>
    <w:p w:rsidR="0023171E" w:rsidRDefault="0023171E" w:rsidP="0023171E">
      <w:pPr>
        <w:spacing w:before="360" w:after="360" w:line="360" w:lineRule="auto"/>
        <w:jc w:val="both"/>
        <w:rPr>
          <w:sz w:val="26"/>
          <w:szCs w:val="26"/>
        </w:rPr>
      </w:pPr>
      <w:r w:rsidRPr="0023171E">
        <w:rPr>
          <w:sz w:val="26"/>
          <w:szCs w:val="26"/>
        </w:rPr>
        <w:t>Estas tasas inferiores a lo esperado tienen su origen principalmente en la menor contribución de los precios de la energía, ya que los precios del petróleo han experimentado un acusado descenso desde mediados de noviembre, cuando se cerró la rece</w:t>
      </w:r>
      <w:r>
        <w:rPr>
          <w:sz w:val="26"/>
          <w:szCs w:val="26"/>
        </w:rPr>
        <w:t>pción de datos para la elabora</w:t>
      </w:r>
      <w:r w:rsidRPr="0023171E">
        <w:rPr>
          <w:sz w:val="26"/>
          <w:szCs w:val="26"/>
        </w:rPr>
        <w:t>ción de las proyecciones de diciembre de 2014, en las que se tuvieron en cuenta los precios de los futuros vigentes entonces (</w:t>
      </w:r>
      <w:r w:rsidR="00173346">
        <w:rPr>
          <w:sz w:val="26"/>
          <w:szCs w:val="26"/>
        </w:rPr>
        <w:t xml:space="preserve">ver gráfica </w:t>
      </w:r>
      <w:r w:rsidR="00534273">
        <w:rPr>
          <w:sz w:val="26"/>
          <w:szCs w:val="26"/>
        </w:rPr>
        <w:t>siguiente</w:t>
      </w:r>
      <w:r w:rsidRPr="0023171E">
        <w:rPr>
          <w:sz w:val="26"/>
          <w:szCs w:val="26"/>
        </w:rPr>
        <w:t>).</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0B00C6" w:rsidRPr="00FE1D6E" w:rsidTr="007D69FB">
        <w:tc>
          <w:tcPr>
            <w:tcW w:w="8604" w:type="dxa"/>
          </w:tcPr>
          <w:p w:rsidR="00173346" w:rsidRDefault="00173346" w:rsidP="00173346">
            <w:pPr>
              <w:keepNext/>
              <w:ind w:right="23"/>
              <w:jc w:val="center"/>
              <w:outlineLvl w:val="0"/>
              <w:rPr>
                <w:b/>
                <w:color w:val="221F1F"/>
                <w:spacing w:val="1"/>
                <w:sz w:val="22"/>
                <w:szCs w:val="22"/>
              </w:rPr>
            </w:pPr>
            <w:r w:rsidRPr="000B00C6">
              <w:rPr>
                <w:b/>
                <w:color w:val="221F1F"/>
                <w:spacing w:val="1"/>
                <w:sz w:val="22"/>
                <w:szCs w:val="22"/>
              </w:rPr>
              <w:lastRenderedPageBreak/>
              <w:t>PRECIOS DEL PETRÓLEO – REALES Y DE LOS</w:t>
            </w:r>
            <w:r>
              <w:rPr>
                <w:b/>
                <w:color w:val="221F1F"/>
                <w:spacing w:val="1"/>
                <w:sz w:val="22"/>
                <w:szCs w:val="22"/>
              </w:rPr>
              <w:t xml:space="preserve"> </w:t>
            </w:r>
            <w:r w:rsidRPr="000B00C6">
              <w:rPr>
                <w:b/>
                <w:color w:val="221F1F"/>
                <w:spacing w:val="1"/>
                <w:sz w:val="22"/>
                <w:szCs w:val="22"/>
              </w:rPr>
              <w:t>FUTUROS</w:t>
            </w:r>
          </w:p>
          <w:p w:rsidR="000B00C6" w:rsidRPr="00FE1D6E" w:rsidRDefault="000B00C6" w:rsidP="00173346">
            <w:pPr>
              <w:keepNext/>
              <w:ind w:right="23"/>
              <w:jc w:val="center"/>
              <w:outlineLvl w:val="0"/>
              <w:rPr>
                <w:color w:val="221F1F"/>
                <w:spacing w:val="1"/>
                <w:sz w:val="26"/>
                <w:szCs w:val="26"/>
              </w:rPr>
            </w:pPr>
            <w:r w:rsidRPr="00FE1D6E">
              <w:rPr>
                <w:color w:val="221F1F"/>
                <w:spacing w:val="1"/>
                <w:sz w:val="22"/>
                <w:szCs w:val="22"/>
              </w:rPr>
              <w:t xml:space="preserve">- </w:t>
            </w:r>
            <w:r w:rsidR="00173346">
              <w:rPr>
                <w:color w:val="221F1F"/>
                <w:spacing w:val="1"/>
                <w:sz w:val="22"/>
                <w:szCs w:val="22"/>
              </w:rPr>
              <w:t>Dólares estadounidenses por barril</w:t>
            </w:r>
            <w:r w:rsidRPr="00FE1D6E">
              <w:rPr>
                <w:color w:val="221F1F"/>
                <w:spacing w:val="1"/>
                <w:sz w:val="22"/>
                <w:szCs w:val="22"/>
              </w:rPr>
              <w:t xml:space="preserve"> </w:t>
            </w:r>
            <w:r>
              <w:rPr>
                <w:color w:val="221F1F"/>
                <w:spacing w:val="1"/>
                <w:sz w:val="22"/>
                <w:szCs w:val="22"/>
              </w:rPr>
              <w:t>-</w:t>
            </w:r>
          </w:p>
        </w:tc>
      </w:tr>
      <w:tr w:rsidR="000B00C6" w:rsidRPr="00FE1D6E" w:rsidTr="007D69FB">
        <w:tc>
          <w:tcPr>
            <w:tcW w:w="8604" w:type="dxa"/>
          </w:tcPr>
          <w:p w:rsidR="000B00C6" w:rsidRPr="00FE1D6E" w:rsidRDefault="00173346" w:rsidP="007D69FB">
            <w:pPr>
              <w:keepNext/>
              <w:ind w:right="23"/>
              <w:jc w:val="center"/>
              <w:outlineLvl w:val="0"/>
              <w:rPr>
                <w:color w:val="221F1F"/>
                <w:spacing w:val="1"/>
                <w:sz w:val="26"/>
                <w:szCs w:val="26"/>
              </w:rPr>
            </w:pPr>
            <w:r>
              <w:rPr>
                <w:noProof/>
                <w:lang w:val="es-MX" w:eastAsia="es-MX"/>
              </w:rPr>
              <w:drawing>
                <wp:inline distT="0" distB="0" distL="0" distR="0" wp14:anchorId="3E654FA2" wp14:editId="36F64738">
                  <wp:extent cx="2817529" cy="3351735"/>
                  <wp:effectExtent l="0" t="0" r="1905" b="127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35041" t="10782" r="28019" b="11057"/>
                          <a:stretch/>
                        </pic:blipFill>
                        <pic:spPr bwMode="auto">
                          <a:xfrm>
                            <a:off x="0" y="0"/>
                            <a:ext cx="2842881" cy="3381894"/>
                          </a:xfrm>
                          <a:prstGeom prst="rect">
                            <a:avLst/>
                          </a:prstGeom>
                          <a:ln>
                            <a:noFill/>
                          </a:ln>
                          <a:extLst>
                            <a:ext uri="{53640926-AAD7-44D8-BBD7-CCE9431645EC}">
                              <a14:shadowObscured xmlns:a14="http://schemas.microsoft.com/office/drawing/2010/main"/>
                            </a:ext>
                          </a:extLst>
                        </pic:spPr>
                      </pic:pic>
                    </a:graphicData>
                  </a:graphic>
                </wp:inline>
              </w:drawing>
            </w:r>
          </w:p>
        </w:tc>
      </w:tr>
      <w:tr w:rsidR="000B00C6" w:rsidRPr="00FE1D6E" w:rsidTr="007D69FB">
        <w:tc>
          <w:tcPr>
            <w:tcW w:w="8604" w:type="dxa"/>
          </w:tcPr>
          <w:p w:rsidR="000B00C6" w:rsidRDefault="000B00C6" w:rsidP="00173346">
            <w:pPr>
              <w:keepNext/>
              <w:ind w:left="2006" w:right="23" w:hanging="608"/>
              <w:jc w:val="both"/>
              <w:outlineLvl w:val="0"/>
              <w:rPr>
                <w:color w:val="221F1F"/>
                <w:spacing w:val="1"/>
                <w:sz w:val="20"/>
                <w:szCs w:val="20"/>
              </w:rPr>
            </w:pPr>
            <w:r w:rsidRPr="00A66401">
              <w:rPr>
                <w:color w:val="221F1F"/>
                <w:spacing w:val="1"/>
                <w:sz w:val="20"/>
                <w:szCs w:val="20"/>
              </w:rPr>
              <w:t xml:space="preserve">Notas: </w:t>
            </w:r>
            <w:r w:rsidR="00173346" w:rsidRPr="00173346">
              <w:rPr>
                <w:color w:val="221F1F"/>
                <w:spacing w:val="1"/>
                <w:sz w:val="20"/>
                <w:szCs w:val="20"/>
              </w:rPr>
              <w:t>Datos mensuales; la observación más reciente de los precios</w:t>
            </w:r>
            <w:r w:rsidR="00173346">
              <w:rPr>
                <w:color w:val="221F1F"/>
                <w:spacing w:val="1"/>
                <w:sz w:val="20"/>
                <w:szCs w:val="20"/>
              </w:rPr>
              <w:t xml:space="preserve"> </w:t>
            </w:r>
            <w:r w:rsidR="00173346" w:rsidRPr="00173346">
              <w:rPr>
                <w:color w:val="221F1F"/>
                <w:spacing w:val="1"/>
                <w:sz w:val="20"/>
                <w:szCs w:val="20"/>
              </w:rPr>
              <w:t>reales corresponde a febrero de 2015.</w:t>
            </w:r>
          </w:p>
          <w:p w:rsidR="000B00C6" w:rsidRPr="00FE1D6E" w:rsidRDefault="000B00C6" w:rsidP="007D69FB">
            <w:pPr>
              <w:keepNext/>
              <w:ind w:left="2006" w:right="23" w:hanging="896"/>
              <w:jc w:val="both"/>
              <w:outlineLvl w:val="0"/>
              <w:rPr>
                <w:color w:val="221F1F"/>
                <w:spacing w:val="1"/>
                <w:sz w:val="20"/>
                <w:szCs w:val="20"/>
              </w:rPr>
            </w:pPr>
            <w:r w:rsidRPr="00FE1D6E">
              <w:rPr>
                <w:color w:val="221F1F"/>
                <w:spacing w:val="1"/>
                <w:sz w:val="20"/>
                <w:szCs w:val="20"/>
              </w:rPr>
              <w:t xml:space="preserve">FUENTE: </w:t>
            </w:r>
            <w:proofErr w:type="spellStart"/>
            <w:r w:rsidR="00173346" w:rsidRPr="00173346">
              <w:rPr>
                <w:color w:val="221F1F"/>
                <w:spacing w:val="1"/>
                <w:sz w:val="20"/>
                <w:szCs w:val="20"/>
              </w:rPr>
              <w:t>Bloomberg</w:t>
            </w:r>
            <w:proofErr w:type="spellEnd"/>
            <w:r w:rsidR="00173346" w:rsidRPr="00173346">
              <w:rPr>
                <w:color w:val="221F1F"/>
                <w:spacing w:val="1"/>
                <w:sz w:val="20"/>
                <w:szCs w:val="20"/>
              </w:rPr>
              <w:t xml:space="preserve"> y cálculos de los expertos del BCE.</w:t>
            </w:r>
          </w:p>
        </w:tc>
      </w:tr>
    </w:tbl>
    <w:p w:rsidR="0023171E" w:rsidRPr="0023171E" w:rsidRDefault="0023171E" w:rsidP="0023171E">
      <w:pPr>
        <w:spacing w:before="360" w:after="360" w:line="360" w:lineRule="auto"/>
        <w:jc w:val="both"/>
        <w:rPr>
          <w:sz w:val="26"/>
          <w:szCs w:val="26"/>
        </w:rPr>
      </w:pPr>
      <w:r w:rsidRPr="00BE5A0D">
        <w:rPr>
          <w:b/>
          <w:sz w:val="26"/>
          <w:szCs w:val="26"/>
        </w:rPr>
        <w:t>La inflación medida por el IAPC, excluidos la energía y los alimentos, ha continuado en una senda básicamente estable.</w:t>
      </w:r>
      <w:r w:rsidRPr="0023171E">
        <w:rPr>
          <w:sz w:val="26"/>
          <w:szCs w:val="26"/>
        </w:rPr>
        <w:t xml:space="preserve"> La reducida inflación subyacente puede atribuirse a una combinación de factores, entre los que se incluyen los efectos retardados de la fuerte apreciación del euro hasta mayo de 2014, el proceso de ajuste de los precios relativos en algunos países de la zona del euro y la persistente debilidad de la demanda de consumo y de la capacidad para fijar precios de las empresas. Además, la caída de los precios del petróleo y de otras materias primas también ha presionado a la baja la inflación medida por el IAPC, excluidos la energía y los alimentos, ya que el descenso de los </w:t>
      </w:r>
      <w:r w:rsidR="00601452">
        <w:rPr>
          <w:sz w:val="26"/>
          <w:szCs w:val="26"/>
        </w:rPr>
        <w:t>costo</w:t>
      </w:r>
      <w:r w:rsidRPr="0023171E">
        <w:rPr>
          <w:sz w:val="26"/>
          <w:szCs w:val="26"/>
        </w:rPr>
        <w:t>s de los bienes intermedios se ha transmitido a través de la cadena de precios</w:t>
      </w:r>
      <w:r w:rsidR="00173346">
        <w:rPr>
          <w:rStyle w:val="Refdenotaalpie"/>
          <w:sz w:val="26"/>
          <w:szCs w:val="26"/>
        </w:rPr>
        <w:footnoteReference w:id="6"/>
      </w:r>
      <w:r w:rsidR="00BE5A0D">
        <w:rPr>
          <w:sz w:val="26"/>
          <w:szCs w:val="26"/>
        </w:rPr>
        <w:t>.</w:t>
      </w:r>
    </w:p>
    <w:p w:rsidR="0023171E" w:rsidRDefault="0023171E" w:rsidP="0023171E">
      <w:pPr>
        <w:spacing w:before="360" w:after="360" w:line="360" w:lineRule="auto"/>
        <w:jc w:val="both"/>
        <w:rPr>
          <w:sz w:val="26"/>
          <w:szCs w:val="26"/>
        </w:rPr>
      </w:pPr>
      <w:r w:rsidRPr="00BE5A0D">
        <w:rPr>
          <w:b/>
          <w:sz w:val="26"/>
          <w:szCs w:val="26"/>
        </w:rPr>
        <w:lastRenderedPageBreak/>
        <w:t>Los efectos directos de la caída de los precios del petróleo han determinado la evolución reciente de la inflación</w:t>
      </w:r>
      <w:r w:rsidRPr="0023171E">
        <w:rPr>
          <w:sz w:val="26"/>
          <w:szCs w:val="26"/>
        </w:rPr>
        <w:t xml:space="preserve"> (</w:t>
      </w:r>
      <w:r w:rsidR="000B00C6">
        <w:rPr>
          <w:sz w:val="26"/>
          <w:szCs w:val="26"/>
        </w:rPr>
        <w:t>ver gráfica siguiente</w:t>
      </w:r>
      <w:r w:rsidRPr="0023171E">
        <w:rPr>
          <w:sz w:val="26"/>
          <w:szCs w:val="26"/>
        </w:rPr>
        <w:t>). Es probable que el reciente descenso de los precios del petróleo se haya transmitido en gran medida a los precios antes de impuestos de los combustibles líquidos. Otros efectos directos habituales, por ejemplo a través de los precios de la electricidad y el gas, también han contribuido a las tasas de inflación negativas observadas en los últimos meses.</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0B00C6" w:rsidRPr="00FE1D6E" w:rsidTr="007D69FB">
        <w:tc>
          <w:tcPr>
            <w:tcW w:w="8604" w:type="dxa"/>
          </w:tcPr>
          <w:p w:rsidR="000B00C6" w:rsidRDefault="000B00C6" w:rsidP="007D69FB">
            <w:pPr>
              <w:keepNext/>
              <w:ind w:right="23"/>
              <w:jc w:val="center"/>
              <w:outlineLvl w:val="0"/>
              <w:rPr>
                <w:b/>
                <w:color w:val="221F1F"/>
                <w:spacing w:val="1"/>
                <w:sz w:val="22"/>
                <w:szCs w:val="22"/>
              </w:rPr>
            </w:pPr>
            <w:r w:rsidRPr="0037453E">
              <w:rPr>
                <w:b/>
                <w:color w:val="221F1F"/>
                <w:spacing w:val="1"/>
                <w:sz w:val="22"/>
                <w:szCs w:val="22"/>
              </w:rPr>
              <w:t>EVOLUCIÓN DE LA IN</w:t>
            </w:r>
            <w:r>
              <w:rPr>
                <w:b/>
                <w:color w:val="221F1F"/>
                <w:spacing w:val="1"/>
                <w:sz w:val="22"/>
                <w:szCs w:val="22"/>
              </w:rPr>
              <w:t>FL</w:t>
            </w:r>
            <w:r w:rsidRPr="0037453E">
              <w:rPr>
                <w:b/>
                <w:color w:val="221F1F"/>
                <w:spacing w:val="1"/>
                <w:sz w:val="22"/>
                <w:szCs w:val="22"/>
              </w:rPr>
              <w:t>ACIÓN MEDIDA</w:t>
            </w:r>
            <w:r>
              <w:rPr>
                <w:b/>
                <w:color w:val="221F1F"/>
                <w:spacing w:val="1"/>
                <w:sz w:val="22"/>
                <w:szCs w:val="22"/>
              </w:rPr>
              <w:t xml:space="preserve"> </w:t>
            </w:r>
            <w:r w:rsidRPr="0037453E">
              <w:rPr>
                <w:b/>
                <w:color w:val="221F1F"/>
                <w:spacing w:val="1"/>
                <w:sz w:val="22"/>
                <w:szCs w:val="22"/>
              </w:rPr>
              <w:t xml:space="preserve">POR EL IAPC </w:t>
            </w:r>
          </w:p>
          <w:p w:rsidR="000B00C6" w:rsidRDefault="000B00C6" w:rsidP="007D69FB">
            <w:pPr>
              <w:keepNext/>
              <w:ind w:right="23"/>
              <w:jc w:val="center"/>
              <w:outlineLvl w:val="0"/>
              <w:rPr>
                <w:b/>
                <w:color w:val="221F1F"/>
                <w:spacing w:val="1"/>
                <w:sz w:val="22"/>
                <w:szCs w:val="22"/>
              </w:rPr>
            </w:pPr>
            <w:r w:rsidRPr="0037453E">
              <w:rPr>
                <w:b/>
                <w:color w:val="221F1F"/>
                <w:spacing w:val="1"/>
                <w:sz w:val="22"/>
                <w:szCs w:val="22"/>
              </w:rPr>
              <w:t>DESDE OCTUBRE DE 2011</w:t>
            </w:r>
          </w:p>
          <w:p w:rsidR="000B00C6" w:rsidRPr="00FE1D6E" w:rsidRDefault="000B00C6" w:rsidP="007D69FB">
            <w:pPr>
              <w:keepNext/>
              <w:ind w:right="23"/>
              <w:jc w:val="center"/>
              <w:outlineLvl w:val="0"/>
              <w:rPr>
                <w:color w:val="221F1F"/>
                <w:spacing w:val="1"/>
                <w:sz w:val="26"/>
                <w:szCs w:val="26"/>
              </w:rPr>
            </w:pPr>
            <w:r w:rsidRPr="00FE1D6E">
              <w:rPr>
                <w:color w:val="221F1F"/>
                <w:spacing w:val="1"/>
                <w:sz w:val="22"/>
                <w:szCs w:val="22"/>
              </w:rPr>
              <w:t>- Tasas de variación interanual</w:t>
            </w:r>
            <w:r>
              <w:rPr>
                <w:color w:val="221F1F"/>
                <w:spacing w:val="1"/>
                <w:sz w:val="22"/>
                <w:szCs w:val="22"/>
              </w:rPr>
              <w:t xml:space="preserve">; </w:t>
            </w:r>
            <w:r w:rsidRPr="0037453E">
              <w:rPr>
                <w:color w:val="221F1F"/>
                <w:spacing w:val="1"/>
                <w:sz w:val="22"/>
                <w:szCs w:val="22"/>
              </w:rPr>
              <w:t>contribuciones en puntos porcentuales</w:t>
            </w:r>
            <w:r w:rsidRPr="00FE1D6E">
              <w:rPr>
                <w:color w:val="221F1F"/>
                <w:spacing w:val="1"/>
                <w:sz w:val="22"/>
                <w:szCs w:val="22"/>
              </w:rPr>
              <w:t xml:space="preserve"> </w:t>
            </w:r>
            <w:r>
              <w:rPr>
                <w:color w:val="221F1F"/>
                <w:spacing w:val="1"/>
                <w:sz w:val="22"/>
                <w:szCs w:val="22"/>
              </w:rPr>
              <w:t>-</w:t>
            </w:r>
          </w:p>
        </w:tc>
      </w:tr>
      <w:tr w:rsidR="000B00C6" w:rsidRPr="00FE1D6E" w:rsidTr="007D69FB">
        <w:tc>
          <w:tcPr>
            <w:tcW w:w="8604" w:type="dxa"/>
          </w:tcPr>
          <w:p w:rsidR="000B00C6" w:rsidRPr="00FE1D6E" w:rsidRDefault="00BE5A0D" w:rsidP="007D69FB">
            <w:pPr>
              <w:keepNext/>
              <w:ind w:right="23"/>
              <w:jc w:val="center"/>
              <w:outlineLvl w:val="0"/>
              <w:rPr>
                <w:color w:val="221F1F"/>
                <w:spacing w:val="1"/>
                <w:sz w:val="26"/>
                <w:szCs w:val="26"/>
              </w:rPr>
            </w:pPr>
            <w:r w:rsidRPr="00FE1D6E">
              <w:rPr>
                <w:noProof/>
                <w:sz w:val="20"/>
                <w:szCs w:val="20"/>
                <w:lang w:val="es-MX" w:eastAsia="es-MX"/>
              </w:rPr>
              <mc:AlternateContent>
                <mc:Choice Requires="wps">
                  <w:drawing>
                    <wp:anchor distT="0" distB="0" distL="114300" distR="114300" simplePos="0" relativeHeight="251724800" behindDoc="0" locked="0" layoutInCell="1" allowOverlap="1" wp14:anchorId="5127AAEC" wp14:editId="79D4FB12">
                      <wp:simplePos x="0" y="0"/>
                      <wp:positionH relativeFrom="column">
                        <wp:posOffset>994410</wp:posOffset>
                      </wp:positionH>
                      <wp:positionV relativeFrom="paragraph">
                        <wp:posOffset>827405</wp:posOffset>
                      </wp:positionV>
                      <wp:extent cx="397510" cy="2562225"/>
                      <wp:effectExtent l="0" t="0" r="0" b="0"/>
                      <wp:wrapNone/>
                      <wp:docPr id="3183" name="Cuadro de texto 3183"/>
                      <wp:cNvGraphicFramePr/>
                      <a:graphic xmlns:a="http://schemas.openxmlformats.org/drawingml/2006/main">
                        <a:graphicData uri="http://schemas.microsoft.com/office/word/2010/wordprocessingShape">
                          <wps:wsp>
                            <wps:cNvSpPr txBox="1"/>
                            <wps:spPr>
                              <a:xfrm>
                                <a:off x="0" y="0"/>
                                <a:ext cx="397510" cy="2562225"/>
                              </a:xfrm>
                              <a:prstGeom prst="rect">
                                <a:avLst/>
                              </a:prstGeom>
                              <a:noFill/>
                              <a:ln w="6350">
                                <a:noFill/>
                              </a:ln>
                              <a:effectLst/>
                            </wps:spPr>
                            <wps:txbx>
                              <w:txbxContent>
                                <w:p w:rsidR="00A14B35" w:rsidRPr="0037453E" w:rsidRDefault="00A14B35" w:rsidP="00BE5A0D">
                                  <w:pPr>
                                    <w:shd w:val="clear" w:color="auto" w:fill="FFFFFF" w:themeFill="background1"/>
                                    <w:spacing w:line="480" w:lineRule="auto"/>
                                    <w:jc w:val="right"/>
                                    <w:rPr>
                                      <w:sz w:val="18"/>
                                    </w:rPr>
                                  </w:pPr>
                                  <w:r w:rsidRPr="0037453E">
                                    <w:rPr>
                                      <w:sz w:val="18"/>
                                    </w:rPr>
                                    <w:t>3.5</w:t>
                                  </w:r>
                                </w:p>
                                <w:p w:rsidR="00A14B35" w:rsidRPr="0037453E" w:rsidRDefault="00A14B35" w:rsidP="00BE5A0D">
                                  <w:pPr>
                                    <w:shd w:val="clear" w:color="auto" w:fill="FFFFFF" w:themeFill="background1"/>
                                    <w:spacing w:line="480" w:lineRule="auto"/>
                                    <w:jc w:val="right"/>
                                    <w:rPr>
                                      <w:sz w:val="18"/>
                                    </w:rPr>
                                  </w:pPr>
                                  <w:r w:rsidRPr="0037453E">
                                    <w:rPr>
                                      <w:sz w:val="18"/>
                                    </w:rPr>
                                    <w:t>3.0</w:t>
                                  </w:r>
                                </w:p>
                                <w:p w:rsidR="00A14B35" w:rsidRPr="0037453E" w:rsidRDefault="00A14B35" w:rsidP="00BE5A0D">
                                  <w:pPr>
                                    <w:shd w:val="clear" w:color="auto" w:fill="FFFFFF" w:themeFill="background1"/>
                                    <w:spacing w:line="480" w:lineRule="auto"/>
                                    <w:jc w:val="right"/>
                                    <w:rPr>
                                      <w:sz w:val="18"/>
                                    </w:rPr>
                                  </w:pPr>
                                  <w:r w:rsidRPr="0037453E">
                                    <w:rPr>
                                      <w:sz w:val="18"/>
                                    </w:rPr>
                                    <w:t>2.5</w:t>
                                  </w:r>
                                </w:p>
                                <w:p w:rsidR="00A14B35" w:rsidRPr="0037453E" w:rsidRDefault="00A14B35" w:rsidP="00BE5A0D">
                                  <w:pPr>
                                    <w:shd w:val="clear" w:color="auto" w:fill="FFFFFF" w:themeFill="background1"/>
                                    <w:spacing w:line="480" w:lineRule="auto"/>
                                    <w:jc w:val="right"/>
                                    <w:rPr>
                                      <w:sz w:val="18"/>
                                    </w:rPr>
                                  </w:pPr>
                                  <w:r w:rsidRPr="0037453E">
                                    <w:rPr>
                                      <w:sz w:val="18"/>
                                    </w:rPr>
                                    <w:t>2.0</w:t>
                                  </w:r>
                                </w:p>
                                <w:p w:rsidR="00A14B35" w:rsidRPr="0037453E" w:rsidRDefault="00A14B35" w:rsidP="00BE5A0D">
                                  <w:pPr>
                                    <w:shd w:val="clear" w:color="auto" w:fill="FFFFFF" w:themeFill="background1"/>
                                    <w:spacing w:line="480" w:lineRule="auto"/>
                                    <w:jc w:val="right"/>
                                    <w:rPr>
                                      <w:sz w:val="18"/>
                                    </w:rPr>
                                  </w:pPr>
                                  <w:r w:rsidRPr="0037453E">
                                    <w:rPr>
                                      <w:sz w:val="18"/>
                                    </w:rPr>
                                    <w:t>1.5</w:t>
                                  </w:r>
                                </w:p>
                                <w:p w:rsidR="00A14B35" w:rsidRPr="0037453E" w:rsidRDefault="00A14B35" w:rsidP="00BE5A0D">
                                  <w:pPr>
                                    <w:shd w:val="clear" w:color="auto" w:fill="FFFFFF" w:themeFill="background1"/>
                                    <w:spacing w:line="480" w:lineRule="auto"/>
                                    <w:jc w:val="right"/>
                                    <w:rPr>
                                      <w:sz w:val="18"/>
                                    </w:rPr>
                                  </w:pPr>
                                  <w:r w:rsidRPr="0037453E">
                                    <w:rPr>
                                      <w:sz w:val="18"/>
                                    </w:rPr>
                                    <w:t>1.0</w:t>
                                  </w:r>
                                </w:p>
                                <w:p w:rsidR="00A14B35" w:rsidRPr="0037453E" w:rsidRDefault="00A14B35" w:rsidP="00BE5A0D">
                                  <w:pPr>
                                    <w:shd w:val="clear" w:color="auto" w:fill="FFFFFF" w:themeFill="background1"/>
                                    <w:spacing w:line="480" w:lineRule="auto"/>
                                    <w:jc w:val="right"/>
                                    <w:rPr>
                                      <w:sz w:val="18"/>
                                    </w:rPr>
                                  </w:pPr>
                                  <w:r w:rsidRPr="0037453E">
                                    <w:rPr>
                                      <w:sz w:val="18"/>
                                    </w:rPr>
                                    <w:t>0.5</w:t>
                                  </w:r>
                                </w:p>
                                <w:p w:rsidR="00A14B35" w:rsidRPr="0037453E" w:rsidRDefault="00A14B35" w:rsidP="00BE5A0D">
                                  <w:pPr>
                                    <w:shd w:val="clear" w:color="auto" w:fill="FFFFFF" w:themeFill="background1"/>
                                    <w:spacing w:line="480" w:lineRule="auto"/>
                                    <w:jc w:val="right"/>
                                    <w:rPr>
                                      <w:sz w:val="18"/>
                                    </w:rPr>
                                  </w:pPr>
                                  <w:r w:rsidRPr="0037453E">
                                    <w:rPr>
                                      <w:sz w:val="18"/>
                                    </w:rPr>
                                    <w:t>0.0</w:t>
                                  </w:r>
                                </w:p>
                                <w:p w:rsidR="00A14B35" w:rsidRPr="0037453E" w:rsidRDefault="00A14B35" w:rsidP="00BE5A0D">
                                  <w:pPr>
                                    <w:shd w:val="clear" w:color="auto" w:fill="FFFFFF" w:themeFill="background1"/>
                                    <w:spacing w:line="480" w:lineRule="auto"/>
                                    <w:jc w:val="right"/>
                                    <w:rPr>
                                      <w:sz w:val="18"/>
                                    </w:rPr>
                                  </w:pPr>
                                  <w:r w:rsidRPr="0037453E">
                                    <w:rPr>
                                      <w:sz w:val="18"/>
                                    </w:rPr>
                                    <w:t>-0.5</w:t>
                                  </w:r>
                                </w:p>
                                <w:p w:rsidR="00A14B35" w:rsidRPr="0037453E" w:rsidRDefault="00A14B35" w:rsidP="00BE5A0D">
                                  <w:pPr>
                                    <w:shd w:val="clear" w:color="auto" w:fill="FFFFFF" w:themeFill="background1"/>
                                    <w:spacing w:line="480" w:lineRule="auto"/>
                                    <w:jc w:val="right"/>
                                    <w:rPr>
                                      <w:sz w:val="18"/>
                                    </w:rPr>
                                  </w:pPr>
                                  <w:r w:rsidRPr="0037453E">
                                    <w:rPr>
                                      <w:sz w:val="1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27AAEC" id="Cuadro de texto 3183" o:spid="_x0000_s1058" type="#_x0000_t202" style="position:absolute;left:0;text-align:left;margin-left:78.3pt;margin-top:65.15pt;width:31.3pt;height:20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" filled="f" stroked="f" strokeweight=".5pt">
                      <v:textbox>
                        <w:txbxContent>
                          <w:p w:rsidR="00A14B35" w:rsidRPr="0037453E" w:rsidRDefault="00A14B35" w:rsidP="00BE5A0D">
                            <w:pPr>
                              <w:shd w:val="clear" w:color="auto" w:fill="FFFFFF" w:themeFill="background1"/>
                              <w:spacing w:line="480" w:lineRule="auto"/>
                              <w:jc w:val="right"/>
                              <w:rPr>
                                <w:sz w:val="18"/>
                              </w:rPr>
                            </w:pPr>
                            <w:r w:rsidRPr="0037453E">
                              <w:rPr>
                                <w:sz w:val="18"/>
                              </w:rPr>
                              <w:t>3.5</w:t>
                            </w:r>
                          </w:p>
                          <w:p w:rsidR="00A14B35" w:rsidRPr="0037453E" w:rsidRDefault="00A14B35" w:rsidP="00BE5A0D">
                            <w:pPr>
                              <w:shd w:val="clear" w:color="auto" w:fill="FFFFFF" w:themeFill="background1"/>
                              <w:spacing w:line="480" w:lineRule="auto"/>
                              <w:jc w:val="right"/>
                              <w:rPr>
                                <w:sz w:val="18"/>
                              </w:rPr>
                            </w:pPr>
                            <w:r w:rsidRPr="0037453E">
                              <w:rPr>
                                <w:sz w:val="18"/>
                              </w:rPr>
                              <w:t>3.0</w:t>
                            </w:r>
                          </w:p>
                          <w:p w:rsidR="00A14B35" w:rsidRPr="0037453E" w:rsidRDefault="00A14B35" w:rsidP="00BE5A0D">
                            <w:pPr>
                              <w:shd w:val="clear" w:color="auto" w:fill="FFFFFF" w:themeFill="background1"/>
                              <w:spacing w:line="480" w:lineRule="auto"/>
                              <w:jc w:val="right"/>
                              <w:rPr>
                                <w:sz w:val="18"/>
                              </w:rPr>
                            </w:pPr>
                            <w:r w:rsidRPr="0037453E">
                              <w:rPr>
                                <w:sz w:val="18"/>
                              </w:rPr>
                              <w:t>2.5</w:t>
                            </w:r>
                          </w:p>
                          <w:p w:rsidR="00A14B35" w:rsidRPr="0037453E" w:rsidRDefault="00A14B35" w:rsidP="00BE5A0D">
                            <w:pPr>
                              <w:shd w:val="clear" w:color="auto" w:fill="FFFFFF" w:themeFill="background1"/>
                              <w:spacing w:line="480" w:lineRule="auto"/>
                              <w:jc w:val="right"/>
                              <w:rPr>
                                <w:sz w:val="18"/>
                              </w:rPr>
                            </w:pPr>
                            <w:r w:rsidRPr="0037453E">
                              <w:rPr>
                                <w:sz w:val="18"/>
                              </w:rPr>
                              <w:t>2.0</w:t>
                            </w:r>
                          </w:p>
                          <w:p w:rsidR="00A14B35" w:rsidRPr="0037453E" w:rsidRDefault="00A14B35" w:rsidP="00BE5A0D">
                            <w:pPr>
                              <w:shd w:val="clear" w:color="auto" w:fill="FFFFFF" w:themeFill="background1"/>
                              <w:spacing w:line="480" w:lineRule="auto"/>
                              <w:jc w:val="right"/>
                              <w:rPr>
                                <w:sz w:val="18"/>
                              </w:rPr>
                            </w:pPr>
                            <w:r w:rsidRPr="0037453E">
                              <w:rPr>
                                <w:sz w:val="18"/>
                              </w:rPr>
                              <w:t>1.5</w:t>
                            </w:r>
                          </w:p>
                          <w:p w:rsidR="00A14B35" w:rsidRPr="0037453E" w:rsidRDefault="00A14B35" w:rsidP="00BE5A0D">
                            <w:pPr>
                              <w:shd w:val="clear" w:color="auto" w:fill="FFFFFF" w:themeFill="background1"/>
                              <w:spacing w:line="480" w:lineRule="auto"/>
                              <w:jc w:val="right"/>
                              <w:rPr>
                                <w:sz w:val="18"/>
                              </w:rPr>
                            </w:pPr>
                            <w:r w:rsidRPr="0037453E">
                              <w:rPr>
                                <w:sz w:val="18"/>
                              </w:rPr>
                              <w:t>1.0</w:t>
                            </w:r>
                          </w:p>
                          <w:p w:rsidR="00A14B35" w:rsidRPr="0037453E" w:rsidRDefault="00A14B35" w:rsidP="00BE5A0D">
                            <w:pPr>
                              <w:shd w:val="clear" w:color="auto" w:fill="FFFFFF" w:themeFill="background1"/>
                              <w:spacing w:line="480" w:lineRule="auto"/>
                              <w:jc w:val="right"/>
                              <w:rPr>
                                <w:sz w:val="18"/>
                              </w:rPr>
                            </w:pPr>
                            <w:r w:rsidRPr="0037453E">
                              <w:rPr>
                                <w:sz w:val="18"/>
                              </w:rPr>
                              <w:t>0.5</w:t>
                            </w:r>
                          </w:p>
                          <w:p w:rsidR="00A14B35" w:rsidRPr="0037453E" w:rsidRDefault="00A14B35" w:rsidP="00BE5A0D">
                            <w:pPr>
                              <w:shd w:val="clear" w:color="auto" w:fill="FFFFFF" w:themeFill="background1"/>
                              <w:spacing w:line="480" w:lineRule="auto"/>
                              <w:jc w:val="right"/>
                              <w:rPr>
                                <w:sz w:val="18"/>
                              </w:rPr>
                            </w:pPr>
                            <w:r w:rsidRPr="0037453E">
                              <w:rPr>
                                <w:sz w:val="18"/>
                              </w:rPr>
                              <w:t>0.0</w:t>
                            </w:r>
                          </w:p>
                          <w:p w:rsidR="00A14B35" w:rsidRPr="0037453E" w:rsidRDefault="00A14B35" w:rsidP="00BE5A0D">
                            <w:pPr>
                              <w:shd w:val="clear" w:color="auto" w:fill="FFFFFF" w:themeFill="background1"/>
                              <w:spacing w:line="480" w:lineRule="auto"/>
                              <w:jc w:val="right"/>
                              <w:rPr>
                                <w:sz w:val="18"/>
                              </w:rPr>
                            </w:pPr>
                            <w:r w:rsidRPr="0037453E">
                              <w:rPr>
                                <w:sz w:val="18"/>
                              </w:rPr>
                              <w:t>-0.5</w:t>
                            </w:r>
                          </w:p>
                          <w:p w:rsidR="00A14B35" w:rsidRPr="0037453E" w:rsidRDefault="00A14B35" w:rsidP="00BE5A0D">
                            <w:pPr>
                              <w:shd w:val="clear" w:color="auto" w:fill="FFFFFF" w:themeFill="background1"/>
                              <w:spacing w:line="480" w:lineRule="auto"/>
                              <w:jc w:val="right"/>
                              <w:rPr>
                                <w:sz w:val="18"/>
                              </w:rPr>
                            </w:pPr>
                            <w:r w:rsidRPr="0037453E">
                              <w:rPr>
                                <w:sz w:val="18"/>
                              </w:rPr>
                              <w:t>-1.0</w:t>
                            </w:r>
                          </w:p>
                        </w:txbxContent>
                      </v:textbox>
                    </v:shape>
                  </w:pict>
                </mc:Fallback>
              </mc:AlternateContent>
            </w:r>
            <w:r w:rsidR="000B00C6" w:rsidRPr="00FE1D6E">
              <w:rPr>
                <w:noProof/>
                <w:sz w:val="20"/>
                <w:szCs w:val="20"/>
                <w:lang w:val="es-MX" w:eastAsia="es-MX"/>
              </w:rPr>
              <mc:AlternateContent>
                <mc:Choice Requires="wps">
                  <w:drawing>
                    <wp:anchor distT="0" distB="0" distL="114300" distR="114300" simplePos="0" relativeHeight="251725824" behindDoc="0" locked="0" layoutInCell="1" allowOverlap="1" wp14:anchorId="0FFDEF04" wp14:editId="1BC72F4B">
                      <wp:simplePos x="0" y="0"/>
                      <wp:positionH relativeFrom="column">
                        <wp:posOffset>3909222</wp:posOffset>
                      </wp:positionH>
                      <wp:positionV relativeFrom="paragraph">
                        <wp:posOffset>841375</wp:posOffset>
                      </wp:positionV>
                      <wp:extent cx="397576" cy="2636875"/>
                      <wp:effectExtent l="0" t="0" r="2540" b="0"/>
                      <wp:wrapNone/>
                      <wp:docPr id="9" name="Cuadro de texto 9"/>
                      <wp:cNvGraphicFramePr/>
                      <a:graphic xmlns:a="http://schemas.openxmlformats.org/drawingml/2006/main">
                        <a:graphicData uri="http://schemas.microsoft.com/office/word/2010/wordprocessingShape">
                          <wps:wsp>
                            <wps:cNvSpPr txBox="1"/>
                            <wps:spPr>
                              <a:xfrm>
                                <a:off x="0" y="0"/>
                                <a:ext cx="397576" cy="2636875"/>
                              </a:xfrm>
                              <a:prstGeom prst="rect">
                                <a:avLst/>
                              </a:prstGeom>
                              <a:solidFill>
                                <a:sysClr val="window" lastClr="FFFFFF"/>
                              </a:solidFill>
                              <a:ln w="6350">
                                <a:noFill/>
                              </a:ln>
                              <a:effectLst/>
                            </wps:spPr>
                            <wps:txbx>
                              <w:txbxContent>
                                <w:p w:rsidR="00A14B35" w:rsidRPr="0037453E" w:rsidRDefault="00A14B35" w:rsidP="000B00C6">
                                  <w:pPr>
                                    <w:spacing w:line="480" w:lineRule="auto"/>
                                    <w:jc w:val="right"/>
                                    <w:rPr>
                                      <w:sz w:val="18"/>
                                    </w:rPr>
                                  </w:pPr>
                                  <w:r w:rsidRPr="0037453E">
                                    <w:rPr>
                                      <w:sz w:val="18"/>
                                    </w:rPr>
                                    <w:t>3.5</w:t>
                                  </w:r>
                                </w:p>
                                <w:p w:rsidR="00A14B35" w:rsidRPr="0037453E" w:rsidRDefault="00A14B35" w:rsidP="000B00C6">
                                  <w:pPr>
                                    <w:spacing w:line="480" w:lineRule="auto"/>
                                    <w:jc w:val="right"/>
                                    <w:rPr>
                                      <w:sz w:val="18"/>
                                    </w:rPr>
                                  </w:pPr>
                                  <w:r w:rsidRPr="0037453E">
                                    <w:rPr>
                                      <w:sz w:val="18"/>
                                    </w:rPr>
                                    <w:t>3.0</w:t>
                                  </w:r>
                                </w:p>
                                <w:p w:rsidR="00A14B35" w:rsidRPr="0037453E" w:rsidRDefault="00A14B35" w:rsidP="000B00C6">
                                  <w:pPr>
                                    <w:spacing w:line="480" w:lineRule="auto"/>
                                    <w:jc w:val="right"/>
                                    <w:rPr>
                                      <w:sz w:val="18"/>
                                    </w:rPr>
                                  </w:pPr>
                                  <w:r w:rsidRPr="0037453E">
                                    <w:rPr>
                                      <w:sz w:val="18"/>
                                    </w:rPr>
                                    <w:t>2.5</w:t>
                                  </w:r>
                                </w:p>
                                <w:p w:rsidR="00A14B35" w:rsidRPr="0037453E" w:rsidRDefault="00A14B35" w:rsidP="000B00C6">
                                  <w:pPr>
                                    <w:spacing w:line="480" w:lineRule="auto"/>
                                    <w:jc w:val="right"/>
                                    <w:rPr>
                                      <w:sz w:val="18"/>
                                    </w:rPr>
                                  </w:pPr>
                                  <w:r w:rsidRPr="0037453E">
                                    <w:rPr>
                                      <w:sz w:val="18"/>
                                    </w:rPr>
                                    <w:t>2.0</w:t>
                                  </w:r>
                                </w:p>
                                <w:p w:rsidR="00A14B35" w:rsidRPr="0037453E" w:rsidRDefault="00A14B35" w:rsidP="000B00C6">
                                  <w:pPr>
                                    <w:spacing w:line="480" w:lineRule="auto"/>
                                    <w:jc w:val="right"/>
                                    <w:rPr>
                                      <w:sz w:val="18"/>
                                    </w:rPr>
                                  </w:pPr>
                                  <w:r w:rsidRPr="0037453E">
                                    <w:rPr>
                                      <w:sz w:val="18"/>
                                    </w:rPr>
                                    <w:t>1.5</w:t>
                                  </w:r>
                                </w:p>
                                <w:p w:rsidR="00A14B35" w:rsidRPr="0037453E" w:rsidRDefault="00A14B35" w:rsidP="000B00C6">
                                  <w:pPr>
                                    <w:spacing w:line="480" w:lineRule="auto"/>
                                    <w:jc w:val="right"/>
                                    <w:rPr>
                                      <w:sz w:val="18"/>
                                    </w:rPr>
                                  </w:pPr>
                                  <w:r w:rsidRPr="0037453E">
                                    <w:rPr>
                                      <w:sz w:val="18"/>
                                    </w:rPr>
                                    <w:t>1.0</w:t>
                                  </w:r>
                                </w:p>
                                <w:p w:rsidR="00A14B35" w:rsidRPr="0037453E" w:rsidRDefault="00A14B35" w:rsidP="000B00C6">
                                  <w:pPr>
                                    <w:spacing w:line="480" w:lineRule="auto"/>
                                    <w:jc w:val="right"/>
                                    <w:rPr>
                                      <w:sz w:val="18"/>
                                    </w:rPr>
                                  </w:pPr>
                                  <w:r w:rsidRPr="0037453E">
                                    <w:rPr>
                                      <w:sz w:val="18"/>
                                    </w:rPr>
                                    <w:t>0.5</w:t>
                                  </w:r>
                                </w:p>
                                <w:p w:rsidR="00A14B35" w:rsidRPr="0037453E" w:rsidRDefault="00A14B35" w:rsidP="000B00C6">
                                  <w:pPr>
                                    <w:spacing w:line="480" w:lineRule="auto"/>
                                    <w:jc w:val="right"/>
                                    <w:rPr>
                                      <w:sz w:val="18"/>
                                    </w:rPr>
                                  </w:pPr>
                                  <w:r w:rsidRPr="0037453E">
                                    <w:rPr>
                                      <w:sz w:val="18"/>
                                    </w:rPr>
                                    <w:t>0.0</w:t>
                                  </w:r>
                                </w:p>
                                <w:p w:rsidR="00A14B35" w:rsidRPr="0037453E" w:rsidRDefault="00A14B35" w:rsidP="000B00C6">
                                  <w:pPr>
                                    <w:spacing w:line="480" w:lineRule="auto"/>
                                    <w:jc w:val="right"/>
                                    <w:rPr>
                                      <w:sz w:val="18"/>
                                    </w:rPr>
                                  </w:pPr>
                                  <w:r w:rsidRPr="0037453E">
                                    <w:rPr>
                                      <w:sz w:val="18"/>
                                    </w:rPr>
                                    <w:t>-0.5</w:t>
                                  </w:r>
                                </w:p>
                                <w:p w:rsidR="00A14B35" w:rsidRPr="0037453E" w:rsidRDefault="00A14B35" w:rsidP="000B00C6">
                                  <w:pPr>
                                    <w:spacing w:line="480" w:lineRule="auto"/>
                                    <w:jc w:val="right"/>
                                    <w:rPr>
                                      <w:sz w:val="18"/>
                                    </w:rPr>
                                  </w:pPr>
                                  <w:r w:rsidRPr="0037453E">
                                    <w:rPr>
                                      <w:sz w:val="1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DEF04" id="Cuadro de texto 9" o:spid="_x0000_s1059" type="#_x0000_t202" style="position:absolute;left:0;text-align:left;margin-left:307.8pt;margin-top:66.25pt;width:31.3pt;height:207.6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" fillcolor="window" stroked="f" strokeweight=".5pt">
                      <v:textbox>
                        <w:txbxContent>
                          <w:p w:rsidR="00A14B35" w:rsidRPr="0037453E" w:rsidRDefault="00A14B35" w:rsidP="000B00C6">
                            <w:pPr>
                              <w:spacing w:line="480" w:lineRule="auto"/>
                              <w:jc w:val="right"/>
                              <w:rPr>
                                <w:sz w:val="18"/>
                              </w:rPr>
                            </w:pPr>
                            <w:r w:rsidRPr="0037453E">
                              <w:rPr>
                                <w:sz w:val="18"/>
                              </w:rPr>
                              <w:t>3.5</w:t>
                            </w:r>
                          </w:p>
                          <w:p w:rsidR="00A14B35" w:rsidRPr="0037453E" w:rsidRDefault="00A14B35" w:rsidP="000B00C6">
                            <w:pPr>
                              <w:spacing w:line="480" w:lineRule="auto"/>
                              <w:jc w:val="right"/>
                              <w:rPr>
                                <w:sz w:val="18"/>
                              </w:rPr>
                            </w:pPr>
                            <w:r w:rsidRPr="0037453E">
                              <w:rPr>
                                <w:sz w:val="18"/>
                              </w:rPr>
                              <w:t>3.0</w:t>
                            </w:r>
                          </w:p>
                          <w:p w:rsidR="00A14B35" w:rsidRPr="0037453E" w:rsidRDefault="00A14B35" w:rsidP="000B00C6">
                            <w:pPr>
                              <w:spacing w:line="480" w:lineRule="auto"/>
                              <w:jc w:val="right"/>
                              <w:rPr>
                                <w:sz w:val="18"/>
                              </w:rPr>
                            </w:pPr>
                            <w:r w:rsidRPr="0037453E">
                              <w:rPr>
                                <w:sz w:val="18"/>
                              </w:rPr>
                              <w:t>2.5</w:t>
                            </w:r>
                          </w:p>
                          <w:p w:rsidR="00A14B35" w:rsidRPr="0037453E" w:rsidRDefault="00A14B35" w:rsidP="000B00C6">
                            <w:pPr>
                              <w:spacing w:line="480" w:lineRule="auto"/>
                              <w:jc w:val="right"/>
                              <w:rPr>
                                <w:sz w:val="18"/>
                              </w:rPr>
                            </w:pPr>
                            <w:r w:rsidRPr="0037453E">
                              <w:rPr>
                                <w:sz w:val="18"/>
                              </w:rPr>
                              <w:t>2.0</w:t>
                            </w:r>
                          </w:p>
                          <w:p w:rsidR="00A14B35" w:rsidRPr="0037453E" w:rsidRDefault="00A14B35" w:rsidP="000B00C6">
                            <w:pPr>
                              <w:spacing w:line="480" w:lineRule="auto"/>
                              <w:jc w:val="right"/>
                              <w:rPr>
                                <w:sz w:val="18"/>
                              </w:rPr>
                            </w:pPr>
                            <w:r w:rsidRPr="0037453E">
                              <w:rPr>
                                <w:sz w:val="18"/>
                              </w:rPr>
                              <w:t>1.5</w:t>
                            </w:r>
                          </w:p>
                          <w:p w:rsidR="00A14B35" w:rsidRPr="0037453E" w:rsidRDefault="00A14B35" w:rsidP="000B00C6">
                            <w:pPr>
                              <w:spacing w:line="480" w:lineRule="auto"/>
                              <w:jc w:val="right"/>
                              <w:rPr>
                                <w:sz w:val="18"/>
                              </w:rPr>
                            </w:pPr>
                            <w:r w:rsidRPr="0037453E">
                              <w:rPr>
                                <w:sz w:val="18"/>
                              </w:rPr>
                              <w:t>1.0</w:t>
                            </w:r>
                          </w:p>
                          <w:p w:rsidR="00A14B35" w:rsidRPr="0037453E" w:rsidRDefault="00A14B35" w:rsidP="000B00C6">
                            <w:pPr>
                              <w:spacing w:line="480" w:lineRule="auto"/>
                              <w:jc w:val="right"/>
                              <w:rPr>
                                <w:sz w:val="18"/>
                              </w:rPr>
                            </w:pPr>
                            <w:r w:rsidRPr="0037453E">
                              <w:rPr>
                                <w:sz w:val="18"/>
                              </w:rPr>
                              <w:t>0.5</w:t>
                            </w:r>
                          </w:p>
                          <w:p w:rsidR="00A14B35" w:rsidRPr="0037453E" w:rsidRDefault="00A14B35" w:rsidP="000B00C6">
                            <w:pPr>
                              <w:spacing w:line="480" w:lineRule="auto"/>
                              <w:jc w:val="right"/>
                              <w:rPr>
                                <w:sz w:val="18"/>
                              </w:rPr>
                            </w:pPr>
                            <w:r w:rsidRPr="0037453E">
                              <w:rPr>
                                <w:sz w:val="18"/>
                              </w:rPr>
                              <w:t>0.0</w:t>
                            </w:r>
                          </w:p>
                          <w:p w:rsidR="00A14B35" w:rsidRPr="0037453E" w:rsidRDefault="00A14B35" w:rsidP="000B00C6">
                            <w:pPr>
                              <w:spacing w:line="480" w:lineRule="auto"/>
                              <w:jc w:val="right"/>
                              <w:rPr>
                                <w:sz w:val="18"/>
                              </w:rPr>
                            </w:pPr>
                            <w:r w:rsidRPr="0037453E">
                              <w:rPr>
                                <w:sz w:val="18"/>
                              </w:rPr>
                              <w:t>-0.5</w:t>
                            </w:r>
                          </w:p>
                          <w:p w:rsidR="00A14B35" w:rsidRPr="0037453E" w:rsidRDefault="00A14B35" w:rsidP="000B00C6">
                            <w:pPr>
                              <w:spacing w:line="480" w:lineRule="auto"/>
                              <w:jc w:val="right"/>
                              <w:rPr>
                                <w:sz w:val="18"/>
                              </w:rPr>
                            </w:pPr>
                            <w:r w:rsidRPr="0037453E">
                              <w:rPr>
                                <w:sz w:val="18"/>
                              </w:rPr>
                              <w:t>-1.0</w:t>
                            </w:r>
                          </w:p>
                        </w:txbxContent>
                      </v:textbox>
                    </v:shape>
                  </w:pict>
                </mc:Fallback>
              </mc:AlternateContent>
            </w:r>
            <w:r w:rsidR="000B00C6">
              <w:rPr>
                <w:noProof/>
                <w:lang w:val="es-MX" w:eastAsia="es-MX"/>
              </w:rPr>
              <w:drawing>
                <wp:inline distT="0" distB="0" distL="0" distR="0" wp14:anchorId="23116C5A" wp14:editId="6E768B90">
                  <wp:extent cx="3115339" cy="3589074"/>
                  <wp:effectExtent l="0" t="0" r="889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50573" t="12130" r="12106" b="11394"/>
                          <a:stretch/>
                        </pic:blipFill>
                        <pic:spPr bwMode="auto">
                          <a:xfrm>
                            <a:off x="0" y="0"/>
                            <a:ext cx="3127584" cy="3603181"/>
                          </a:xfrm>
                          <a:prstGeom prst="rect">
                            <a:avLst/>
                          </a:prstGeom>
                          <a:ln>
                            <a:noFill/>
                          </a:ln>
                          <a:extLst>
                            <a:ext uri="{53640926-AAD7-44D8-BBD7-CCE9431645EC}">
                              <a14:shadowObscured xmlns:a14="http://schemas.microsoft.com/office/drawing/2010/main"/>
                            </a:ext>
                          </a:extLst>
                        </pic:spPr>
                      </pic:pic>
                    </a:graphicData>
                  </a:graphic>
                </wp:inline>
              </w:drawing>
            </w:r>
          </w:p>
        </w:tc>
      </w:tr>
      <w:tr w:rsidR="000B00C6" w:rsidRPr="00FE1D6E" w:rsidTr="007D69FB">
        <w:tc>
          <w:tcPr>
            <w:tcW w:w="8604" w:type="dxa"/>
          </w:tcPr>
          <w:p w:rsidR="000B00C6" w:rsidRDefault="000B00C6" w:rsidP="007D69FB">
            <w:pPr>
              <w:keepNext/>
              <w:ind w:left="2006" w:right="23" w:hanging="608"/>
              <w:jc w:val="both"/>
              <w:outlineLvl w:val="0"/>
              <w:rPr>
                <w:color w:val="221F1F"/>
                <w:spacing w:val="1"/>
                <w:sz w:val="20"/>
                <w:szCs w:val="20"/>
              </w:rPr>
            </w:pPr>
            <w:r w:rsidRPr="00A66401">
              <w:rPr>
                <w:color w:val="221F1F"/>
                <w:spacing w:val="1"/>
                <w:sz w:val="20"/>
                <w:szCs w:val="20"/>
              </w:rPr>
              <w:t xml:space="preserve">Notas: </w:t>
            </w:r>
            <w:r w:rsidRPr="0037453E">
              <w:rPr>
                <w:color w:val="221F1F"/>
                <w:spacing w:val="1"/>
                <w:sz w:val="20"/>
                <w:szCs w:val="20"/>
              </w:rPr>
              <w:t>Las últimas observaciones corresponden a febrero de 2015</w:t>
            </w:r>
            <w:r>
              <w:rPr>
                <w:color w:val="221F1F"/>
                <w:spacing w:val="1"/>
                <w:sz w:val="20"/>
                <w:szCs w:val="20"/>
              </w:rPr>
              <w:t xml:space="preserve"> </w:t>
            </w:r>
            <w:r w:rsidRPr="0037453E">
              <w:rPr>
                <w:color w:val="221F1F"/>
                <w:spacing w:val="1"/>
                <w:sz w:val="20"/>
                <w:szCs w:val="20"/>
              </w:rPr>
              <w:t xml:space="preserve">(estimaciones preliminares). </w:t>
            </w:r>
            <w:r>
              <w:rPr>
                <w:color w:val="221F1F"/>
                <w:spacing w:val="1"/>
                <w:sz w:val="20"/>
                <w:szCs w:val="20"/>
              </w:rPr>
              <w:t>La</w:t>
            </w:r>
            <w:r w:rsidRPr="0037453E">
              <w:rPr>
                <w:color w:val="221F1F"/>
                <w:spacing w:val="1"/>
                <w:sz w:val="20"/>
                <w:szCs w:val="20"/>
              </w:rPr>
              <w:t xml:space="preserve"> grá</w:t>
            </w:r>
            <w:r>
              <w:rPr>
                <w:color w:val="221F1F"/>
                <w:spacing w:val="1"/>
                <w:sz w:val="20"/>
                <w:szCs w:val="20"/>
              </w:rPr>
              <w:t>fica</w:t>
            </w:r>
            <w:r w:rsidRPr="0037453E">
              <w:rPr>
                <w:color w:val="221F1F"/>
                <w:spacing w:val="1"/>
                <w:sz w:val="20"/>
                <w:szCs w:val="20"/>
              </w:rPr>
              <w:t xml:space="preserve"> muestra la contribución en</w:t>
            </w:r>
            <w:r>
              <w:rPr>
                <w:color w:val="221F1F"/>
                <w:spacing w:val="1"/>
                <w:sz w:val="20"/>
                <w:szCs w:val="20"/>
              </w:rPr>
              <w:t xml:space="preserve"> </w:t>
            </w:r>
            <w:r w:rsidRPr="0037453E">
              <w:rPr>
                <w:color w:val="221F1F"/>
                <w:spacing w:val="1"/>
                <w:sz w:val="20"/>
                <w:szCs w:val="20"/>
              </w:rPr>
              <w:t>puntos porcentuales de los componentes al descenso de la in</w:t>
            </w:r>
            <w:r>
              <w:rPr>
                <w:color w:val="221F1F"/>
                <w:spacing w:val="1"/>
                <w:sz w:val="20"/>
                <w:szCs w:val="20"/>
              </w:rPr>
              <w:t>fl</w:t>
            </w:r>
            <w:r w:rsidRPr="0037453E">
              <w:rPr>
                <w:color w:val="221F1F"/>
                <w:spacing w:val="1"/>
                <w:sz w:val="20"/>
                <w:szCs w:val="20"/>
              </w:rPr>
              <w:t>ación</w:t>
            </w:r>
            <w:r>
              <w:rPr>
                <w:color w:val="221F1F"/>
                <w:spacing w:val="1"/>
                <w:sz w:val="20"/>
                <w:szCs w:val="20"/>
              </w:rPr>
              <w:t xml:space="preserve"> </w:t>
            </w:r>
            <w:r w:rsidRPr="0037453E">
              <w:rPr>
                <w:color w:val="221F1F"/>
                <w:spacing w:val="1"/>
                <w:sz w:val="20"/>
                <w:szCs w:val="20"/>
              </w:rPr>
              <w:t>general desde el último máximo registrado por la in</w:t>
            </w:r>
            <w:r>
              <w:rPr>
                <w:color w:val="221F1F"/>
                <w:spacing w:val="1"/>
                <w:sz w:val="20"/>
                <w:szCs w:val="20"/>
              </w:rPr>
              <w:t>fl</w:t>
            </w:r>
            <w:r w:rsidRPr="0037453E">
              <w:rPr>
                <w:color w:val="221F1F"/>
                <w:spacing w:val="1"/>
                <w:sz w:val="20"/>
                <w:szCs w:val="20"/>
              </w:rPr>
              <w:t>ación medida</w:t>
            </w:r>
            <w:r>
              <w:rPr>
                <w:color w:val="221F1F"/>
                <w:spacing w:val="1"/>
                <w:sz w:val="20"/>
                <w:szCs w:val="20"/>
              </w:rPr>
              <w:t xml:space="preserve"> </w:t>
            </w:r>
            <w:r w:rsidRPr="0037453E">
              <w:rPr>
                <w:color w:val="221F1F"/>
                <w:spacing w:val="1"/>
                <w:sz w:val="20"/>
                <w:szCs w:val="20"/>
              </w:rPr>
              <w:t>por el IAPC en octubre de 2011.</w:t>
            </w:r>
          </w:p>
          <w:p w:rsidR="000B00C6" w:rsidRPr="00FE1D6E" w:rsidRDefault="000B00C6" w:rsidP="007D69FB">
            <w:pPr>
              <w:keepNext/>
              <w:ind w:left="2006" w:right="23" w:hanging="896"/>
              <w:jc w:val="both"/>
              <w:outlineLvl w:val="0"/>
              <w:rPr>
                <w:color w:val="221F1F"/>
                <w:spacing w:val="1"/>
                <w:sz w:val="20"/>
                <w:szCs w:val="20"/>
              </w:rPr>
            </w:pPr>
            <w:r w:rsidRPr="00FE1D6E">
              <w:rPr>
                <w:color w:val="221F1F"/>
                <w:spacing w:val="1"/>
                <w:sz w:val="20"/>
                <w:szCs w:val="20"/>
              </w:rPr>
              <w:t xml:space="preserve">FUENTE: </w:t>
            </w:r>
            <w:proofErr w:type="spellStart"/>
            <w:r w:rsidRPr="0037453E">
              <w:rPr>
                <w:color w:val="221F1F"/>
                <w:spacing w:val="1"/>
                <w:sz w:val="20"/>
                <w:szCs w:val="20"/>
              </w:rPr>
              <w:t>Eurostat</w:t>
            </w:r>
            <w:proofErr w:type="spellEnd"/>
            <w:r w:rsidRPr="0037453E">
              <w:rPr>
                <w:color w:val="221F1F"/>
                <w:spacing w:val="1"/>
                <w:sz w:val="20"/>
                <w:szCs w:val="20"/>
              </w:rPr>
              <w:t xml:space="preserve"> y cálculos del BCE.</w:t>
            </w:r>
          </w:p>
        </w:tc>
      </w:tr>
    </w:tbl>
    <w:p w:rsidR="0023171E" w:rsidRPr="0023171E" w:rsidRDefault="0023171E" w:rsidP="0023171E">
      <w:pPr>
        <w:spacing w:before="360" w:after="360" w:line="360" w:lineRule="auto"/>
        <w:jc w:val="both"/>
        <w:rPr>
          <w:sz w:val="26"/>
          <w:szCs w:val="26"/>
        </w:rPr>
      </w:pPr>
      <w:r w:rsidRPr="00BE5A0D">
        <w:rPr>
          <w:b/>
          <w:sz w:val="26"/>
          <w:szCs w:val="26"/>
        </w:rPr>
        <w:t>Los precios de los alimentos también han continuado sometidos a presiones a la baja.</w:t>
      </w:r>
      <w:r w:rsidRPr="0023171E">
        <w:rPr>
          <w:sz w:val="26"/>
          <w:szCs w:val="26"/>
        </w:rPr>
        <w:t xml:space="preserve"> En los últimos meses, la tasa de variación interanual de los precios de los alimentos no </w:t>
      </w:r>
      <w:r>
        <w:rPr>
          <w:sz w:val="26"/>
          <w:szCs w:val="26"/>
        </w:rPr>
        <w:t>elaborados ha seguido adentrán</w:t>
      </w:r>
      <w:r w:rsidRPr="0023171E">
        <w:rPr>
          <w:sz w:val="26"/>
          <w:szCs w:val="26"/>
        </w:rPr>
        <w:t xml:space="preserve">dose en territorio negativo, mientras que la de los precios de los alimentos elaborados ha continuado moderándose. Esta evolución refleja en cierta medida la transmisión de los efectos indirectos de la caída </w:t>
      </w:r>
      <w:r w:rsidRPr="0023171E">
        <w:rPr>
          <w:sz w:val="26"/>
          <w:szCs w:val="26"/>
        </w:rPr>
        <w:lastRenderedPageBreak/>
        <w:t>de los precios agrícolas y de otras materias primas a través de la cadena de producción y de precios.</w:t>
      </w:r>
    </w:p>
    <w:p w:rsidR="0023171E" w:rsidRPr="0023171E" w:rsidRDefault="0023171E" w:rsidP="0023171E">
      <w:pPr>
        <w:spacing w:before="360" w:after="360" w:line="360" w:lineRule="auto"/>
        <w:jc w:val="both"/>
        <w:rPr>
          <w:sz w:val="26"/>
          <w:szCs w:val="26"/>
        </w:rPr>
      </w:pPr>
      <w:r w:rsidRPr="00BE5A0D">
        <w:rPr>
          <w:b/>
          <w:sz w:val="26"/>
          <w:szCs w:val="26"/>
        </w:rPr>
        <w:t>El impacto retardado de la apreciación del euro hasta mayo de 2014 y el descenso de los precios internacionales de las materias primas sigue afectando a los precios de los bienes industriales no energéticos.</w:t>
      </w:r>
      <w:r w:rsidRPr="0023171E">
        <w:rPr>
          <w:sz w:val="26"/>
          <w:szCs w:val="26"/>
        </w:rPr>
        <w:t xml:space="preserve"> Se ha de observar que muchos de los componentes de estos bienes, como los ordenadores y los aparatos eléctricos, tienden a ser importados o a tener un contenido relativamente elevado de importaciones. Por otra parte, la disminución de los precios internacionales del petróleo puede estar presionando a la baja los precios de los bienes industriales no energéticos, ya que la energía es un importante factor de </w:t>
      </w:r>
      <w:r w:rsidR="00601452">
        <w:rPr>
          <w:sz w:val="26"/>
          <w:szCs w:val="26"/>
        </w:rPr>
        <w:t>costo</w:t>
      </w:r>
      <w:r w:rsidRPr="0023171E">
        <w:rPr>
          <w:sz w:val="26"/>
          <w:szCs w:val="26"/>
        </w:rPr>
        <w:t>s en la producción de estos bienes. Aparte de factores de naturaleza más cíclica, es posible que factores de carácter más estructural estén influyendo en l</w:t>
      </w:r>
      <w:r>
        <w:rPr>
          <w:sz w:val="26"/>
          <w:szCs w:val="26"/>
        </w:rPr>
        <w:t>a evolución de la tasa de varia</w:t>
      </w:r>
      <w:r w:rsidRPr="0023171E">
        <w:rPr>
          <w:sz w:val="26"/>
          <w:szCs w:val="26"/>
        </w:rPr>
        <w:t xml:space="preserve">ción de los precios de estos bienes. En el recuadro </w:t>
      </w:r>
      <w:r w:rsidR="00295EF5" w:rsidRPr="00295EF5">
        <w:rPr>
          <w:i/>
          <w:sz w:val="26"/>
          <w:szCs w:val="26"/>
        </w:rPr>
        <w:t>Efectos del Comercio Electrónico en la Inflación</w:t>
      </w:r>
      <w:r w:rsidRPr="0023171E">
        <w:rPr>
          <w:sz w:val="26"/>
          <w:szCs w:val="26"/>
        </w:rPr>
        <w:t xml:space="preserve"> se analizan los efectos potenciales del comercio electrónico en la moderación de la inflación.</w:t>
      </w:r>
    </w:p>
    <w:p w:rsidR="00295EF5" w:rsidRDefault="0023171E" w:rsidP="0023171E">
      <w:pPr>
        <w:spacing w:before="360" w:after="360" w:line="360" w:lineRule="auto"/>
        <w:jc w:val="both"/>
        <w:rPr>
          <w:sz w:val="26"/>
          <w:szCs w:val="26"/>
        </w:rPr>
      </w:pPr>
      <w:r w:rsidRPr="00BE5A0D">
        <w:rPr>
          <w:b/>
          <w:sz w:val="26"/>
          <w:szCs w:val="26"/>
        </w:rPr>
        <w:t>Las presiones latentes sobre los precios de los bienes industriales no energéticos siguen siendo moderadas.</w:t>
      </w:r>
      <w:r w:rsidRPr="0023171E">
        <w:rPr>
          <w:sz w:val="26"/>
          <w:szCs w:val="26"/>
        </w:rPr>
        <w:t xml:space="preserve"> La tasa de variación interanual de los precios industriales de los bienes de consumo, que tiende a adelantarse a la de los precios de los bienes industriales no energéticos entre seis y doce meses, aproximadamente, se mantuvo en un nivel reducido en enero de 2015. Además, los datos de las encuestas sobre los precios de los bienes intermedios en el sector no alimentario minorista continuaron retrocediendo en enero de 2015 (</w:t>
      </w:r>
      <w:r w:rsidR="00295EF5">
        <w:rPr>
          <w:sz w:val="26"/>
          <w:szCs w:val="26"/>
        </w:rPr>
        <w:t>ver gráfica siguiente</w:t>
      </w:r>
      <w:r w:rsidRPr="0023171E">
        <w:rPr>
          <w:sz w:val="26"/>
          <w:szCs w:val="26"/>
        </w:rPr>
        <w:t>). Por un lado, en las prim</w:t>
      </w:r>
      <w:r>
        <w:rPr>
          <w:sz w:val="26"/>
          <w:szCs w:val="26"/>
        </w:rPr>
        <w:t>eras fases de la cadena de pre</w:t>
      </w:r>
      <w:r w:rsidRPr="0023171E">
        <w:rPr>
          <w:sz w:val="26"/>
          <w:szCs w:val="26"/>
        </w:rPr>
        <w:t>cios, la tasa de variación interanual de los precios de importación de los bienes intermedios ha sido positiva por segundo mes consecutivo como consecuencia de la depreciación del euro. Por otro, los precios industriales de estos bienes, así como los precios en euros del petróleo y de otras materias primas, permanecen en niveles moderados.</w:t>
      </w:r>
    </w:p>
    <w:p w:rsidR="0023171E" w:rsidRPr="00295EF5" w:rsidRDefault="00295EF5" w:rsidP="0023171E">
      <w:pPr>
        <w:spacing w:before="360" w:after="360" w:line="360" w:lineRule="auto"/>
        <w:jc w:val="both"/>
        <w:rPr>
          <w:sz w:val="2"/>
          <w:szCs w:val="26"/>
        </w:rPr>
      </w:pPr>
      <w:r>
        <w:rPr>
          <w:sz w:val="26"/>
          <w:szCs w:val="26"/>
        </w:rPr>
        <w:br w:type="column"/>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295EF5" w:rsidRPr="00FE1D6E" w:rsidTr="007D69FB">
        <w:tc>
          <w:tcPr>
            <w:tcW w:w="8604" w:type="dxa"/>
          </w:tcPr>
          <w:p w:rsidR="00295EF5" w:rsidRPr="00295EF5" w:rsidRDefault="00295EF5" w:rsidP="00295EF5">
            <w:pPr>
              <w:jc w:val="center"/>
              <w:rPr>
                <w:b/>
                <w:sz w:val="22"/>
                <w:szCs w:val="22"/>
              </w:rPr>
            </w:pPr>
            <w:r w:rsidRPr="00295EF5">
              <w:rPr>
                <w:b/>
                <w:sz w:val="22"/>
                <w:szCs w:val="22"/>
              </w:rPr>
              <w:t>PRESIONES LATENTES EN LAS ÚLTIMAS FASES DE LA CADENA DE PRECIOS DE LOS BIENES INDUSTRIALES NO ENERGÉTICOS</w:t>
            </w:r>
          </w:p>
          <w:p w:rsidR="00295EF5" w:rsidRPr="00FE1D6E" w:rsidRDefault="00295EF5" w:rsidP="00295EF5">
            <w:pPr>
              <w:keepNext/>
              <w:ind w:right="23"/>
              <w:jc w:val="center"/>
              <w:outlineLvl w:val="0"/>
              <w:rPr>
                <w:color w:val="221F1F"/>
                <w:spacing w:val="1"/>
                <w:sz w:val="26"/>
                <w:szCs w:val="26"/>
              </w:rPr>
            </w:pPr>
            <w:r w:rsidRPr="00FE1D6E">
              <w:rPr>
                <w:color w:val="221F1F"/>
                <w:spacing w:val="1"/>
                <w:sz w:val="22"/>
                <w:szCs w:val="22"/>
              </w:rPr>
              <w:t>- Tasas de variación interanual</w:t>
            </w:r>
            <w:r>
              <w:rPr>
                <w:color w:val="221F1F"/>
                <w:spacing w:val="1"/>
                <w:sz w:val="22"/>
                <w:szCs w:val="22"/>
              </w:rPr>
              <w:t xml:space="preserve"> -</w:t>
            </w:r>
          </w:p>
        </w:tc>
      </w:tr>
      <w:tr w:rsidR="00295EF5" w:rsidRPr="00FE1D6E" w:rsidTr="007D69FB">
        <w:tc>
          <w:tcPr>
            <w:tcW w:w="8604" w:type="dxa"/>
          </w:tcPr>
          <w:p w:rsidR="00295EF5" w:rsidRPr="00FE1D6E" w:rsidRDefault="00597D91" w:rsidP="0091140E">
            <w:pPr>
              <w:jc w:val="center"/>
              <w:rPr>
                <w:color w:val="221F1F"/>
                <w:spacing w:val="1"/>
                <w:sz w:val="26"/>
                <w:szCs w:val="26"/>
              </w:rPr>
            </w:pPr>
            <w:r>
              <w:rPr>
                <w:noProof/>
                <w:lang w:val="es-MX" w:eastAsia="es-MX"/>
              </w:rPr>
              <mc:AlternateContent>
                <mc:Choice Requires="wps">
                  <w:drawing>
                    <wp:anchor distT="0" distB="0" distL="114300" distR="114300" simplePos="0" relativeHeight="251749376" behindDoc="0" locked="0" layoutInCell="1" allowOverlap="1">
                      <wp:simplePos x="0" y="0"/>
                      <wp:positionH relativeFrom="column">
                        <wp:posOffset>1556591</wp:posOffset>
                      </wp:positionH>
                      <wp:positionV relativeFrom="paragraph">
                        <wp:posOffset>283210</wp:posOffset>
                      </wp:positionV>
                      <wp:extent cx="2802435" cy="385845"/>
                      <wp:effectExtent l="0" t="0" r="0" b="0"/>
                      <wp:wrapNone/>
                      <wp:docPr id="3161" name="Cuadro de texto 3161"/>
                      <wp:cNvGraphicFramePr/>
                      <a:graphic xmlns:a="http://schemas.openxmlformats.org/drawingml/2006/main">
                        <a:graphicData uri="http://schemas.microsoft.com/office/word/2010/wordprocessingShape">
                          <wps:wsp>
                            <wps:cNvSpPr txBox="1"/>
                            <wps:spPr>
                              <a:xfrm>
                                <a:off x="0" y="0"/>
                                <a:ext cx="2802435" cy="3858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14B35" w:rsidRPr="00597D91" w:rsidRDefault="00A14B35" w:rsidP="00597D91">
                                  <w:pPr>
                                    <w:shd w:val="clear" w:color="auto" w:fill="FFFFFF" w:themeFill="background1"/>
                                    <w:rPr>
                                      <w:sz w:val="18"/>
                                      <w:szCs w:val="18"/>
                                    </w:rPr>
                                  </w:pPr>
                                  <w:r w:rsidRPr="00597D91">
                                    <w:rPr>
                                      <w:sz w:val="18"/>
                                      <w:szCs w:val="18"/>
                                    </w:rPr>
                                    <w:t>Índice de directores de compras – costos de los bienes intermedios del sector minorista no alimentario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3161" o:spid="_x0000_s1060" type="#_x0000_t202" style="position:absolute;left:0;text-align:left;margin-left:122.55pt;margin-top:22.3pt;width:220.65pt;height:30.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" filled="f" stroked="f" strokeweight=".5pt">
                      <v:textbox>
                        <w:txbxContent>
                          <w:p w:rsidR="00A14B35" w:rsidRPr="00597D91" w:rsidRDefault="00A14B35" w:rsidP="00597D91">
                            <w:pPr>
                              <w:shd w:val="clear" w:color="auto" w:fill="FFFFFF" w:themeFill="background1"/>
                              <w:rPr>
                                <w:sz w:val="18"/>
                                <w:szCs w:val="18"/>
                              </w:rPr>
                            </w:pPr>
                            <w:r w:rsidRPr="00597D91">
                              <w:rPr>
                                <w:sz w:val="18"/>
                                <w:szCs w:val="18"/>
                              </w:rPr>
                              <w:t>Índice de directores de compras – costos de los bienes intermedios del sector minorista no alimentario</w:t>
                            </w:r>
                          </w:p>
                        </w:txbxContent>
                      </v:textbox>
                    </v:shape>
                  </w:pict>
                </mc:Fallback>
              </mc:AlternateContent>
            </w:r>
            <w:r w:rsidR="00295EF5" w:rsidRPr="00FE1D6E">
              <w:rPr>
                <w:noProof/>
                <w:lang w:val="es-MX" w:eastAsia="es-MX"/>
              </w:rPr>
              <mc:AlternateContent>
                <mc:Choice Requires="wps">
                  <w:drawing>
                    <wp:anchor distT="0" distB="0" distL="114300" distR="114300" simplePos="0" relativeHeight="251728896" behindDoc="0" locked="0" layoutInCell="1" allowOverlap="1" wp14:anchorId="5DE5E2D0" wp14:editId="573B2EB0">
                      <wp:simplePos x="0" y="0"/>
                      <wp:positionH relativeFrom="column">
                        <wp:posOffset>3986781</wp:posOffset>
                      </wp:positionH>
                      <wp:positionV relativeFrom="paragraph">
                        <wp:posOffset>1059342</wp:posOffset>
                      </wp:positionV>
                      <wp:extent cx="397576" cy="2328530"/>
                      <wp:effectExtent l="0" t="0" r="2540" b="0"/>
                      <wp:wrapNone/>
                      <wp:docPr id="3144" name="Cuadro de texto 3144"/>
                      <wp:cNvGraphicFramePr/>
                      <a:graphic xmlns:a="http://schemas.openxmlformats.org/drawingml/2006/main">
                        <a:graphicData uri="http://schemas.microsoft.com/office/word/2010/wordprocessingShape">
                          <wps:wsp>
                            <wps:cNvSpPr txBox="1"/>
                            <wps:spPr>
                              <a:xfrm>
                                <a:off x="0" y="0"/>
                                <a:ext cx="397576" cy="2328530"/>
                              </a:xfrm>
                              <a:prstGeom prst="rect">
                                <a:avLst/>
                              </a:prstGeom>
                              <a:solidFill>
                                <a:sysClr val="window" lastClr="FFFFFF"/>
                              </a:solidFill>
                              <a:ln w="6350">
                                <a:noFill/>
                              </a:ln>
                              <a:effectLst/>
                            </wps:spPr>
                            <wps:txbx>
                              <w:txbxContent>
                                <w:p w:rsidR="00A14B35" w:rsidRDefault="00A14B35" w:rsidP="00295EF5">
                                  <w:pPr>
                                    <w:spacing w:after="20" w:line="600" w:lineRule="auto"/>
                                    <w:jc w:val="right"/>
                                    <w:rPr>
                                      <w:sz w:val="18"/>
                                    </w:rPr>
                                  </w:pPr>
                                  <w:r>
                                    <w:rPr>
                                      <w:sz w:val="18"/>
                                    </w:rPr>
                                    <w:t>2.0</w:t>
                                  </w:r>
                                </w:p>
                                <w:p w:rsidR="00A14B35" w:rsidRDefault="00A14B35" w:rsidP="00295EF5">
                                  <w:pPr>
                                    <w:spacing w:after="20" w:line="600" w:lineRule="auto"/>
                                    <w:jc w:val="right"/>
                                    <w:rPr>
                                      <w:sz w:val="18"/>
                                    </w:rPr>
                                  </w:pPr>
                                  <w:r>
                                    <w:rPr>
                                      <w:sz w:val="18"/>
                                    </w:rPr>
                                    <w:t>1.5</w:t>
                                  </w:r>
                                </w:p>
                                <w:p w:rsidR="00A14B35" w:rsidRDefault="00A14B35" w:rsidP="00295EF5">
                                  <w:pPr>
                                    <w:spacing w:after="20" w:line="600" w:lineRule="auto"/>
                                    <w:jc w:val="right"/>
                                    <w:rPr>
                                      <w:sz w:val="18"/>
                                    </w:rPr>
                                  </w:pPr>
                                  <w:r>
                                    <w:rPr>
                                      <w:sz w:val="18"/>
                                    </w:rPr>
                                    <w:t>1.0</w:t>
                                  </w:r>
                                </w:p>
                                <w:p w:rsidR="00A14B35" w:rsidRDefault="00A14B35" w:rsidP="00295EF5">
                                  <w:pPr>
                                    <w:spacing w:after="20" w:line="600" w:lineRule="auto"/>
                                    <w:jc w:val="right"/>
                                    <w:rPr>
                                      <w:sz w:val="18"/>
                                    </w:rPr>
                                  </w:pPr>
                                  <w:r>
                                    <w:rPr>
                                      <w:sz w:val="18"/>
                                    </w:rPr>
                                    <w:t>0.5</w:t>
                                  </w:r>
                                </w:p>
                                <w:p w:rsidR="00A14B35" w:rsidRDefault="00A14B35" w:rsidP="00295EF5">
                                  <w:pPr>
                                    <w:spacing w:after="20" w:line="600" w:lineRule="auto"/>
                                    <w:jc w:val="right"/>
                                    <w:rPr>
                                      <w:sz w:val="18"/>
                                    </w:rPr>
                                  </w:pPr>
                                  <w:r>
                                    <w:rPr>
                                      <w:sz w:val="18"/>
                                    </w:rPr>
                                    <w:t>0.0</w:t>
                                  </w:r>
                                </w:p>
                                <w:p w:rsidR="00A14B35" w:rsidRDefault="00A14B35" w:rsidP="00295EF5">
                                  <w:pPr>
                                    <w:spacing w:after="20" w:line="600" w:lineRule="auto"/>
                                    <w:jc w:val="right"/>
                                    <w:rPr>
                                      <w:sz w:val="18"/>
                                    </w:rPr>
                                  </w:pPr>
                                  <w:r>
                                    <w:rPr>
                                      <w:sz w:val="18"/>
                                    </w:rPr>
                                    <w:t>-0.5</w:t>
                                  </w:r>
                                </w:p>
                                <w:p w:rsidR="00A14B35" w:rsidRPr="0037453E" w:rsidRDefault="00A14B35" w:rsidP="00295EF5">
                                  <w:pPr>
                                    <w:spacing w:after="20" w:line="600" w:lineRule="auto"/>
                                    <w:jc w:val="right"/>
                                    <w:rPr>
                                      <w:sz w:val="18"/>
                                    </w:rPr>
                                  </w:pPr>
                                  <w:r>
                                    <w:rPr>
                                      <w:sz w:val="1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E5E2D0" id="Cuadro de texto 3144" o:spid="_x0000_s1061" type="#_x0000_t202" style="position:absolute;left:0;text-align:left;margin-left:313.9pt;margin-top:83.4pt;width:31.3pt;height:183.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" fillcolor="window" stroked="f" strokeweight=".5pt">
                      <v:textbox>
                        <w:txbxContent>
                          <w:p w:rsidR="00A14B35" w:rsidRDefault="00A14B35" w:rsidP="00295EF5">
                            <w:pPr>
                              <w:spacing w:after="20" w:line="600" w:lineRule="auto"/>
                              <w:jc w:val="right"/>
                              <w:rPr>
                                <w:sz w:val="18"/>
                              </w:rPr>
                            </w:pPr>
                            <w:r>
                              <w:rPr>
                                <w:sz w:val="18"/>
                              </w:rPr>
                              <w:t>2.0</w:t>
                            </w:r>
                          </w:p>
                          <w:p w:rsidR="00A14B35" w:rsidRDefault="00A14B35" w:rsidP="00295EF5">
                            <w:pPr>
                              <w:spacing w:after="20" w:line="600" w:lineRule="auto"/>
                              <w:jc w:val="right"/>
                              <w:rPr>
                                <w:sz w:val="18"/>
                              </w:rPr>
                            </w:pPr>
                            <w:r>
                              <w:rPr>
                                <w:sz w:val="18"/>
                              </w:rPr>
                              <w:t>1.5</w:t>
                            </w:r>
                          </w:p>
                          <w:p w:rsidR="00A14B35" w:rsidRDefault="00A14B35" w:rsidP="00295EF5">
                            <w:pPr>
                              <w:spacing w:after="20" w:line="600" w:lineRule="auto"/>
                              <w:jc w:val="right"/>
                              <w:rPr>
                                <w:sz w:val="18"/>
                              </w:rPr>
                            </w:pPr>
                            <w:r>
                              <w:rPr>
                                <w:sz w:val="18"/>
                              </w:rPr>
                              <w:t>1.0</w:t>
                            </w:r>
                          </w:p>
                          <w:p w:rsidR="00A14B35" w:rsidRDefault="00A14B35" w:rsidP="00295EF5">
                            <w:pPr>
                              <w:spacing w:after="20" w:line="600" w:lineRule="auto"/>
                              <w:jc w:val="right"/>
                              <w:rPr>
                                <w:sz w:val="18"/>
                              </w:rPr>
                            </w:pPr>
                            <w:r>
                              <w:rPr>
                                <w:sz w:val="18"/>
                              </w:rPr>
                              <w:t>0.5</w:t>
                            </w:r>
                          </w:p>
                          <w:p w:rsidR="00A14B35" w:rsidRDefault="00A14B35" w:rsidP="00295EF5">
                            <w:pPr>
                              <w:spacing w:after="20" w:line="600" w:lineRule="auto"/>
                              <w:jc w:val="right"/>
                              <w:rPr>
                                <w:sz w:val="18"/>
                              </w:rPr>
                            </w:pPr>
                            <w:r>
                              <w:rPr>
                                <w:sz w:val="18"/>
                              </w:rPr>
                              <w:t>0.0</w:t>
                            </w:r>
                          </w:p>
                          <w:p w:rsidR="00A14B35" w:rsidRDefault="00A14B35" w:rsidP="00295EF5">
                            <w:pPr>
                              <w:spacing w:after="20" w:line="600" w:lineRule="auto"/>
                              <w:jc w:val="right"/>
                              <w:rPr>
                                <w:sz w:val="18"/>
                              </w:rPr>
                            </w:pPr>
                            <w:r>
                              <w:rPr>
                                <w:sz w:val="18"/>
                              </w:rPr>
                              <w:t>-0.5</w:t>
                            </w:r>
                          </w:p>
                          <w:p w:rsidR="00A14B35" w:rsidRPr="0037453E" w:rsidRDefault="00A14B35" w:rsidP="00295EF5">
                            <w:pPr>
                              <w:spacing w:after="20" w:line="600" w:lineRule="auto"/>
                              <w:jc w:val="right"/>
                              <w:rPr>
                                <w:sz w:val="18"/>
                              </w:rPr>
                            </w:pPr>
                            <w:r>
                              <w:rPr>
                                <w:sz w:val="18"/>
                              </w:rPr>
                              <w:t>-1.0</w:t>
                            </w:r>
                          </w:p>
                        </w:txbxContent>
                      </v:textbox>
                    </v:shape>
                  </w:pict>
                </mc:Fallback>
              </mc:AlternateContent>
            </w:r>
            <w:r w:rsidR="00295EF5">
              <w:rPr>
                <w:noProof/>
                <w:lang w:val="es-MX" w:eastAsia="es-MX"/>
              </w:rPr>
              <w:drawing>
                <wp:inline distT="0" distB="0" distL="0" distR="0" wp14:anchorId="03D0A2CB" wp14:editId="76020056">
                  <wp:extent cx="3197969" cy="3476492"/>
                  <wp:effectExtent l="0" t="0" r="2540" b="0"/>
                  <wp:docPr id="3147" name="Imagen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0078" t="13815" r="42984" b="14762"/>
                          <a:stretch/>
                        </pic:blipFill>
                        <pic:spPr bwMode="auto">
                          <a:xfrm>
                            <a:off x="0" y="0"/>
                            <a:ext cx="3213110" cy="3492951"/>
                          </a:xfrm>
                          <a:prstGeom prst="rect">
                            <a:avLst/>
                          </a:prstGeom>
                          <a:ln>
                            <a:noFill/>
                          </a:ln>
                          <a:extLst>
                            <a:ext uri="{53640926-AAD7-44D8-BBD7-CCE9431645EC}">
                              <a14:shadowObscured xmlns:a14="http://schemas.microsoft.com/office/drawing/2010/main"/>
                            </a:ext>
                          </a:extLst>
                        </pic:spPr>
                      </pic:pic>
                    </a:graphicData>
                  </a:graphic>
                </wp:inline>
              </w:drawing>
            </w:r>
          </w:p>
        </w:tc>
      </w:tr>
      <w:tr w:rsidR="00295EF5" w:rsidRPr="00FE1D6E" w:rsidTr="007D69FB">
        <w:tc>
          <w:tcPr>
            <w:tcW w:w="8604" w:type="dxa"/>
          </w:tcPr>
          <w:p w:rsidR="0091140E" w:rsidRPr="0091140E" w:rsidRDefault="00295EF5" w:rsidP="0091140E">
            <w:pPr>
              <w:ind w:left="1418"/>
              <w:rPr>
                <w:sz w:val="20"/>
                <w:szCs w:val="20"/>
              </w:rPr>
            </w:pPr>
            <w:r w:rsidRPr="0091140E">
              <w:rPr>
                <w:sz w:val="20"/>
                <w:szCs w:val="20"/>
              </w:rPr>
              <w:t xml:space="preserve">Notas: </w:t>
            </w:r>
            <w:r w:rsidR="0091140E" w:rsidRPr="0091140E">
              <w:rPr>
                <w:sz w:val="20"/>
                <w:szCs w:val="20"/>
              </w:rPr>
              <w:t>Las últimas observaciones corresponden a enero de 2015.</w:t>
            </w:r>
          </w:p>
          <w:p w:rsidR="00295EF5" w:rsidRPr="00FE1D6E" w:rsidRDefault="00295EF5" w:rsidP="007D69FB">
            <w:pPr>
              <w:keepNext/>
              <w:ind w:left="2006" w:right="23" w:hanging="896"/>
              <w:jc w:val="both"/>
              <w:outlineLvl w:val="0"/>
              <w:rPr>
                <w:color w:val="221F1F"/>
                <w:spacing w:val="1"/>
                <w:sz w:val="20"/>
                <w:szCs w:val="20"/>
              </w:rPr>
            </w:pPr>
            <w:r w:rsidRPr="00FE1D6E">
              <w:rPr>
                <w:color w:val="221F1F"/>
                <w:spacing w:val="1"/>
                <w:sz w:val="20"/>
                <w:szCs w:val="20"/>
              </w:rPr>
              <w:t xml:space="preserve">FUENTE: </w:t>
            </w:r>
            <w:proofErr w:type="spellStart"/>
            <w:r w:rsidR="0091140E" w:rsidRPr="0091140E">
              <w:rPr>
                <w:color w:val="221F1F"/>
                <w:spacing w:val="1"/>
                <w:sz w:val="20"/>
                <w:szCs w:val="20"/>
              </w:rPr>
              <w:t>Eurostat</w:t>
            </w:r>
            <w:proofErr w:type="spellEnd"/>
            <w:r w:rsidR="0091140E" w:rsidRPr="0091140E">
              <w:rPr>
                <w:color w:val="221F1F"/>
                <w:spacing w:val="1"/>
                <w:sz w:val="20"/>
                <w:szCs w:val="20"/>
              </w:rPr>
              <w:t xml:space="preserve">, </w:t>
            </w:r>
            <w:proofErr w:type="spellStart"/>
            <w:r w:rsidR="0091140E" w:rsidRPr="0091140E">
              <w:rPr>
                <w:color w:val="221F1F"/>
                <w:spacing w:val="1"/>
                <w:sz w:val="20"/>
                <w:szCs w:val="20"/>
              </w:rPr>
              <w:t>Markit</w:t>
            </w:r>
            <w:proofErr w:type="spellEnd"/>
            <w:r w:rsidR="0091140E" w:rsidRPr="0091140E">
              <w:rPr>
                <w:color w:val="221F1F"/>
                <w:spacing w:val="1"/>
                <w:sz w:val="20"/>
                <w:szCs w:val="20"/>
              </w:rPr>
              <w:t xml:space="preserve"> y cálculos del BCE.</w:t>
            </w:r>
          </w:p>
        </w:tc>
      </w:tr>
    </w:tbl>
    <w:p w:rsidR="009F68F0" w:rsidRDefault="0023171E" w:rsidP="0023171E">
      <w:pPr>
        <w:spacing w:before="360" w:after="360" w:line="360" w:lineRule="auto"/>
        <w:jc w:val="both"/>
        <w:rPr>
          <w:sz w:val="26"/>
          <w:szCs w:val="26"/>
        </w:rPr>
      </w:pPr>
      <w:r w:rsidRPr="00BE5A0D">
        <w:rPr>
          <w:b/>
          <w:sz w:val="26"/>
          <w:szCs w:val="26"/>
        </w:rPr>
        <w:t xml:space="preserve">La tímida evolución de los </w:t>
      </w:r>
      <w:r w:rsidR="00601452" w:rsidRPr="00BE5A0D">
        <w:rPr>
          <w:b/>
          <w:sz w:val="26"/>
          <w:szCs w:val="26"/>
        </w:rPr>
        <w:t>costo</w:t>
      </w:r>
      <w:r w:rsidRPr="00BE5A0D">
        <w:rPr>
          <w:b/>
          <w:sz w:val="26"/>
          <w:szCs w:val="26"/>
        </w:rPr>
        <w:t>s laborales ha contenido las presiones sobre los precios de los servicios.</w:t>
      </w:r>
      <w:r w:rsidRPr="0023171E">
        <w:rPr>
          <w:sz w:val="26"/>
          <w:szCs w:val="26"/>
        </w:rPr>
        <w:t xml:space="preserve"> Como los </w:t>
      </w:r>
      <w:r w:rsidR="00601452">
        <w:rPr>
          <w:sz w:val="26"/>
          <w:szCs w:val="26"/>
        </w:rPr>
        <w:t>costo</w:t>
      </w:r>
      <w:r w:rsidRPr="0023171E">
        <w:rPr>
          <w:sz w:val="26"/>
          <w:szCs w:val="26"/>
        </w:rPr>
        <w:t xml:space="preserve">s laborales tienden a constituir una proporción relativamente elevada del total de </w:t>
      </w:r>
      <w:r w:rsidR="00601452">
        <w:rPr>
          <w:sz w:val="26"/>
          <w:szCs w:val="26"/>
        </w:rPr>
        <w:t>costo</w:t>
      </w:r>
      <w:r w:rsidRPr="0023171E">
        <w:rPr>
          <w:sz w:val="26"/>
          <w:szCs w:val="26"/>
        </w:rPr>
        <w:t xml:space="preserve">s del sector servicios, el moderado crecimiento de los salarios ha </w:t>
      </w:r>
      <w:r>
        <w:rPr>
          <w:sz w:val="26"/>
          <w:szCs w:val="26"/>
        </w:rPr>
        <w:t>contribuido a que la tasa de va</w:t>
      </w:r>
      <w:r w:rsidRPr="0023171E">
        <w:rPr>
          <w:sz w:val="26"/>
          <w:szCs w:val="26"/>
        </w:rPr>
        <w:t>riación de los precios de este sector se haya mantenido en niveles red</w:t>
      </w:r>
      <w:r>
        <w:rPr>
          <w:sz w:val="26"/>
          <w:szCs w:val="26"/>
        </w:rPr>
        <w:t>ucidos aunque básicamente esta</w:t>
      </w:r>
      <w:r w:rsidRPr="0023171E">
        <w:rPr>
          <w:sz w:val="26"/>
          <w:szCs w:val="26"/>
        </w:rPr>
        <w:t xml:space="preserve">bles </w:t>
      </w:r>
      <w:r w:rsidRPr="007D69FB">
        <w:rPr>
          <w:sz w:val="26"/>
          <w:szCs w:val="26"/>
        </w:rPr>
        <w:t>(</w:t>
      </w:r>
      <w:r w:rsidR="007D69FB" w:rsidRPr="007D69FB">
        <w:rPr>
          <w:sz w:val="26"/>
          <w:szCs w:val="26"/>
        </w:rPr>
        <w:t>ver gráfica siguiente</w:t>
      </w:r>
      <w:r w:rsidRPr="007D69FB">
        <w:rPr>
          <w:sz w:val="26"/>
          <w:szCs w:val="26"/>
        </w:rPr>
        <w:t>).</w:t>
      </w:r>
      <w:r w:rsidRPr="0023171E">
        <w:rPr>
          <w:sz w:val="26"/>
          <w:szCs w:val="26"/>
        </w:rPr>
        <w:t xml:space="preserve"> </w:t>
      </w:r>
    </w:p>
    <w:p w:rsidR="009F68F0" w:rsidRPr="007D69FB" w:rsidRDefault="009F68F0" w:rsidP="0023171E">
      <w:pPr>
        <w:spacing w:before="360" w:after="360" w:line="360" w:lineRule="auto"/>
        <w:jc w:val="both"/>
        <w:rPr>
          <w:sz w:val="2"/>
          <w:szCs w:val="26"/>
        </w:rPr>
      </w:pPr>
      <w:r>
        <w:rPr>
          <w:sz w:val="26"/>
          <w:szCs w:val="26"/>
        </w:rPr>
        <w:br w:type="column"/>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9F68F0" w:rsidRPr="00FE1D6E" w:rsidTr="007D69FB">
        <w:tc>
          <w:tcPr>
            <w:tcW w:w="8604" w:type="dxa"/>
          </w:tcPr>
          <w:p w:rsidR="00641893" w:rsidRDefault="00641893" w:rsidP="00641893">
            <w:pPr>
              <w:jc w:val="center"/>
              <w:rPr>
                <w:b/>
                <w:sz w:val="22"/>
                <w:szCs w:val="22"/>
              </w:rPr>
            </w:pPr>
            <w:r w:rsidRPr="00641893">
              <w:rPr>
                <w:b/>
                <w:sz w:val="22"/>
                <w:szCs w:val="22"/>
              </w:rPr>
              <w:t>REMUNERACIÓN POR ASALARIADO EN LA ZONA</w:t>
            </w:r>
            <w:r>
              <w:rPr>
                <w:b/>
                <w:sz w:val="22"/>
                <w:szCs w:val="22"/>
              </w:rPr>
              <w:t xml:space="preserve"> </w:t>
            </w:r>
            <w:r w:rsidRPr="00641893">
              <w:rPr>
                <w:b/>
                <w:sz w:val="22"/>
                <w:szCs w:val="22"/>
              </w:rPr>
              <w:t xml:space="preserve">DEL EURO, </w:t>
            </w:r>
          </w:p>
          <w:p w:rsidR="00641893" w:rsidRDefault="00641893" w:rsidP="00641893">
            <w:pPr>
              <w:jc w:val="center"/>
              <w:rPr>
                <w:b/>
                <w:sz w:val="22"/>
                <w:szCs w:val="22"/>
              </w:rPr>
            </w:pPr>
            <w:r w:rsidRPr="00641893">
              <w:rPr>
                <w:b/>
                <w:sz w:val="22"/>
                <w:szCs w:val="22"/>
              </w:rPr>
              <w:t>POR SECTORES</w:t>
            </w:r>
          </w:p>
          <w:p w:rsidR="009F68F0" w:rsidRPr="00FE1D6E" w:rsidRDefault="009F68F0" w:rsidP="00641893">
            <w:pPr>
              <w:jc w:val="center"/>
              <w:rPr>
                <w:color w:val="221F1F"/>
                <w:spacing w:val="1"/>
                <w:sz w:val="26"/>
                <w:szCs w:val="26"/>
              </w:rPr>
            </w:pPr>
            <w:r w:rsidRPr="00FE1D6E">
              <w:rPr>
                <w:color w:val="221F1F"/>
                <w:spacing w:val="1"/>
                <w:sz w:val="22"/>
                <w:szCs w:val="22"/>
              </w:rPr>
              <w:t>- Tasas de variación interanual</w:t>
            </w:r>
            <w:r w:rsidR="00641893">
              <w:rPr>
                <w:color w:val="221F1F"/>
                <w:spacing w:val="1"/>
                <w:sz w:val="22"/>
                <w:szCs w:val="22"/>
              </w:rPr>
              <w:t xml:space="preserve">; </w:t>
            </w:r>
            <w:r w:rsidR="00641893" w:rsidRPr="00641893">
              <w:rPr>
                <w:color w:val="221F1F"/>
                <w:spacing w:val="1"/>
                <w:sz w:val="22"/>
                <w:szCs w:val="22"/>
              </w:rPr>
              <w:t>contribuciones en puntos porcentuales</w:t>
            </w:r>
            <w:r>
              <w:rPr>
                <w:color w:val="221F1F"/>
                <w:spacing w:val="1"/>
                <w:sz w:val="22"/>
                <w:szCs w:val="22"/>
              </w:rPr>
              <w:t xml:space="preserve"> -</w:t>
            </w:r>
          </w:p>
        </w:tc>
      </w:tr>
      <w:tr w:rsidR="009F68F0" w:rsidRPr="00FE1D6E" w:rsidTr="003F5D0D">
        <w:trPr>
          <w:trHeight w:val="4961"/>
        </w:trPr>
        <w:tc>
          <w:tcPr>
            <w:tcW w:w="8604" w:type="dxa"/>
          </w:tcPr>
          <w:p w:rsidR="009F68F0" w:rsidRPr="00FE1D6E" w:rsidRDefault="003F5D0D" w:rsidP="007D69FB">
            <w:pPr>
              <w:jc w:val="center"/>
              <w:rPr>
                <w:color w:val="221F1F"/>
                <w:spacing w:val="1"/>
                <w:sz w:val="26"/>
                <w:szCs w:val="26"/>
              </w:rPr>
            </w:pPr>
            <w:r w:rsidRPr="00FE1D6E">
              <w:rPr>
                <w:noProof/>
                <w:lang w:val="es-MX" w:eastAsia="es-MX"/>
              </w:rPr>
              <mc:AlternateContent>
                <mc:Choice Requires="wps">
                  <w:drawing>
                    <wp:anchor distT="0" distB="0" distL="114300" distR="114300" simplePos="0" relativeHeight="251730944" behindDoc="0" locked="0" layoutInCell="1" allowOverlap="1" wp14:anchorId="14EAE57B" wp14:editId="12725230">
                      <wp:simplePos x="0" y="0"/>
                      <wp:positionH relativeFrom="column">
                        <wp:posOffset>3939540</wp:posOffset>
                      </wp:positionH>
                      <wp:positionV relativeFrom="paragraph">
                        <wp:posOffset>753721</wp:posOffset>
                      </wp:positionV>
                      <wp:extent cx="397510" cy="2423795"/>
                      <wp:effectExtent l="0" t="0" r="2540" b="0"/>
                      <wp:wrapNone/>
                      <wp:docPr id="3148" name="Cuadro de texto 3148"/>
                      <wp:cNvGraphicFramePr/>
                      <a:graphic xmlns:a="http://schemas.openxmlformats.org/drawingml/2006/main">
                        <a:graphicData uri="http://schemas.microsoft.com/office/word/2010/wordprocessingShape">
                          <wps:wsp>
                            <wps:cNvSpPr txBox="1"/>
                            <wps:spPr>
                              <a:xfrm>
                                <a:off x="0" y="0"/>
                                <a:ext cx="397510" cy="2423795"/>
                              </a:xfrm>
                              <a:prstGeom prst="rect">
                                <a:avLst/>
                              </a:prstGeom>
                              <a:solidFill>
                                <a:sysClr val="window" lastClr="FFFFFF"/>
                              </a:solidFill>
                              <a:ln w="6350">
                                <a:noFill/>
                              </a:ln>
                              <a:effectLst/>
                            </wps:spPr>
                            <wps:txbx>
                              <w:txbxContent>
                                <w:p w:rsidR="00A14B35" w:rsidRPr="009F68F0" w:rsidRDefault="00A14B35" w:rsidP="009F68F0">
                                  <w:pPr>
                                    <w:spacing w:after="20" w:line="480" w:lineRule="auto"/>
                                    <w:jc w:val="right"/>
                                    <w:rPr>
                                      <w:sz w:val="17"/>
                                      <w:szCs w:val="17"/>
                                    </w:rPr>
                                  </w:pPr>
                                  <w:r w:rsidRPr="009F68F0">
                                    <w:rPr>
                                      <w:sz w:val="17"/>
                                      <w:szCs w:val="17"/>
                                    </w:rPr>
                                    <w:t>4.0</w:t>
                                  </w:r>
                                </w:p>
                                <w:p w:rsidR="00A14B35" w:rsidRPr="009F68F0" w:rsidRDefault="00A14B35" w:rsidP="009F68F0">
                                  <w:pPr>
                                    <w:spacing w:after="20" w:line="480" w:lineRule="auto"/>
                                    <w:jc w:val="right"/>
                                    <w:rPr>
                                      <w:sz w:val="17"/>
                                      <w:szCs w:val="17"/>
                                    </w:rPr>
                                  </w:pPr>
                                  <w:r w:rsidRPr="009F68F0">
                                    <w:rPr>
                                      <w:sz w:val="17"/>
                                      <w:szCs w:val="17"/>
                                    </w:rPr>
                                    <w:t>3.5</w:t>
                                  </w:r>
                                </w:p>
                                <w:p w:rsidR="00A14B35" w:rsidRPr="009F68F0" w:rsidRDefault="00A14B35" w:rsidP="009F68F0">
                                  <w:pPr>
                                    <w:spacing w:after="20" w:line="480" w:lineRule="auto"/>
                                    <w:jc w:val="right"/>
                                    <w:rPr>
                                      <w:sz w:val="17"/>
                                      <w:szCs w:val="17"/>
                                    </w:rPr>
                                  </w:pPr>
                                  <w:r w:rsidRPr="009F68F0">
                                    <w:rPr>
                                      <w:sz w:val="17"/>
                                      <w:szCs w:val="17"/>
                                    </w:rPr>
                                    <w:t>3.0</w:t>
                                  </w:r>
                                </w:p>
                                <w:p w:rsidR="00A14B35" w:rsidRPr="009F68F0" w:rsidRDefault="00A14B35" w:rsidP="009F68F0">
                                  <w:pPr>
                                    <w:spacing w:after="20" w:line="480" w:lineRule="auto"/>
                                    <w:jc w:val="right"/>
                                    <w:rPr>
                                      <w:sz w:val="17"/>
                                      <w:szCs w:val="17"/>
                                    </w:rPr>
                                  </w:pPr>
                                  <w:r w:rsidRPr="009F68F0">
                                    <w:rPr>
                                      <w:sz w:val="17"/>
                                      <w:szCs w:val="17"/>
                                    </w:rPr>
                                    <w:t>2.5</w:t>
                                  </w:r>
                                </w:p>
                                <w:p w:rsidR="00A14B35" w:rsidRPr="009F68F0" w:rsidRDefault="00A14B35" w:rsidP="009F68F0">
                                  <w:pPr>
                                    <w:spacing w:after="20" w:line="480" w:lineRule="auto"/>
                                    <w:jc w:val="right"/>
                                    <w:rPr>
                                      <w:sz w:val="17"/>
                                      <w:szCs w:val="17"/>
                                    </w:rPr>
                                  </w:pPr>
                                  <w:r w:rsidRPr="009F68F0">
                                    <w:rPr>
                                      <w:sz w:val="17"/>
                                      <w:szCs w:val="17"/>
                                    </w:rPr>
                                    <w:t>1.5</w:t>
                                  </w:r>
                                </w:p>
                                <w:p w:rsidR="00A14B35" w:rsidRPr="009F68F0" w:rsidRDefault="00A14B35" w:rsidP="009F68F0">
                                  <w:pPr>
                                    <w:spacing w:after="20" w:line="480" w:lineRule="auto"/>
                                    <w:jc w:val="right"/>
                                    <w:rPr>
                                      <w:sz w:val="17"/>
                                      <w:szCs w:val="17"/>
                                    </w:rPr>
                                  </w:pPr>
                                  <w:r w:rsidRPr="009F68F0">
                                    <w:rPr>
                                      <w:sz w:val="17"/>
                                      <w:szCs w:val="17"/>
                                    </w:rPr>
                                    <w:t>1.0</w:t>
                                  </w:r>
                                </w:p>
                                <w:p w:rsidR="00A14B35" w:rsidRPr="009F68F0" w:rsidRDefault="00A14B35" w:rsidP="009F68F0">
                                  <w:pPr>
                                    <w:spacing w:after="20" w:line="480" w:lineRule="auto"/>
                                    <w:jc w:val="right"/>
                                    <w:rPr>
                                      <w:sz w:val="17"/>
                                      <w:szCs w:val="17"/>
                                    </w:rPr>
                                  </w:pPr>
                                  <w:r w:rsidRPr="009F68F0">
                                    <w:rPr>
                                      <w:sz w:val="17"/>
                                      <w:szCs w:val="17"/>
                                    </w:rPr>
                                    <w:t>0.5</w:t>
                                  </w:r>
                                </w:p>
                                <w:p w:rsidR="00A14B35" w:rsidRPr="009F68F0" w:rsidRDefault="00A14B35" w:rsidP="009F68F0">
                                  <w:pPr>
                                    <w:spacing w:after="20" w:line="480" w:lineRule="auto"/>
                                    <w:jc w:val="right"/>
                                    <w:rPr>
                                      <w:sz w:val="17"/>
                                      <w:szCs w:val="17"/>
                                    </w:rPr>
                                  </w:pPr>
                                  <w:r w:rsidRPr="009F68F0">
                                    <w:rPr>
                                      <w:sz w:val="17"/>
                                      <w:szCs w:val="17"/>
                                    </w:rPr>
                                    <w:t>0.0</w:t>
                                  </w:r>
                                </w:p>
                                <w:p w:rsidR="00A14B35" w:rsidRPr="009F68F0" w:rsidRDefault="00A14B35" w:rsidP="009F68F0">
                                  <w:pPr>
                                    <w:spacing w:after="20" w:line="480" w:lineRule="auto"/>
                                    <w:jc w:val="right"/>
                                    <w:rPr>
                                      <w:sz w:val="17"/>
                                      <w:szCs w:val="17"/>
                                    </w:rPr>
                                  </w:pPr>
                                  <w:r w:rsidRPr="009F68F0">
                                    <w:rPr>
                                      <w:sz w:val="17"/>
                                      <w:szCs w:val="17"/>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AE57B" id="Cuadro de texto 3148" o:spid="_x0000_s1062" type="#_x0000_t202" style="position:absolute;left:0;text-align:left;margin-left:310.2pt;margin-top:59.35pt;width:31.3pt;height:190.8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" fillcolor="window" stroked="f" strokeweight=".5pt">
                      <v:textbox>
                        <w:txbxContent>
                          <w:p w:rsidR="00A14B35" w:rsidRPr="009F68F0" w:rsidRDefault="00A14B35" w:rsidP="009F68F0">
                            <w:pPr>
                              <w:spacing w:after="20" w:line="480" w:lineRule="auto"/>
                              <w:jc w:val="right"/>
                              <w:rPr>
                                <w:sz w:val="17"/>
                                <w:szCs w:val="17"/>
                              </w:rPr>
                            </w:pPr>
                            <w:r w:rsidRPr="009F68F0">
                              <w:rPr>
                                <w:sz w:val="17"/>
                                <w:szCs w:val="17"/>
                              </w:rPr>
                              <w:t>4.0</w:t>
                            </w:r>
                          </w:p>
                          <w:p w:rsidR="00A14B35" w:rsidRPr="009F68F0" w:rsidRDefault="00A14B35" w:rsidP="009F68F0">
                            <w:pPr>
                              <w:spacing w:after="20" w:line="480" w:lineRule="auto"/>
                              <w:jc w:val="right"/>
                              <w:rPr>
                                <w:sz w:val="17"/>
                                <w:szCs w:val="17"/>
                              </w:rPr>
                            </w:pPr>
                            <w:r w:rsidRPr="009F68F0">
                              <w:rPr>
                                <w:sz w:val="17"/>
                                <w:szCs w:val="17"/>
                              </w:rPr>
                              <w:t>3.5</w:t>
                            </w:r>
                          </w:p>
                          <w:p w:rsidR="00A14B35" w:rsidRPr="009F68F0" w:rsidRDefault="00A14B35" w:rsidP="009F68F0">
                            <w:pPr>
                              <w:spacing w:after="20" w:line="480" w:lineRule="auto"/>
                              <w:jc w:val="right"/>
                              <w:rPr>
                                <w:sz w:val="17"/>
                                <w:szCs w:val="17"/>
                              </w:rPr>
                            </w:pPr>
                            <w:r w:rsidRPr="009F68F0">
                              <w:rPr>
                                <w:sz w:val="17"/>
                                <w:szCs w:val="17"/>
                              </w:rPr>
                              <w:t>3.0</w:t>
                            </w:r>
                          </w:p>
                          <w:p w:rsidR="00A14B35" w:rsidRPr="009F68F0" w:rsidRDefault="00A14B35" w:rsidP="009F68F0">
                            <w:pPr>
                              <w:spacing w:after="20" w:line="480" w:lineRule="auto"/>
                              <w:jc w:val="right"/>
                              <w:rPr>
                                <w:sz w:val="17"/>
                                <w:szCs w:val="17"/>
                              </w:rPr>
                            </w:pPr>
                            <w:r w:rsidRPr="009F68F0">
                              <w:rPr>
                                <w:sz w:val="17"/>
                                <w:szCs w:val="17"/>
                              </w:rPr>
                              <w:t>2.5</w:t>
                            </w:r>
                          </w:p>
                          <w:p w:rsidR="00A14B35" w:rsidRPr="009F68F0" w:rsidRDefault="00A14B35" w:rsidP="009F68F0">
                            <w:pPr>
                              <w:spacing w:after="20" w:line="480" w:lineRule="auto"/>
                              <w:jc w:val="right"/>
                              <w:rPr>
                                <w:sz w:val="17"/>
                                <w:szCs w:val="17"/>
                              </w:rPr>
                            </w:pPr>
                            <w:r w:rsidRPr="009F68F0">
                              <w:rPr>
                                <w:sz w:val="17"/>
                                <w:szCs w:val="17"/>
                              </w:rPr>
                              <w:t>1.5</w:t>
                            </w:r>
                          </w:p>
                          <w:p w:rsidR="00A14B35" w:rsidRPr="009F68F0" w:rsidRDefault="00A14B35" w:rsidP="009F68F0">
                            <w:pPr>
                              <w:spacing w:after="20" w:line="480" w:lineRule="auto"/>
                              <w:jc w:val="right"/>
                              <w:rPr>
                                <w:sz w:val="17"/>
                                <w:szCs w:val="17"/>
                              </w:rPr>
                            </w:pPr>
                            <w:r w:rsidRPr="009F68F0">
                              <w:rPr>
                                <w:sz w:val="17"/>
                                <w:szCs w:val="17"/>
                              </w:rPr>
                              <w:t>1.0</w:t>
                            </w:r>
                          </w:p>
                          <w:p w:rsidR="00A14B35" w:rsidRPr="009F68F0" w:rsidRDefault="00A14B35" w:rsidP="009F68F0">
                            <w:pPr>
                              <w:spacing w:after="20" w:line="480" w:lineRule="auto"/>
                              <w:jc w:val="right"/>
                              <w:rPr>
                                <w:sz w:val="17"/>
                                <w:szCs w:val="17"/>
                              </w:rPr>
                            </w:pPr>
                            <w:r w:rsidRPr="009F68F0">
                              <w:rPr>
                                <w:sz w:val="17"/>
                                <w:szCs w:val="17"/>
                              </w:rPr>
                              <w:t>0.5</w:t>
                            </w:r>
                          </w:p>
                          <w:p w:rsidR="00A14B35" w:rsidRPr="009F68F0" w:rsidRDefault="00A14B35" w:rsidP="009F68F0">
                            <w:pPr>
                              <w:spacing w:after="20" w:line="480" w:lineRule="auto"/>
                              <w:jc w:val="right"/>
                              <w:rPr>
                                <w:sz w:val="17"/>
                                <w:szCs w:val="17"/>
                              </w:rPr>
                            </w:pPr>
                            <w:r w:rsidRPr="009F68F0">
                              <w:rPr>
                                <w:sz w:val="17"/>
                                <w:szCs w:val="17"/>
                              </w:rPr>
                              <w:t>0.0</w:t>
                            </w:r>
                          </w:p>
                          <w:p w:rsidR="00A14B35" w:rsidRPr="009F68F0" w:rsidRDefault="00A14B35" w:rsidP="009F68F0">
                            <w:pPr>
                              <w:spacing w:after="20" w:line="480" w:lineRule="auto"/>
                              <w:jc w:val="right"/>
                              <w:rPr>
                                <w:sz w:val="17"/>
                                <w:szCs w:val="17"/>
                              </w:rPr>
                            </w:pPr>
                            <w:r w:rsidRPr="009F68F0">
                              <w:rPr>
                                <w:sz w:val="17"/>
                                <w:szCs w:val="17"/>
                              </w:rPr>
                              <w:t>-0.5</w:t>
                            </w:r>
                          </w:p>
                        </w:txbxContent>
                      </v:textbox>
                    </v:shape>
                  </w:pict>
                </mc:Fallback>
              </mc:AlternateContent>
            </w:r>
            <w:r w:rsidR="009F68F0" w:rsidRPr="00FE1D6E">
              <w:rPr>
                <w:noProof/>
                <w:lang w:val="es-MX" w:eastAsia="es-MX"/>
              </w:rPr>
              <mc:AlternateContent>
                <mc:Choice Requires="wps">
                  <w:drawing>
                    <wp:anchor distT="0" distB="0" distL="114300" distR="114300" simplePos="0" relativeHeight="251732992" behindDoc="0" locked="0" layoutInCell="1" allowOverlap="1" wp14:anchorId="3202D137" wp14:editId="3120FCF4">
                      <wp:simplePos x="0" y="0"/>
                      <wp:positionH relativeFrom="column">
                        <wp:posOffset>929640</wp:posOffset>
                      </wp:positionH>
                      <wp:positionV relativeFrom="paragraph">
                        <wp:posOffset>757650</wp:posOffset>
                      </wp:positionV>
                      <wp:extent cx="397576" cy="2424223"/>
                      <wp:effectExtent l="0" t="0" r="2540" b="0"/>
                      <wp:wrapNone/>
                      <wp:docPr id="3151" name="Cuadro de texto 3151"/>
                      <wp:cNvGraphicFramePr/>
                      <a:graphic xmlns:a="http://schemas.openxmlformats.org/drawingml/2006/main">
                        <a:graphicData uri="http://schemas.microsoft.com/office/word/2010/wordprocessingShape">
                          <wps:wsp>
                            <wps:cNvSpPr txBox="1"/>
                            <wps:spPr>
                              <a:xfrm>
                                <a:off x="0" y="0"/>
                                <a:ext cx="397576" cy="2424223"/>
                              </a:xfrm>
                              <a:prstGeom prst="rect">
                                <a:avLst/>
                              </a:prstGeom>
                              <a:solidFill>
                                <a:sysClr val="window" lastClr="FFFFFF"/>
                              </a:solidFill>
                              <a:ln w="6350">
                                <a:noFill/>
                              </a:ln>
                              <a:effectLst/>
                            </wps:spPr>
                            <wps:txbx>
                              <w:txbxContent>
                                <w:p w:rsidR="00A14B35" w:rsidRPr="009F68F0" w:rsidRDefault="00A14B35" w:rsidP="009F68F0">
                                  <w:pPr>
                                    <w:spacing w:after="20" w:line="480" w:lineRule="auto"/>
                                    <w:jc w:val="right"/>
                                    <w:rPr>
                                      <w:sz w:val="17"/>
                                      <w:szCs w:val="17"/>
                                    </w:rPr>
                                  </w:pPr>
                                  <w:r w:rsidRPr="009F68F0">
                                    <w:rPr>
                                      <w:sz w:val="17"/>
                                      <w:szCs w:val="17"/>
                                    </w:rPr>
                                    <w:t>4.0</w:t>
                                  </w:r>
                                </w:p>
                                <w:p w:rsidR="00A14B35" w:rsidRPr="009F68F0" w:rsidRDefault="00A14B35" w:rsidP="009F68F0">
                                  <w:pPr>
                                    <w:spacing w:after="20" w:line="480" w:lineRule="auto"/>
                                    <w:jc w:val="right"/>
                                    <w:rPr>
                                      <w:sz w:val="17"/>
                                      <w:szCs w:val="17"/>
                                    </w:rPr>
                                  </w:pPr>
                                  <w:r w:rsidRPr="009F68F0">
                                    <w:rPr>
                                      <w:sz w:val="17"/>
                                      <w:szCs w:val="17"/>
                                    </w:rPr>
                                    <w:t>3.5</w:t>
                                  </w:r>
                                </w:p>
                                <w:p w:rsidR="00A14B35" w:rsidRPr="009F68F0" w:rsidRDefault="00A14B35" w:rsidP="009F68F0">
                                  <w:pPr>
                                    <w:spacing w:after="20" w:line="480" w:lineRule="auto"/>
                                    <w:jc w:val="right"/>
                                    <w:rPr>
                                      <w:sz w:val="17"/>
                                      <w:szCs w:val="17"/>
                                    </w:rPr>
                                  </w:pPr>
                                  <w:r w:rsidRPr="009F68F0">
                                    <w:rPr>
                                      <w:sz w:val="17"/>
                                      <w:szCs w:val="17"/>
                                    </w:rPr>
                                    <w:t>3.0</w:t>
                                  </w:r>
                                </w:p>
                                <w:p w:rsidR="00A14B35" w:rsidRPr="009F68F0" w:rsidRDefault="00A14B35" w:rsidP="009F68F0">
                                  <w:pPr>
                                    <w:spacing w:after="20" w:line="480" w:lineRule="auto"/>
                                    <w:jc w:val="right"/>
                                    <w:rPr>
                                      <w:sz w:val="17"/>
                                      <w:szCs w:val="17"/>
                                    </w:rPr>
                                  </w:pPr>
                                  <w:r w:rsidRPr="009F68F0">
                                    <w:rPr>
                                      <w:sz w:val="17"/>
                                      <w:szCs w:val="17"/>
                                    </w:rPr>
                                    <w:t>2.5</w:t>
                                  </w:r>
                                </w:p>
                                <w:p w:rsidR="00A14B35" w:rsidRPr="009F68F0" w:rsidRDefault="00A14B35" w:rsidP="009F68F0">
                                  <w:pPr>
                                    <w:spacing w:after="20" w:line="480" w:lineRule="auto"/>
                                    <w:jc w:val="right"/>
                                    <w:rPr>
                                      <w:sz w:val="17"/>
                                      <w:szCs w:val="17"/>
                                    </w:rPr>
                                  </w:pPr>
                                  <w:r w:rsidRPr="009F68F0">
                                    <w:rPr>
                                      <w:sz w:val="17"/>
                                      <w:szCs w:val="17"/>
                                    </w:rPr>
                                    <w:t>1.5</w:t>
                                  </w:r>
                                </w:p>
                                <w:p w:rsidR="00A14B35" w:rsidRPr="009F68F0" w:rsidRDefault="00A14B35" w:rsidP="009F68F0">
                                  <w:pPr>
                                    <w:spacing w:after="20" w:line="480" w:lineRule="auto"/>
                                    <w:jc w:val="right"/>
                                    <w:rPr>
                                      <w:sz w:val="17"/>
                                      <w:szCs w:val="17"/>
                                    </w:rPr>
                                  </w:pPr>
                                  <w:r w:rsidRPr="009F68F0">
                                    <w:rPr>
                                      <w:sz w:val="17"/>
                                      <w:szCs w:val="17"/>
                                    </w:rPr>
                                    <w:t>1.0</w:t>
                                  </w:r>
                                </w:p>
                                <w:p w:rsidR="00A14B35" w:rsidRPr="009F68F0" w:rsidRDefault="00A14B35" w:rsidP="009F68F0">
                                  <w:pPr>
                                    <w:spacing w:after="20" w:line="480" w:lineRule="auto"/>
                                    <w:jc w:val="right"/>
                                    <w:rPr>
                                      <w:sz w:val="17"/>
                                      <w:szCs w:val="17"/>
                                    </w:rPr>
                                  </w:pPr>
                                  <w:r w:rsidRPr="009F68F0">
                                    <w:rPr>
                                      <w:sz w:val="17"/>
                                      <w:szCs w:val="17"/>
                                    </w:rPr>
                                    <w:t>0.5</w:t>
                                  </w:r>
                                </w:p>
                                <w:p w:rsidR="00A14B35" w:rsidRPr="009F68F0" w:rsidRDefault="00A14B35" w:rsidP="009F68F0">
                                  <w:pPr>
                                    <w:spacing w:after="20" w:line="480" w:lineRule="auto"/>
                                    <w:jc w:val="right"/>
                                    <w:rPr>
                                      <w:sz w:val="17"/>
                                      <w:szCs w:val="17"/>
                                    </w:rPr>
                                  </w:pPr>
                                  <w:r w:rsidRPr="009F68F0">
                                    <w:rPr>
                                      <w:sz w:val="17"/>
                                      <w:szCs w:val="17"/>
                                    </w:rPr>
                                    <w:t>0.0</w:t>
                                  </w:r>
                                </w:p>
                                <w:p w:rsidR="00A14B35" w:rsidRPr="009F68F0" w:rsidRDefault="00A14B35" w:rsidP="009F68F0">
                                  <w:pPr>
                                    <w:spacing w:after="20" w:line="480" w:lineRule="auto"/>
                                    <w:jc w:val="right"/>
                                    <w:rPr>
                                      <w:sz w:val="17"/>
                                      <w:szCs w:val="17"/>
                                    </w:rPr>
                                  </w:pPr>
                                  <w:r w:rsidRPr="009F68F0">
                                    <w:rPr>
                                      <w:sz w:val="17"/>
                                      <w:szCs w:val="17"/>
                                    </w:rPr>
                                    <w:t>-0.5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2D137" id="Cuadro de texto 3151" o:spid="_x0000_s1063" type="#_x0000_t202" style="position:absolute;left:0;text-align:left;margin-left:73.2pt;margin-top:59.65pt;width:31.3pt;height:190.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" fillcolor="window" stroked="f" strokeweight=".5pt">
                      <v:textbox>
                        <w:txbxContent>
                          <w:p w:rsidR="00A14B35" w:rsidRPr="009F68F0" w:rsidRDefault="00A14B35" w:rsidP="009F68F0">
                            <w:pPr>
                              <w:spacing w:after="20" w:line="480" w:lineRule="auto"/>
                              <w:jc w:val="right"/>
                              <w:rPr>
                                <w:sz w:val="17"/>
                                <w:szCs w:val="17"/>
                              </w:rPr>
                            </w:pPr>
                            <w:r w:rsidRPr="009F68F0">
                              <w:rPr>
                                <w:sz w:val="17"/>
                                <w:szCs w:val="17"/>
                              </w:rPr>
                              <w:t>4.0</w:t>
                            </w:r>
                          </w:p>
                          <w:p w:rsidR="00A14B35" w:rsidRPr="009F68F0" w:rsidRDefault="00A14B35" w:rsidP="009F68F0">
                            <w:pPr>
                              <w:spacing w:after="20" w:line="480" w:lineRule="auto"/>
                              <w:jc w:val="right"/>
                              <w:rPr>
                                <w:sz w:val="17"/>
                                <w:szCs w:val="17"/>
                              </w:rPr>
                            </w:pPr>
                            <w:r w:rsidRPr="009F68F0">
                              <w:rPr>
                                <w:sz w:val="17"/>
                                <w:szCs w:val="17"/>
                              </w:rPr>
                              <w:t>3.5</w:t>
                            </w:r>
                          </w:p>
                          <w:p w:rsidR="00A14B35" w:rsidRPr="009F68F0" w:rsidRDefault="00A14B35" w:rsidP="009F68F0">
                            <w:pPr>
                              <w:spacing w:after="20" w:line="480" w:lineRule="auto"/>
                              <w:jc w:val="right"/>
                              <w:rPr>
                                <w:sz w:val="17"/>
                                <w:szCs w:val="17"/>
                              </w:rPr>
                            </w:pPr>
                            <w:r w:rsidRPr="009F68F0">
                              <w:rPr>
                                <w:sz w:val="17"/>
                                <w:szCs w:val="17"/>
                              </w:rPr>
                              <w:t>3.0</w:t>
                            </w:r>
                          </w:p>
                          <w:p w:rsidR="00A14B35" w:rsidRPr="009F68F0" w:rsidRDefault="00A14B35" w:rsidP="009F68F0">
                            <w:pPr>
                              <w:spacing w:after="20" w:line="480" w:lineRule="auto"/>
                              <w:jc w:val="right"/>
                              <w:rPr>
                                <w:sz w:val="17"/>
                                <w:szCs w:val="17"/>
                              </w:rPr>
                            </w:pPr>
                            <w:r w:rsidRPr="009F68F0">
                              <w:rPr>
                                <w:sz w:val="17"/>
                                <w:szCs w:val="17"/>
                              </w:rPr>
                              <w:t>2.5</w:t>
                            </w:r>
                          </w:p>
                          <w:p w:rsidR="00A14B35" w:rsidRPr="009F68F0" w:rsidRDefault="00A14B35" w:rsidP="009F68F0">
                            <w:pPr>
                              <w:spacing w:after="20" w:line="480" w:lineRule="auto"/>
                              <w:jc w:val="right"/>
                              <w:rPr>
                                <w:sz w:val="17"/>
                                <w:szCs w:val="17"/>
                              </w:rPr>
                            </w:pPr>
                            <w:r w:rsidRPr="009F68F0">
                              <w:rPr>
                                <w:sz w:val="17"/>
                                <w:szCs w:val="17"/>
                              </w:rPr>
                              <w:t>1.5</w:t>
                            </w:r>
                          </w:p>
                          <w:p w:rsidR="00A14B35" w:rsidRPr="009F68F0" w:rsidRDefault="00A14B35" w:rsidP="009F68F0">
                            <w:pPr>
                              <w:spacing w:after="20" w:line="480" w:lineRule="auto"/>
                              <w:jc w:val="right"/>
                              <w:rPr>
                                <w:sz w:val="17"/>
                                <w:szCs w:val="17"/>
                              </w:rPr>
                            </w:pPr>
                            <w:r w:rsidRPr="009F68F0">
                              <w:rPr>
                                <w:sz w:val="17"/>
                                <w:szCs w:val="17"/>
                              </w:rPr>
                              <w:t>1.0</w:t>
                            </w:r>
                          </w:p>
                          <w:p w:rsidR="00A14B35" w:rsidRPr="009F68F0" w:rsidRDefault="00A14B35" w:rsidP="009F68F0">
                            <w:pPr>
                              <w:spacing w:after="20" w:line="480" w:lineRule="auto"/>
                              <w:jc w:val="right"/>
                              <w:rPr>
                                <w:sz w:val="17"/>
                                <w:szCs w:val="17"/>
                              </w:rPr>
                            </w:pPr>
                            <w:r w:rsidRPr="009F68F0">
                              <w:rPr>
                                <w:sz w:val="17"/>
                                <w:szCs w:val="17"/>
                              </w:rPr>
                              <w:t>0.5</w:t>
                            </w:r>
                          </w:p>
                          <w:p w:rsidR="00A14B35" w:rsidRPr="009F68F0" w:rsidRDefault="00A14B35" w:rsidP="009F68F0">
                            <w:pPr>
                              <w:spacing w:after="20" w:line="480" w:lineRule="auto"/>
                              <w:jc w:val="right"/>
                              <w:rPr>
                                <w:sz w:val="17"/>
                                <w:szCs w:val="17"/>
                              </w:rPr>
                            </w:pPr>
                            <w:r w:rsidRPr="009F68F0">
                              <w:rPr>
                                <w:sz w:val="17"/>
                                <w:szCs w:val="17"/>
                              </w:rPr>
                              <w:t>0.0</w:t>
                            </w:r>
                          </w:p>
                          <w:p w:rsidR="00A14B35" w:rsidRPr="009F68F0" w:rsidRDefault="00A14B35" w:rsidP="009F68F0">
                            <w:pPr>
                              <w:spacing w:after="20" w:line="480" w:lineRule="auto"/>
                              <w:jc w:val="right"/>
                              <w:rPr>
                                <w:sz w:val="17"/>
                                <w:szCs w:val="17"/>
                              </w:rPr>
                            </w:pPr>
                            <w:r w:rsidRPr="009F68F0">
                              <w:rPr>
                                <w:sz w:val="17"/>
                                <w:szCs w:val="17"/>
                              </w:rPr>
                              <w:t>-0.5</w:t>
                            </w:r>
                          </w:p>
                        </w:txbxContent>
                      </v:textbox>
                    </v:shape>
                  </w:pict>
                </mc:Fallback>
              </mc:AlternateContent>
            </w:r>
            <w:r w:rsidR="009F68F0">
              <w:rPr>
                <w:noProof/>
                <w:lang w:val="es-MX" w:eastAsia="es-MX"/>
              </w:rPr>
              <w:drawing>
                <wp:inline distT="0" distB="0" distL="0" distR="0" wp14:anchorId="1207F683" wp14:editId="5688B41D">
                  <wp:extent cx="3130550" cy="750627"/>
                  <wp:effectExtent l="0" t="0" r="0" b="0"/>
                  <wp:docPr id="3150" name="Imagen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50953" t="18533" r="12673" b="65954"/>
                          <a:stretch/>
                        </pic:blipFill>
                        <pic:spPr bwMode="auto">
                          <a:xfrm>
                            <a:off x="0" y="0"/>
                            <a:ext cx="3156492" cy="756847"/>
                          </a:xfrm>
                          <a:prstGeom prst="rect">
                            <a:avLst/>
                          </a:prstGeom>
                          <a:ln>
                            <a:noFill/>
                          </a:ln>
                          <a:extLst>
                            <a:ext uri="{53640926-AAD7-44D8-BBD7-CCE9431645EC}">
                              <a14:shadowObscured xmlns:a14="http://schemas.microsoft.com/office/drawing/2010/main"/>
                            </a:ext>
                          </a:extLst>
                        </pic:spPr>
                      </pic:pic>
                    </a:graphicData>
                  </a:graphic>
                </wp:inline>
              </w:drawing>
            </w:r>
            <w:r>
              <w:rPr>
                <w:noProof/>
                <w:lang w:val="es-MX" w:eastAsia="es-MX"/>
              </w:rPr>
              <w:drawing>
                <wp:inline distT="0" distB="0" distL="0" distR="0" wp14:anchorId="2CD6C86E" wp14:editId="46D3FC87">
                  <wp:extent cx="3130550" cy="2326101"/>
                  <wp:effectExtent l="0" t="0" r="0" b="0"/>
                  <wp:docPr id="3167" name="Imagen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50953" t="40533" r="12673" b="11394"/>
                          <a:stretch/>
                        </pic:blipFill>
                        <pic:spPr bwMode="auto">
                          <a:xfrm>
                            <a:off x="0" y="0"/>
                            <a:ext cx="3156492" cy="2345377"/>
                          </a:xfrm>
                          <a:prstGeom prst="rect">
                            <a:avLst/>
                          </a:prstGeom>
                          <a:ln>
                            <a:noFill/>
                          </a:ln>
                          <a:extLst>
                            <a:ext uri="{53640926-AAD7-44D8-BBD7-CCE9431645EC}">
                              <a14:shadowObscured xmlns:a14="http://schemas.microsoft.com/office/drawing/2010/main"/>
                            </a:ext>
                          </a:extLst>
                        </pic:spPr>
                      </pic:pic>
                    </a:graphicData>
                  </a:graphic>
                </wp:inline>
              </w:drawing>
            </w:r>
          </w:p>
        </w:tc>
      </w:tr>
      <w:tr w:rsidR="009F68F0" w:rsidRPr="00FE1D6E" w:rsidTr="007D69FB">
        <w:tc>
          <w:tcPr>
            <w:tcW w:w="8604" w:type="dxa"/>
          </w:tcPr>
          <w:p w:rsidR="004358F4" w:rsidRDefault="009F68F0" w:rsidP="00FC0B48">
            <w:pPr>
              <w:ind w:left="2020" w:right="1692" w:hanging="602"/>
              <w:jc w:val="both"/>
              <w:rPr>
                <w:sz w:val="20"/>
                <w:szCs w:val="20"/>
              </w:rPr>
            </w:pPr>
            <w:r w:rsidRPr="0091140E">
              <w:rPr>
                <w:sz w:val="20"/>
                <w:szCs w:val="20"/>
              </w:rPr>
              <w:t xml:space="preserve">Notas: </w:t>
            </w:r>
            <w:r w:rsidR="004358F4">
              <w:rPr>
                <w:sz w:val="20"/>
                <w:szCs w:val="20"/>
              </w:rPr>
              <w:t>Los datos se refi</w:t>
            </w:r>
            <w:r w:rsidR="004358F4" w:rsidRPr="004358F4">
              <w:rPr>
                <w:sz w:val="20"/>
                <w:szCs w:val="20"/>
              </w:rPr>
              <w:t xml:space="preserve">eren al Euro-18. Los </w:t>
            </w:r>
            <w:r w:rsidR="004358F4" w:rsidRPr="00BE5A0D">
              <w:rPr>
                <w:sz w:val="20"/>
                <w:szCs w:val="20"/>
              </w:rPr>
              <w:t>servicios no de mercado</w:t>
            </w:r>
            <w:r w:rsidR="004358F4">
              <w:rPr>
                <w:sz w:val="20"/>
                <w:szCs w:val="20"/>
              </w:rPr>
              <w:t xml:space="preserve"> </w:t>
            </w:r>
            <w:r w:rsidR="004358F4" w:rsidRPr="004358F4">
              <w:rPr>
                <w:sz w:val="20"/>
                <w:szCs w:val="20"/>
              </w:rPr>
              <w:t>incluyen actividades de las Administraciones</w:t>
            </w:r>
            <w:r w:rsidR="004358F4">
              <w:rPr>
                <w:sz w:val="20"/>
                <w:szCs w:val="20"/>
              </w:rPr>
              <w:t xml:space="preserve"> </w:t>
            </w:r>
            <w:r w:rsidR="004358F4" w:rsidRPr="004358F4">
              <w:rPr>
                <w:sz w:val="20"/>
                <w:szCs w:val="20"/>
              </w:rPr>
              <w:t>Públicas y de</w:t>
            </w:r>
            <w:r w:rsidR="004358F4">
              <w:rPr>
                <w:sz w:val="20"/>
                <w:szCs w:val="20"/>
              </w:rPr>
              <w:t xml:space="preserve"> </w:t>
            </w:r>
            <w:r w:rsidR="004358F4" w:rsidRPr="004358F4">
              <w:rPr>
                <w:sz w:val="20"/>
                <w:szCs w:val="20"/>
              </w:rPr>
              <w:t>instituciones</w:t>
            </w:r>
            <w:r w:rsidR="004358F4">
              <w:rPr>
                <w:sz w:val="20"/>
                <w:szCs w:val="20"/>
              </w:rPr>
              <w:t xml:space="preserve"> privadas sin fi</w:t>
            </w:r>
            <w:r w:rsidR="004358F4" w:rsidRPr="004358F4">
              <w:rPr>
                <w:sz w:val="20"/>
                <w:szCs w:val="20"/>
              </w:rPr>
              <w:t>nes</w:t>
            </w:r>
            <w:r w:rsidR="004358F4">
              <w:rPr>
                <w:sz w:val="20"/>
                <w:szCs w:val="20"/>
              </w:rPr>
              <w:t xml:space="preserve"> </w:t>
            </w:r>
            <w:r w:rsidR="004358F4" w:rsidRPr="004358F4">
              <w:rPr>
                <w:sz w:val="20"/>
                <w:szCs w:val="20"/>
              </w:rPr>
              <w:t>de lucro en áreas como servicios</w:t>
            </w:r>
            <w:r w:rsidR="004358F4">
              <w:rPr>
                <w:sz w:val="20"/>
                <w:szCs w:val="20"/>
              </w:rPr>
              <w:t xml:space="preserve"> </w:t>
            </w:r>
            <w:r w:rsidR="004358F4" w:rsidRPr="004358F4">
              <w:rPr>
                <w:sz w:val="20"/>
                <w:szCs w:val="20"/>
              </w:rPr>
              <w:t>públicos</w:t>
            </w:r>
            <w:r w:rsidR="004358F4">
              <w:rPr>
                <w:sz w:val="20"/>
                <w:szCs w:val="20"/>
              </w:rPr>
              <w:t xml:space="preserve"> </w:t>
            </w:r>
            <w:r w:rsidR="004358F4" w:rsidRPr="004358F4">
              <w:rPr>
                <w:sz w:val="20"/>
                <w:szCs w:val="20"/>
              </w:rPr>
              <w:t xml:space="preserve">generales, educación o sanidad. Los </w:t>
            </w:r>
            <w:r w:rsidR="004358F4" w:rsidRPr="00BE5A0D">
              <w:rPr>
                <w:sz w:val="20"/>
                <w:szCs w:val="20"/>
              </w:rPr>
              <w:t>servicios de mercado</w:t>
            </w:r>
            <w:r w:rsidR="004358F4">
              <w:rPr>
                <w:sz w:val="20"/>
                <w:szCs w:val="20"/>
              </w:rPr>
              <w:t xml:space="preserve"> se defi</w:t>
            </w:r>
            <w:r w:rsidR="004358F4" w:rsidRPr="004358F4">
              <w:rPr>
                <w:sz w:val="20"/>
                <w:szCs w:val="20"/>
              </w:rPr>
              <w:t>nen</w:t>
            </w:r>
            <w:r w:rsidR="004358F4">
              <w:rPr>
                <w:sz w:val="20"/>
                <w:szCs w:val="20"/>
              </w:rPr>
              <w:t xml:space="preserve"> </w:t>
            </w:r>
            <w:r w:rsidR="004358F4" w:rsidRPr="004358F4">
              <w:rPr>
                <w:sz w:val="20"/>
                <w:szCs w:val="20"/>
              </w:rPr>
              <w:t>como la diferencia restante con el total de servicios.</w:t>
            </w:r>
            <w:r w:rsidR="004358F4">
              <w:rPr>
                <w:sz w:val="20"/>
                <w:szCs w:val="20"/>
              </w:rPr>
              <w:t xml:space="preserve"> </w:t>
            </w:r>
            <w:r w:rsidR="004358F4" w:rsidRPr="004358F4">
              <w:rPr>
                <w:sz w:val="20"/>
                <w:szCs w:val="20"/>
              </w:rPr>
              <w:t>La</w:t>
            </w:r>
            <w:r w:rsidR="004358F4">
              <w:rPr>
                <w:sz w:val="20"/>
                <w:szCs w:val="20"/>
              </w:rPr>
              <w:t xml:space="preserve"> </w:t>
            </w:r>
            <w:r w:rsidR="004358F4" w:rsidRPr="004358F4">
              <w:rPr>
                <w:sz w:val="20"/>
                <w:szCs w:val="20"/>
              </w:rPr>
              <w:t>última observación corresponde al tercer trimestre de 2014.</w:t>
            </w:r>
          </w:p>
          <w:p w:rsidR="009F68F0" w:rsidRPr="00FE1D6E" w:rsidRDefault="009F68F0" w:rsidP="00FC0B48">
            <w:pPr>
              <w:ind w:left="1138" w:right="1692"/>
              <w:rPr>
                <w:color w:val="221F1F"/>
                <w:spacing w:val="1"/>
                <w:sz w:val="20"/>
                <w:szCs w:val="20"/>
              </w:rPr>
            </w:pPr>
            <w:r w:rsidRPr="00FE1D6E">
              <w:rPr>
                <w:color w:val="221F1F"/>
                <w:spacing w:val="1"/>
                <w:sz w:val="20"/>
                <w:szCs w:val="20"/>
              </w:rPr>
              <w:t xml:space="preserve">FUENTE: </w:t>
            </w:r>
            <w:proofErr w:type="spellStart"/>
            <w:r w:rsidR="004358F4" w:rsidRPr="004358F4">
              <w:rPr>
                <w:color w:val="221F1F"/>
                <w:spacing w:val="1"/>
                <w:sz w:val="20"/>
                <w:szCs w:val="20"/>
              </w:rPr>
              <w:t>Eurostat</w:t>
            </w:r>
            <w:proofErr w:type="spellEnd"/>
            <w:r w:rsidR="004358F4" w:rsidRPr="004358F4">
              <w:rPr>
                <w:color w:val="221F1F"/>
                <w:spacing w:val="1"/>
                <w:sz w:val="20"/>
                <w:szCs w:val="20"/>
              </w:rPr>
              <w:t xml:space="preserve"> y cálculos del BCE.</w:t>
            </w:r>
          </w:p>
        </w:tc>
      </w:tr>
    </w:tbl>
    <w:p w:rsidR="0023171E" w:rsidRDefault="0023171E" w:rsidP="0023171E">
      <w:pPr>
        <w:spacing w:before="360" w:after="360" w:line="360" w:lineRule="auto"/>
        <w:jc w:val="both"/>
        <w:rPr>
          <w:sz w:val="26"/>
          <w:szCs w:val="26"/>
        </w:rPr>
      </w:pPr>
      <w:r w:rsidRPr="0023171E">
        <w:rPr>
          <w:sz w:val="26"/>
          <w:szCs w:val="26"/>
        </w:rPr>
        <w:t xml:space="preserve">La debilidad del crecimiento de los salarios y de la tasa de variación de los precios de los servicios puede deberse a diversos factores. Es posible que, en gran medida, refleje el elevado grado de holgura de la economía y del mercado de trabajo en la zona del euro. Además, los efectos indirectos de la caída de los precios del petróleo también han contribuido recientemente al descenso de los precios de los servicios de transporte, como el transporte aéreo, en el que los combustibles son un importante factor de </w:t>
      </w:r>
      <w:r w:rsidR="00601452">
        <w:rPr>
          <w:sz w:val="26"/>
          <w:szCs w:val="26"/>
        </w:rPr>
        <w:t>costo</w:t>
      </w:r>
      <w:r w:rsidRPr="0023171E">
        <w:rPr>
          <w:sz w:val="26"/>
          <w:szCs w:val="26"/>
        </w:rPr>
        <w:t>s. Además, puede indicar una mayor flexibilidad de los salarios y los precios en algunos países de la zona del euro resultante de las reformas estructurales emprendidas en los mercados de productos y de trabajo en los últimos años (</w:t>
      </w:r>
      <w:r w:rsidR="0079234F">
        <w:rPr>
          <w:sz w:val="26"/>
          <w:szCs w:val="26"/>
        </w:rPr>
        <w:t>ver gráfica siguiente</w:t>
      </w:r>
      <w:r w:rsidRPr="0023171E">
        <w:rPr>
          <w:sz w:val="26"/>
          <w:szCs w:val="26"/>
        </w:rPr>
        <w:t>).</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F66455" w:rsidRPr="00FE1D6E" w:rsidTr="007D69FB">
        <w:tc>
          <w:tcPr>
            <w:tcW w:w="8604" w:type="dxa"/>
          </w:tcPr>
          <w:p w:rsidR="00F66455" w:rsidRDefault="00F66455" w:rsidP="00F66455">
            <w:pPr>
              <w:jc w:val="center"/>
              <w:rPr>
                <w:b/>
                <w:sz w:val="22"/>
                <w:szCs w:val="22"/>
              </w:rPr>
            </w:pPr>
            <w:r w:rsidRPr="00F66455">
              <w:rPr>
                <w:b/>
                <w:sz w:val="22"/>
                <w:szCs w:val="22"/>
              </w:rPr>
              <w:lastRenderedPageBreak/>
              <w:t>TASA DE VARIACIÓN DE LOS PRECIOS DE LOS</w:t>
            </w:r>
            <w:r>
              <w:rPr>
                <w:b/>
                <w:sz w:val="22"/>
                <w:szCs w:val="22"/>
              </w:rPr>
              <w:t xml:space="preserve"> </w:t>
            </w:r>
            <w:r w:rsidRPr="00F66455">
              <w:rPr>
                <w:b/>
                <w:sz w:val="22"/>
                <w:szCs w:val="22"/>
              </w:rPr>
              <w:t xml:space="preserve">SERVICIOS </w:t>
            </w:r>
          </w:p>
          <w:p w:rsidR="00F66455" w:rsidRDefault="00F66455" w:rsidP="00F66455">
            <w:pPr>
              <w:jc w:val="center"/>
              <w:rPr>
                <w:b/>
                <w:sz w:val="22"/>
                <w:szCs w:val="22"/>
              </w:rPr>
            </w:pPr>
            <w:r w:rsidRPr="00F66455">
              <w:rPr>
                <w:b/>
                <w:sz w:val="22"/>
                <w:szCs w:val="22"/>
              </w:rPr>
              <w:t>EN LA ZONA DEL EURO</w:t>
            </w:r>
          </w:p>
          <w:p w:rsidR="00F66455" w:rsidRPr="00FE1D6E" w:rsidRDefault="00F66455" w:rsidP="00F66455">
            <w:pPr>
              <w:jc w:val="center"/>
              <w:rPr>
                <w:color w:val="221F1F"/>
                <w:spacing w:val="1"/>
                <w:sz w:val="26"/>
                <w:szCs w:val="26"/>
              </w:rPr>
            </w:pPr>
            <w:r w:rsidRPr="00FE1D6E">
              <w:rPr>
                <w:color w:val="221F1F"/>
                <w:spacing w:val="1"/>
                <w:sz w:val="22"/>
                <w:szCs w:val="22"/>
              </w:rPr>
              <w:t>- Tasas de variación interanual</w:t>
            </w:r>
            <w:r>
              <w:rPr>
                <w:color w:val="221F1F"/>
                <w:spacing w:val="1"/>
                <w:sz w:val="22"/>
                <w:szCs w:val="22"/>
              </w:rPr>
              <w:t xml:space="preserve">; </w:t>
            </w:r>
            <w:r w:rsidRPr="00641893">
              <w:rPr>
                <w:color w:val="221F1F"/>
                <w:spacing w:val="1"/>
                <w:sz w:val="22"/>
                <w:szCs w:val="22"/>
              </w:rPr>
              <w:t>contribuciones en puntos porcentuales</w:t>
            </w:r>
            <w:r>
              <w:rPr>
                <w:color w:val="221F1F"/>
                <w:spacing w:val="1"/>
                <w:sz w:val="22"/>
                <w:szCs w:val="22"/>
              </w:rPr>
              <w:t xml:space="preserve"> -</w:t>
            </w:r>
          </w:p>
        </w:tc>
      </w:tr>
      <w:tr w:rsidR="00F66455" w:rsidRPr="00FE1D6E" w:rsidTr="003F5D0D">
        <w:trPr>
          <w:trHeight w:val="5481"/>
        </w:trPr>
        <w:tc>
          <w:tcPr>
            <w:tcW w:w="8604" w:type="dxa"/>
          </w:tcPr>
          <w:p w:rsidR="00F66455" w:rsidRPr="00FE1D6E" w:rsidRDefault="00F66455" w:rsidP="007D69FB">
            <w:pPr>
              <w:jc w:val="center"/>
              <w:rPr>
                <w:color w:val="221F1F"/>
                <w:spacing w:val="1"/>
                <w:sz w:val="26"/>
                <w:szCs w:val="26"/>
              </w:rPr>
            </w:pPr>
            <w:r w:rsidRPr="00FE1D6E">
              <w:rPr>
                <w:noProof/>
                <w:lang w:val="es-MX" w:eastAsia="es-MX"/>
              </w:rPr>
              <mc:AlternateContent>
                <mc:Choice Requires="wps">
                  <w:drawing>
                    <wp:anchor distT="0" distB="0" distL="114300" distR="114300" simplePos="0" relativeHeight="251738112" behindDoc="0" locked="0" layoutInCell="1" allowOverlap="1" wp14:anchorId="6032F5E1" wp14:editId="1E0F919B">
                      <wp:simplePos x="0" y="0"/>
                      <wp:positionH relativeFrom="column">
                        <wp:posOffset>4215721</wp:posOffset>
                      </wp:positionH>
                      <wp:positionV relativeFrom="paragraph">
                        <wp:posOffset>644126</wp:posOffset>
                      </wp:positionV>
                      <wp:extent cx="397576" cy="2700670"/>
                      <wp:effectExtent l="0" t="0" r="2540" b="4445"/>
                      <wp:wrapNone/>
                      <wp:docPr id="29" name="Cuadro de texto 29"/>
                      <wp:cNvGraphicFramePr/>
                      <a:graphic xmlns:a="http://schemas.openxmlformats.org/drawingml/2006/main">
                        <a:graphicData uri="http://schemas.microsoft.com/office/word/2010/wordprocessingShape">
                          <wps:wsp>
                            <wps:cNvSpPr txBox="1"/>
                            <wps:spPr>
                              <a:xfrm>
                                <a:off x="0" y="0"/>
                                <a:ext cx="397576" cy="2700670"/>
                              </a:xfrm>
                              <a:prstGeom prst="rect">
                                <a:avLst/>
                              </a:prstGeom>
                              <a:solidFill>
                                <a:sysClr val="window" lastClr="FFFFFF"/>
                              </a:solidFill>
                              <a:ln w="6350">
                                <a:noFill/>
                              </a:ln>
                              <a:effectLst/>
                            </wps:spPr>
                            <wps:txbx>
                              <w:txbxContent>
                                <w:p w:rsidR="00A14B35" w:rsidRPr="00F66455" w:rsidRDefault="00A14B35" w:rsidP="00F66455">
                                  <w:pPr>
                                    <w:spacing w:after="20" w:line="720" w:lineRule="auto"/>
                                    <w:jc w:val="right"/>
                                    <w:rPr>
                                      <w:sz w:val="18"/>
                                      <w:szCs w:val="18"/>
                                    </w:rPr>
                                  </w:pPr>
                                  <w:r w:rsidRPr="00F66455">
                                    <w:rPr>
                                      <w:sz w:val="18"/>
                                      <w:szCs w:val="18"/>
                                    </w:rPr>
                                    <w:t>3.0</w:t>
                                  </w:r>
                                </w:p>
                                <w:p w:rsidR="00A14B35" w:rsidRPr="00F66455" w:rsidRDefault="00A14B35" w:rsidP="00F66455">
                                  <w:pPr>
                                    <w:spacing w:after="20" w:line="720" w:lineRule="auto"/>
                                    <w:jc w:val="right"/>
                                    <w:rPr>
                                      <w:sz w:val="18"/>
                                      <w:szCs w:val="18"/>
                                    </w:rPr>
                                  </w:pPr>
                                  <w:r w:rsidRPr="00F66455">
                                    <w:rPr>
                                      <w:sz w:val="18"/>
                                      <w:szCs w:val="18"/>
                                    </w:rPr>
                                    <w:t>2.5</w:t>
                                  </w:r>
                                </w:p>
                                <w:p w:rsidR="00A14B35" w:rsidRPr="00F66455" w:rsidRDefault="00A14B35" w:rsidP="00F66455">
                                  <w:pPr>
                                    <w:spacing w:after="20" w:line="720" w:lineRule="auto"/>
                                    <w:jc w:val="right"/>
                                    <w:rPr>
                                      <w:sz w:val="18"/>
                                      <w:szCs w:val="18"/>
                                    </w:rPr>
                                  </w:pPr>
                                  <w:r w:rsidRPr="00F66455">
                                    <w:rPr>
                                      <w:sz w:val="18"/>
                                      <w:szCs w:val="18"/>
                                    </w:rPr>
                                    <w:t>2.0</w:t>
                                  </w:r>
                                </w:p>
                                <w:p w:rsidR="00A14B35" w:rsidRPr="00F66455" w:rsidRDefault="00A14B35" w:rsidP="00F66455">
                                  <w:pPr>
                                    <w:spacing w:after="20" w:line="720" w:lineRule="auto"/>
                                    <w:jc w:val="right"/>
                                    <w:rPr>
                                      <w:sz w:val="18"/>
                                      <w:szCs w:val="18"/>
                                    </w:rPr>
                                  </w:pPr>
                                  <w:r w:rsidRPr="00F66455">
                                    <w:rPr>
                                      <w:sz w:val="18"/>
                                      <w:szCs w:val="18"/>
                                    </w:rPr>
                                    <w:t>1.5</w:t>
                                  </w:r>
                                </w:p>
                                <w:p w:rsidR="00A14B35" w:rsidRPr="00F66455" w:rsidRDefault="00A14B35" w:rsidP="00F66455">
                                  <w:pPr>
                                    <w:spacing w:after="20" w:line="720" w:lineRule="auto"/>
                                    <w:jc w:val="right"/>
                                    <w:rPr>
                                      <w:sz w:val="18"/>
                                      <w:szCs w:val="18"/>
                                    </w:rPr>
                                  </w:pPr>
                                  <w:r w:rsidRPr="00F66455">
                                    <w:rPr>
                                      <w:sz w:val="18"/>
                                      <w:szCs w:val="18"/>
                                    </w:rPr>
                                    <w:t>1.0</w:t>
                                  </w:r>
                                </w:p>
                                <w:p w:rsidR="00A14B35" w:rsidRPr="00F66455" w:rsidRDefault="00A14B35" w:rsidP="00F66455">
                                  <w:pPr>
                                    <w:spacing w:after="20" w:line="720" w:lineRule="auto"/>
                                    <w:jc w:val="right"/>
                                    <w:rPr>
                                      <w:sz w:val="18"/>
                                      <w:szCs w:val="18"/>
                                    </w:rPr>
                                  </w:pPr>
                                  <w:r w:rsidRPr="00F66455">
                                    <w:rPr>
                                      <w:sz w:val="18"/>
                                      <w:szCs w:val="18"/>
                                    </w:rPr>
                                    <w:t>0.5</w:t>
                                  </w:r>
                                </w:p>
                                <w:p w:rsidR="00A14B35" w:rsidRPr="00F66455" w:rsidRDefault="00A14B35" w:rsidP="00F66455">
                                  <w:pPr>
                                    <w:spacing w:after="20" w:line="720" w:lineRule="auto"/>
                                    <w:jc w:val="right"/>
                                    <w:rPr>
                                      <w:sz w:val="18"/>
                                      <w:szCs w:val="18"/>
                                    </w:rPr>
                                  </w:pPr>
                                  <w:r w:rsidRPr="00F66455">
                                    <w:rPr>
                                      <w:sz w:val="18"/>
                                      <w:szCs w:val="18"/>
                                    </w:rPr>
                                    <w:t>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2F5E1" id="Cuadro de texto 29" o:spid="_x0000_s1064" type="#_x0000_t202" style="position:absolute;left:0;text-align:left;margin-left:331.95pt;margin-top:50.7pt;width:31.3pt;height:212.6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" fillcolor="window" stroked="f" strokeweight=".5pt">
                      <v:textbox>
                        <w:txbxContent>
                          <w:p w:rsidR="00A14B35" w:rsidRPr="00F66455" w:rsidRDefault="00A14B35" w:rsidP="00F66455">
                            <w:pPr>
                              <w:spacing w:after="20" w:line="720" w:lineRule="auto"/>
                              <w:jc w:val="right"/>
                              <w:rPr>
                                <w:sz w:val="18"/>
                                <w:szCs w:val="18"/>
                              </w:rPr>
                            </w:pPr>
                            <w:r w:rsidRPr="00F66455">
                              <w:rPr>
                                <w:sz w:val="18"/>
                                <w:szCs w:val="18"/>
                              </w:rPr>
                              <w:t>3.0</w:t>
                            </w:r>
                          </w:p>
                          <w:p w:rsidR="00A14B35" w:rsidRPr="00F66455" w:rsidRDefault="00A14B35" w:rsidP="00F66455">
                            <w:pPr>
                              <w:spacing w:after="20" w:line="720" w:lineRule="auto"/>
                              <w:jc w:val="right"/>
                              <w:rPr>
                                <w:sz w:val="18"/>
                                <w:szCs w:val="18"/>
                              </w:rPr>
                            </w:pPr>
                            <w:r w:rsidRPr="00F66455">
                              <w:rPr>
                                <w:sz w:val="18"/>
                                <w:szCs w:val="18"/>
                              </w:rPr>
                              <w:t>2.5</w:t>
                            </w:r>
                          </w:p>
                          <w:p w:rsidR="00A14B35" w:rsidRPr="00F66455" w:rsidRDefault="00A14B35" w:rsidP="00F66455">
                            <w:pPr>
                              <w:spacing w:after="20" w:line="720" w:lineRule="auto"/>
                              <w:jc w:val="right"/>
                              <w:rPr>
                                <w:sz w:val="18"/>
                                <w:szCs w:val="18"/>
                              </w:rPr>
                            </w:pPr>
                            <w:r w:rsidRPr="00F66455">
                              <w:rPr>
                                <w:sz w:val="18"/>
                                <w:szCs w:val="18"/>
                              </w:rPr>
                              <w:t>2.0</w:t>
                            </w:r>
                          </w:p>
                          <w:p w:rsidR="00A14B35" w:rsidRPr="00F66455" w:rsidRDefault="00A14B35" w:rsidP="00F66455">
                            <w:pPr>
                              <w:spacing w:after="20" w:line="720" w:lineRule="auto"/>
                              <w:jc w:val="right"/>
                              <w:rPr>
                                <w:sz w:val="18"/>
                                <w:szCs w:val="18"/>
                              </w:rPr>
                            </w:pPr>
                            <w:r w:rsidRPr="00F66455">
                              <w:rPr>
                                <w:sz w:val="18"/>
                                <w:szCs w:val="18"/>
                              </w:rPr>
                              <w:t>1.5</w:t>
                            </w:r>
                          </w:p>
                          <w:p w:rsidR="00A14B35" w:rsidRPr="00F66455" w:rsidRDefault="00A14B35" w:rsidP="00F66455">
                            <w:pPr>
                              <w:spacing w:after="20" w:line="720" w:lineRule="auto"/>
                              <w:jc w:val="right"/>
                              <w:rPr>
                                <w:sz w:val="18"/>
                                <w:szCs w:val="18"/>
                              </w:rPr>
                            </w:pPr>
                            <w:r w:rsidRPr="00F66455">
                              <w:rPr>
                                <w:sz w:val="18"/>
                                <w:szCs w:val="18"/>
                              </w:rPr>
                              <w:t>1.0</w:t>
                            </w:r>
                          </w:p>
                          <w:p w:rsidR="00A14B35" w:rsidRPr="00F66455" w:rsidRDefault="00A14B35" w:rsidP="00F66455">
                            <w:pPr>
                              <w:spacing w:after="20" w:line="720" w:lineRule="auto"/>
                              <w:jc w:val="right"/>
                              <w:rPr>
                                <w:sz w:val="18"/>
                                <w:szCs w:val="18"/>
                              </w:rPr>
                            </w:pPr>
                            <w:r w:rsidRPr="00F66455">
                              <w:rPr>
                                <w:sz w:val="18"/>
                                <w:szCs w:val="18"/>
                              </w:rPr>
                              <w:t>0.5</w:t>
                            </w:r>
                          </w:p>
                          <w:p w:rsidR="00A14B35" w:rsidRPr="00F66455" w:rsidRDefault="00A14B35" w:rsidP="00F66455">
                            <w:pPr>
                              <w:spacing w:after="20" w:line="720" w:lineRule="auto"/>
                              <w:jc w:val="right"/>
                              <w:rPr>
                                <w:sz w:val="18"/>
                                <w:szCs w:val="18"/>
                              </w:rPr>
                            </w:pPr>
                            <w:r w:rsidRPr="00F66455">
                              <w:rPr>
                                <w:sz w:val="18"/>
                                <w:szCs w:val="18"/>
                              </w:rPr>
                              <w:t>0.0</w:t>
                            </w:r>
                          </w:p>
                        </w:txbxContent>
                      </v:textbox>
                    </v:shape>
                  </w:pict>
                </mc:Fallback>
              </mc:AlternateContent>
            </w:r>
            <w:r w:rsidRPr="00FE1D6E">
              <w:rPr>
                <w:noProof/>
                <w:lang w:val="es-MX" w:eastAsia="es-MX"/>
              </w:rPr>
              <mc:AlternateContent>
                <mc:Choice Requires="wps">
                  <w:drawing>
                    <wp:anchor distT="0" distB="0" distL="114300" distR="114300" simplePos="0" relativeHeight="251736064" behindDoc="0" locked="0" layoutInCell="1" allowOverlap="1" wp14:anchorId="6400D638" wp14:editId="0F271B95">
                      <wp:simplePos x="0" y="0"/>
                      <wp:positionH relativeFrom="column">
                        <wp:posOffset>711983</wp:posOffset>
                      </wp:positionH>
                      <wp:positionV relativeFrom="paragraph">
                        <wp:posOffset>639298</wp:posOffset>
                      </wp:positionV>
                      <wp:extent cx="397576" cy="2700670"/>
                      <wp:effectExtent l="0" t="0" r="2540" b="4445"/>
                      <wp:wrapNone/>
                      <wp:docPr id="4" name="Cuadro de texto 4"/>
                      <wp:cNvGraphicFramePr/>
                      <a:graphic xmlns:a="http://schemas.openxmlformats.org/drawingml/2006/main">
                        <a:graphicData uri="http://schemas.microsoft.com/office/word/2010/wordprocessingShape">
                          <wps:wsp>
                            <wps:cNvSpPr txBox="1"/>
                            <wps:spPr>
                              <a:xfrm>
                                <a:off x="0" y="0"/>
                                <a:ext cx="397576" cy="2700670"/>
                              </a:xfrm>
                              <a:prstGeom prst="rect">
                                <a:avLst/>
                              </a:prstGeom>
                              <a:solidFill>
                                <a:sysClr val="window" lastClr="FFFFFF"/>
                              </a:solidFill>
                              <a:ln w="6350">
                                <a:noFill/>
                              </a:ln>
                              <a:effectLst/>
                            </wps:spPr>
                            <wps:txbx>
                              <w:txbxContent>
                                <w:p w:rsidR="00A14B35" w:rsidRPr="00F66455" w:rsidRDefault="00A14B35" w:rsidP="00F66455">
                                  <w:pPr>
                                    <w:spacing w:after="20" w:line="720" w:lineRule="auto"/>
                                    <w:jc w:val="right"/>
                                    <w:rPr>
                                      <w:sz w:val="18"/>
                                      <w:szCs w:val="18"/>
                                    </w:rPr>
                                  </w:pPr>
                                  <w:r w:rsidRPr="00F66455">
                                    <w:rPr>
                                      <w:sz w:val="18"/>
                                      <w:szCs w:val="18"/>
                                    </w:rPr>
                                    <w:t>3.0</w:t>
                                  </w:r>
                                </w:p>
                                <w:p w:rsidR="00A14B35" w:rsidRPr="00F66455" w:rsidRDefault="00A14B35" w:rsidP="00F66455">
                                  <w:pPr>
                                    <w:spacing w:after="20" w:line="720" w:lineRule="auto"/>
                                    <w:jc w:val="right"/>
                                    <w:rPr>
                                      <w:sz w:val="18"/>
                                      <w:szCs w:val="18"/>
                                    </w:rPr>
                                  </w:pPr>
                                  <w:r w:rsidRPr="00F66455">
                                    <w:rPr>
                                      <w:sz w:val="18"/>
                                      <w:szCs w:val="18"/>
                                    </w:rPr>
                                    <w:t>2.5</w:t>
                                  </w:r>
                                </w:p>
                                <w:p w:rsidR="00A14B35" w:rsidRPr="00F66455" w:rsidRDefault="00A14B35" w:rsidP="00F66455">
                                  <w:pPr>
                                    <w:spacing w:after="20" w:line="720" w:lineRule="auto"/>
                                    <w:jc w:val="right"/>
                                    <w:rPr>
                                      <w:sz w:val="18"/>
                                      <w:szCs w:val="18"/>
                                    </w:rPr>
                                  </w:pPr>
                                  <w:r w:rsidRPr="00F66455">
                                    <w:rPr>
                                      <w:sz w:val="18"/>
                                      <w:szCs w:val="18"/>
                                    </w:rPr>
                                    <w:t>2.0</w:t>
                                  </w:r>
                                </w:p>
                                <w:p w:rsidR="00A14B35" w:rsidRPr="00F66455" w:rsidRDefault="00A14B35" w:rsidP="00F66455">
                                  <w:pPr>
                                    <w:spacing w:after="20" w:line="720" w:lineRule="auto"/>
                                    <w:jc w:val="right"/>
                                    <w:rPr>
                                      <w:sz w:val="18"/>
                                      <w:szCs w:val="18"/>
                                    </w:rPr>
                                  </w:pPr>
                                  <w:r w:rsidRPr="00F66455">
                                    <w:rPr>
                                      <w:sz w:val="18"/>
                                      <w:szCs w:val="18"/>
                                    </w:rPr>
                                    <w:t>1.5</w:t>
                                  </w:r>
                                </w:p>
                                <w:p w:rsidR="00A14B35" w:rsidRPr="00F66455" w:rsidRDefault="00A14B35" w:rsidP="00F66455">
                                  <w:pPr>
                                    <w:spacing w:after="20" w:line="720" w:lineRule="auto"/>
                                    <w:jc w:val="right"/>
                                    <w:rPr>
                                      <w:sz w:val="18"/>
                                      <w:szCs w:val="18"/>
                                    </w:rPr>
                                  </w:pPr>
                                  <w:r w:rsidRPr="00F66455">
                                    <w:rPr>
                                      <w:sz w:val="18"/>
                                      <w:szCs w:val="18"/>
                                    </w:rPr>
                                    <w:t>1.0</w:t>
                                  </w:r>
                                </w:p>
                                <w:p w:rsidR="00A14B35" w:rsidRPr="00F66455" w:rsidRDefault="00A14B35" w:rsidP="00F66455">
                                  <w:pPr>
                                    <w:spacing w:after="20" w:line="720" w:lineRule="auto"/>
                                    <w:jc w:val="right"/>
                                    <w:rPr>
                                      <w:sz w:val="18"/>
                                      <w:szCs w:val="18"/>
                                    </w:rPr>
                                  </w:pPr>
                                  <w:r w:rsidRPr="00F66455">
                                    <w:rPr>
                                      <w:sz w:val="18"/>
                                      <w:szCs w:val="18"/>
                                    </w:rPr>
                                    <w:t>0.5</w:t>
                                  </w:r>
                                </w:p>
                                <w:p w:rsidR="00A14B35" w:rsidRPr="00F66455" w:rsidRDefault="00A14B35" w:rsidP="00F66455">
                                  <w:pPr>
                                    <w:spacing w:after="20" w:line="720" w:lineRule="auto"/>
                                    <w:jc w:val="right"/>
                                    <w:rPr>
                                      <w:sz w:val="18"/>
                                      <w:szCs w:val="18"/>
                                    </w:rPr>
                                  </w:pPr>
                                  <w:r w:rsidRPr="00F66455">
                                    <w:rPr>
                                      <w:sz w:val="18"/>
                                      <w:szCs w:val="18"/>
                                    </w:rPr>
                                    <w:t>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00D638" id="Cuadro de texto 4" o:spid="_x0000_s1065" type="#_x0000_t202" style="position:absolute;left:0;text-align:left;margin-left:56.05pt;margin-top:50.35pt;width:31.3pt;height:212.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" fillcolor="window" stroked="f" strokeweight=".5pt">
                      <v:textbox>
                        <w:txbxContent>
                          <w:p w:rsidR="00A14B35" w:rsidRPr="00F66455" w:rsidRDefault="00A14B35" w:rsidP="00F66455">
                            <w:pPr>
                              <w:spacing w:after="20" w:line="720" w:lineRule="auto"/>
                              <w:jc w:val="right"/>
                              <w:rPr>
                                <w:sz w:val="18"/>
                                <w:szCs w:val="18"/>
                              </w:rPr>
                            </w:pPr>
                            <w:r w:rsidRPr="00F66455">
                              <w:rPr>
                                <w:sz w:val="18"/>
                                <w:szCs w:val="18"/>
                              </w:rPr>
                              <w:t>3.0</w:t>
                            </w:r>
                          </w:p>
                          <w:p w:rsidR="00A14B35" w:rsidRPr="00F66455" w:rsidRDefault="00A14B35" w:rsidP="00F66455">
                            <w:pPr>
                              <w:spacing w:after="20" w:line="720" w:lineRule="auto"/>
                              <w:jc w:val="right"/>
                              <w:rPr>
                                <w:sz w:val="18"/>
                                <w:szCs w:val="18"/>
                              </w:rPr>
                            </w:pPr>
                            <w:r w:rsidRPr="00F66455">
                              <w:rPr>
                                <w:sz w:val="18"/>
                                <w:szCs w:val="18"/>
                              </w:rPr>
                              <w:t>2.5</w:t>
                            </w:r>
                          </w:p>
                          <w:p w:rsidR="00A14B35" w:rsidRPr="00F66455" w:rsidRDefault="00A14B35" w:rsidP="00F66455">
                            <w:pPr>
                              <w:spacing w:after="20" w:line="720" w:lineRule="auto"/>
                              <w:jc w:val="right"/>
                              <w:rPr>
                                <w:sz w:val="18"/>
                                <w:szCs w:val="18"/>
                              </w:rPr>
                            </w:pPr>
                            <w:r w:rsidRPr="00F66455">
                              <w:rPr>
                                <w:sz w:val="18"/>
                                <w:szCs w:val="18"/>
                              </w:rPr>
                              <w:t>2.0</w:t>
                            </w:r>
                          </w:p>
                          <w:p w:rsidR="00A14B35" w:rsidRPr="00F66455" w:rsidRDefault="00A14B35" w:rsidP="00F66455">
                            <w:pPr>
                              <w:spacing w:after="20" w:line="720" w:lineRule="auto"/>
                              <w:jc w:val="right"/>
                              <w:rPr>
                                <w:sz w:val="18"/>
                                <w:szCs w:val="18"/>
                              </w:rPr>
                            </w:pPr>
                            <w:r w:rsidRPr="00F66455">
                              <w:rPr>
                                <w:sz w:val="18"/>
                                <w:szCs w:val="18"/>
                              </w:rPr>
                              <w:t>1.5</w:t>
                            </w:r>
                          </w:p>
                          <w:p w:rsidR="00A14B35" w:rsidRPr="00F66455" w:rsidRDefault="00A14B35" w:rsidP="00F66455">
                            <w:pPr>
                              <w:spacing w:after="20" w:line="720" w:lineRule="auto"/>
                              <w:jc w:val="right"/>
                              <w:rPr>
                                <w:sz w:val="18"/>
                                <w:szCs w:val="18"/>
                              </w:rPr>
                            </w:pPr>
                            <w:r w:rsidRPr="00F66455">
                              <w:rPr>
                                <w:sz w:val="18"/>
                                <w:szCs w:val="18"/>
                              </w:rPr>
                              <w:t>1.0</w:t>
                            </w:r>
                          </w:p>
                          <w:p w:rsidR="00A14B35" w:rsidRPr="00F66455" w:rsidRDefault="00A14B35" w:rsidP="00F66455">
                            <w:pPr>
                              <w:spacing w:after="20" w:line="720" w:lineRule="auto"/>
                              <w:jc w:val="right"/>
                              <w:rPr>
                                <w:sz w:val="18"/>
                                <w:szCs w:val="18"/>
                              </w:rPr>
                            </w:pPr>
                            <w:r w:rsidRPr="00F66455">
                              <w:rPr>
                                <w:sz w:val="18"/>
                                <w:szCs w:val="18"/>
                              </w:rPr>
                              <w:t>0.5</w:t>
                            </w:r>
                          </w:p>
                          <w:p w:rsidR="00A14B35" w:rsidRPr="00F66455" w:rsidRDefault="00A14B35" w:rsidP="00F66455">
                            <w:pPr>
                              <w:spacing w:after="20" w:line="720" w:lineRule="auto"/>
                              <w:jc w:val="right"/>
                              <w:rPr>
                                <w:sz w:val="18"/>
                                <w:szCs w:val="18"/>
                              </w:rPr>
                            </w:pPr>
                            <w:r w:rsidRPr="00F66455">
                              <w:rPr>
                                <w:sz w:val="18"/>
                                <w:szCs w:val="18"/>
                              </w:rPr>
                              <w:t>0.0</w:t>
                            </w:r>
                          </w:p>
                        </w:txbxContent>
                      </v:textbox>
                    </v:shape>
                  </w:pict>
                </mc:Fallback>
              </mc:AlternateContent>
            </w:r>
            <w:r>
              <w:rPr>
                <w:noProof/>
                <w:lang w:val="es-MX" w:eastAsia="es-MX"/>
              </w:rPr>
              <w:drawing>
                <wp:inline distT="0" distB="0" distL="0" distR="0" wp14:anchorId="6A59D28E" wp14:editId="12EF90F8">
                  <wp:extent cx="3615445" cy="3465786"/>
                  <wp:effectExtent l="0" t="0" r="4445" b="190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7314" t="23585" r="25935" b="13754"/>
                          <a:stretch/>
                        </pic:blipFill>
                        <pic:spPr bwMode="auto">
                          <a:xfrm>
                            <a:off x="0" y="0"/>
                            <a:ext cx="3628317" cy="3478125"/>
                          </a:xfrm>
                          <a:prstGeom prst="rect">
                            <a:avLst/>
                          </a:prstGeom>
                          <a:ln>
                            <a:noFill/>
                          </a:ln>
                          <a:extLst>
                            <a:ext uri="{53640926-AAD7-44D8-BBD7-CCE9431645EC}">
                              <a14:shadowObscured xmlns:a14="http://schemas.microsoft.com/office/drawing/2010/main"/>
                            </a:ext>
                          </a:extLst>
                        </pic:spPr>
                      </pic:pic>
                    </a:graphicData>
                  </a:graphic>
                </wp:inline>
              </w:drawing>
            </w:r>
          </w:p>
        </w:tc>
      </w:tr>
      <w:tr w:rsidR="00F66455" w:rsidRPr="00FE1D6E" w:rsidTr="007D69FB">
        <w:tc>
          <w:tcPr>
            <w:tcW w:w="8604" w:type="dxa"/>
          </w:tcPr>
          <w:p w:rsidR="00F66455" w:rsidRDefault="00F66455" w:rsidP="007D69FB">
            <w:pPr>
              <w:ind w:left="2020" w:hanging="602"/>
              <w:jc w:val="both"/>
              <w:rPr>
                <w:sz w:val="20"/>
                <w:szCs w:val="20"/>
              </w:rPr>
            </w:pPr>
            <w:r w:rsidRPr="0091140E">
              <w:rPr>
                <w:sz w:val="20"/>
                <w:szCs w:val="20"/>
              </w:rPr>
              <w:t xml:space="preserve">Notas: </w:t>
            </w:r>
            <w:r w:rsidRPr="00F66455">
              <w:rPr>
                <w:sz w:val="20"/>
                <w:szCs w:val="20"/>
              </w:rPr>
              <w:t>Las últimas observaciones corresponden a enero de 2015.</w:t>
            </w:r>
          </w:p>
          <w:p w:rsidR="00F66455" w:rsidRPr="00FE1D6E" w:rsidRDefault="00F66455" w:rsidP="007D69FB">
            <w:pPr>
              <w:ind w:left="1138"/>
              <w:rPr>
                <w:color w:val="221F1F"/>
                <w:spacing w:val="1"/>
                <w:sz w:val="20"/>
                <w:szCs w:val="20"/>
              </w:rPr>
            </w:pPr>
            <w:r w:rsidRPr="00FE1D6E">
              <w:rPr>
                <w:color w:val="221F1F"/>
                <w:spacing w:val="1"/>
                <w:sz w:val="20"/>
                <w:szCs w:val="20"/>
              </w:rPr>
              <w:t xml:space="preserve">FUENTE: </w:t>
            </w:r>
            <w:proofErr w:type="spellStart"/>
            <w:r w:rsidRPr="004358F4">
              <w:rPr>
                <w:color w:val="221F1F"/>
                <w:spacing w:val="1"/>
                <w:sz w:val="20"/>
                <w:szCs w:val="20"/>
              </w:rPr>
              <w:t>Eurostat</w:t>
            </w:r>
            <w:proofErr w:type="spellEnd"/>
            <w:r w:rsidRPr="004358F4">
              <w:rPr>
                <w:color w:val="221F1F"/>
                <w:spacing w:val="1"/>
                <w:sz w:val="20"/>
                <w:szCs w:val="20"/>
              </w:rPr>
              <w:t xml:space="preserve"> y cálculos del BCE.</w:t>
            </w:r>
          </w:p>
        </w:tc>
      </w:tr>
    </w:tbl>
    <w:p w:rsidR="0023171E" w:rsidRPr="0023171E" w:rsidRDefault="0023171E" w:rsidP="003F5D0D">
      <w:pPr>
        <w:spacing w:before="240" w:after="240" w:line="360" w:lineRule="auto"/>
        <w:jc w:val="both"/>
        <w:rPr>
          <w:sz w:val="26"/>
          <w:szCs w:val="26"/>
        </w:rPr>
      </w:pPr>
      <w:r w:rsidRPr="00BE5A0D">
        <w:rPr>
          <w:b/>
          <w:sz w:val="26"/>
          <w:szCs w:val="26"/>
        </w:rPr>
        <w:t>Es necesario realizar un seguimiento de la posibilidad de que se produzcan efectos de segunda vuelta derivados del descenso de los precios del petróleo.</w:t>
      </w:r>
      <w:r w:rsidRPr="0023171E">
        <w:rPr>
          <w:sz w:val="26"/>
          <w:szCs w:val="26"/>
        </w:rPr>
        <w:t xml:space="preserve"> Por una parte, un aumento de la flexibilidad salarial implicaría la posibilidad de que cualquier ajuste a la baja sea ahora más pronunciado. Por otro, una reducción significativa de la </w:t>
      </w:r>
      <w:proofErr w:type="spellStart"/>
      <w:r w:rsidRPr="0023171E">
        <w:rPr>
          <w:sz w:val="26"/>
          <w:szCs w:val="26"/>
        </w:rPr>
        <w:t>indiciación</w:t>
      </w:r>
      <w:proofErr w:type="spellEnd"/>
      <w:r w:rsidRPr="0023171E">
        <w:rPr>
          <w:sz w:val="26"/>
          <w:szCs w:val="26"/>
        </w:rPr>
        <w:t xml:space="preserve"> salarial automática puede significar que cualquier ajuste a la baja del crecimiento de los salarios sea menos acusado de lo que podría haber sido el caso anteriormente. Además, todavía persisten rigideces nominales de salarios en muchos países, lo que dificulta aún más los recortes salariales en términos absolutos.</w:t>
      </w:r>
    </w:p>
    <w:p w:rsidR="0023171E" w:rsidRDefault="0023171E" w:rsidP="003F5D0D">
      <w:pPr>
        <w:spacing w:before="240" w:after="240" w:line="360" w:lineRule="auto"/>
        <w:jc w:val="both"/>
        <w:rPr>
          <w:sz w:val="26"/>
          <w:szCs w:val="26"/>
        </w:rPr>
      </w:pPr>
      <w:r w:rsidRPr="00BE5A0D">
        <w:rPr>
          <w:b/>
          <w:sz w:val="26"/>
          <w:szCs w:val="26"/>
        </w:rPr>
        <w:t>Los indicadores de opinión de las expectativas de inflac</w:t>
      </w:r>
      <w:r w:rsidR="00BE5A0D">
        <w:rPr>
          <w:b/>
          <w:sz w:val="26"/>
          <w:szCs w:val="26"/>
        </w:rPr>
        <w:t>ión a largo plazo sugieren que é</w:t>
      </w:r>
      <w:r w:rsidRPr="00BE5A0D">
        <w:rPr>
          <w:b/>
          <w:sz w:val="26"/>
          <w:szCs w:val="26"/>
        </w:rPr>
        <w:t>sta retornará gradualmente a niveles próximos al 2</w:t>
      </w:r>
      <w:r w:rsidR="00FE1D6E" w:rsidRPr="00BE5A0D">
        <w:rPr>
          <w:b/>
          <w:sz w:val="26"/>
          <w:szCs w:val="26"/>
        </w:rPr>
        <w:t>%</w:t>
      </w:r>
      <w:r w:rsidRPr="0023171E">
        <w:rPr>
          <w:sz w:val="26"/>
          <w:szCs w:val="26"/>
        </w:rPr>
        <w:t xml:space="preserve"> (</w:t>
      </w:r>
      <w:r w:rsidR="003F5D0D">
        <w:rPr>
          <w:sz w:val="26"/>
          <w:szCs w:val="26"/>
        </w:rPr>
        <w:t>ver gráfica siguiente</w:t>
      </w:r>
      <w:r w:rsidRPr="0023171E">
        <w:rPr>
          <w:sz w:val="26"/>
          <w:szCs w:val="26"/>
        </w:rPr>
        <w:t>). Tras el reciente descenso de los precios del petróleo, las expectativas de inflación a más corto plazo basadas en indicadores de opinión han disminuido sustancialmente</w:t>
      </w:r>
      <w:r w:rsidR="002E7FE1">
        <w:rPr>
          <w:sz w:val="26"/>
          <w:szCs w:val="26"/>
        </w:rPr>
        <w:t xml:space="preserve"> (ver gráfica Indicadores de opinión de las expectativas de inflación)</w:t>
      </w:r>
      <w:r w:rsidRPr="0023171E">
        <w:rPr>
          <w:sz w:val="26"/>
          <w:szCs w:val="26"/>
        </w:rPr>
        <w:t xml:space="preserve">. No obstante, la </w:t>
      </w:r>
      <w:r w:rsidRPr="0023171E">
        <w:rPr>
          <w:sz w:val="26"/>
          <w:szCs w:val="26"/>
        </w:rPr>
        <w:lastRenderedPageBreak/>
        <w:t>reducción de las expectativas de inflación a largo plazo basadas en estos indicadores ha sido mucho menos pronunciada que la de las expectativas basadas en indicadores</w:t>
      </w:r>
      <w:r>
        <w:rPr>
          <w:sz w:val="26"/>
          <w:szCs w:val="26"/>
        </w:rPr>
        <w:t xml:space="preserve"> de mercado. En general, las ex</w:t>
      </w:r>
      <w:r w:rsidRPr="0023171E">
        <w:rPr>
          <w:sz w:val="26"/>
          <w:szCs w:val="26"/>
        </w:rPr>
        <w:t>pectativas de inflación parecen haberse reducido como consecuencia de las bajas tasas de inflación registradas, en un entorno de caída de los precios del petróleo y de otras materias primas, así como de debilidad del crecimiento.</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3670B5" w:rsidRPr="00FE1D6E" w:rsidTr="00A14B35">
        <w:tc>
          <w:tcPr>
            <w:tcW w:w="8604" w:type="dxa"/>
          </w:tcPr>
          <w:p w:rsidR="003670B5" w:rsidRDefault="003670B5" w:rsidP="003670B5">
            <w:pPr>
              <w:jc w:val="center"/>
              <w:rPr>
                <w:b/>
                <w:sz w:val="22"/>
                <w:szCs w:val="22"/>
              </w:rPr>
            </w:pPr>
            <w:r w:rsidRPr="003670B5">
              <w:rPr>
                <w:b/>
                <w:sz w:val="22"/>
                <w:szCs w:val="22"/>
              </w:rPr>
              <w:t>INDICADORES DE OPINIÓN DE LAS EXPECTATIVAS</w:t>
            </w:r>
            <w:r>
              <w:rPr>
                <w:b/>
                <w:sz w:val="22"/>
                <w:szCs w:val="22"/>
              </w:rPr>
              <w:t xml:space="preserve"> </w:t>
            </w:r>
            <w:r w:rsidRPr="003670B5">
              <w:rPr>
                <w:b/>
                <w:sz w:val="22"/>
                <w:szCs w:val="22"/>
              </w:rPr>
              <w:t>DE IN</w:t>
            </w:r>
            <w:r>
              <w:rPr>
                <w:b/>
                <w:sz w:val="22"/>
                <w:szCs w:val="22"/>
              </w:rPr>
              <w:t>FL</w:t>
            </w:r>
            <w:r w:rsidRPr="003670B5">
              <w:rPr>
                <w:b/>
                <w:sz w:val="22"/>
                <w:szCs w:val="22"/>
              </w:rPr>
              <w:t>ACIÓN</w:t>
            </w:r>
          </w:p>
          <w:p w:rsidR="003670B5" w:rsidRPr="00FE1D6E" w:rsidRDefault="003670B5" w:rsidP="003670B5">
            <w:pPr>
              <w:jc w:val="center"/>
              <w:rPr>
                <w:color w:val="221F1F"/>
                <w:spacing w:val="1"/>
                <w:sz w:val="26"/>
                <w:szCs w:val="26"/>
              </w:rPr>
            </w:pPr>
            <w:r w:rsidRPr="00FE1D6E">
              <w:rPr>
                <w:color w:val="221F1F"/>
                <w:spacing w:val="1"/>
                <w:sz w:val="22"/>
                <w:szCs w:val="22"/>
              </w:rPr>
              <w:t>- Tasas de variación interanual</w:t>
            </w:r>
            <w:r>
              <w:rPr>
                <w:color w:val="221F1F"/>
                <w:spacing w:val="1"/>
                <w:sz w:val="22"/>
                <w:szCs w:val="22"/>
              </w:rPr>
              <w:t xml:space="preserve"> -</w:t>
            </w:r>
          </w:p>
        </w:tc>
      </w:tr>
      <w:tr w:rsidR="003670B5" w:rsidRPr="00FE1D6E" w:rsidTr="003F5D0D">
        <w:trPr>
          <w:trHeight w:val="5304"/>
        </w:trPr>
        <w:tc>
          <w:tcPr>
            <w:tcW w:w="8604" w:type="dxa"/>
          </w:tcPr>
          <w:p w:rsidR="003670B5" w:rsidRPr="00FE1D6E" w:rsidRDefault="003670B5" w:rsidP="00A14B35">
            <w:pPr>
              <w:jc w:val="center"/>
              <w:rPr>
                <w:color w:val="221F1F"/>
                <w:spacing w:val="1"/>
                <w:sz w:val="26"/>
                <w:szCs w:val="26"/>
              </w:rPr>
            </w:pPr>
            <w:r>
              <w:rPr>
                <w:noProof/>
                <w:lang w:val="es-MX" w:eastAsia="es-MX"/>
              </w:rPr>
              <w:drawing>
                <wp:inline distT="0" distB="0" distL="0" distR="0" wp14:anchorId="46967AD8" wp14:editId="15F3813F">
                  <wp:extent cx="3257698" cy="3343701"/>
                  <wp:effectExtent l="0" t="0" r="0" b="9525"/>
                  <wp:docPr id="3166" name="Imagen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41575" t="15091" r="21625" b="17725"/>
                          <a:stretch/>
                        </pic:blipFill>
                        <pic:spPr bwMode="auto">
                          <a:xfrm>
                            <a:off x="0" y="0"/>
                            <a:ext cx="3275375" cy="3361844"/>
                          </a:xfrm>
                          <a:prstGeom prst="rect">
                            <a:avLst/>
                          </a:prstGeom>
                          <a:ln>
                            <a:noFill/>
                          </a:ln>
                          <a:extLst>
                            <a:ext uri="{53640926-AAD7-44D8-BBD7-CCE9431645EC}">
                              <a14:shadowObscured xmlns:a14="http://schemas.microsoft.com/office/drawing/2010/main"/>
                            </a:ext>
                          </a:extLst>
                        </pic:spPr>
                      </pic:pic>
                    </a:graphicData>
                  </a:graphic>
                </wp:inline>
              </w:drawing>
            </w:r>
          </w:p>
        </w:tc>
      </w:tr>
      <w:tr w:rsidR="003670B5" w:rsidRPr="00FE1D6E" w:rsidTr="003F5D0D">
        <w:trPr>
          <w:trHeight w:val="596"/>
        </w:trPr>
        <w:tc>
          <w:tcPr>
            <w:tcW w:w="8604" w:type="dxa"/>
          </w:tcPr>
          <w:p w:rsidR="003670B5" w:rsidRDefault="003670B5" w:rsidP="002E7FE1">
            <w:pPr>
              <w:ind w:left="2370" w:right="1550" w:hanging="602"/>
              <w:jc w:val="both"/>
              <w:rPr>
                <w:sz w:val="20"/>
                <w:szCs w:val="20"/>
              </w:rPr>
            </w:pPr>
            <w:r w:rsidRPr="0091140E">
              <w:rPr>
                <w:sz w:val="20"/>
                <w:szCs w:val="20"/>
              </w:rPr>
              <w:t xml:space="preserve">Notas: </w:t>
            </w:r>
            <w:r w:rsidRPr="003670B5">
              <w:rPr>
                <w:sz w:val="20"/>
                <w:szCs w:val="20"/>
              </w:rPr>
              <w:t xml:space="preserve">Las previsiones de </w:t>
            </w:r>
            <w:proofErr w:type="spellStart"/>
            <w:r w:rsidRPr="003670B5">
              <w:rPr>
                <w:sz w:val="20"/>
                <w:szCs w:val="20"/>
              </w:rPr>
              <w:t>Consensus</w:t>
            </w:r>
            <w:proofErr w:type="spellEnd"/>
            <w:r w:rsidRPr="003670B5">
              <w:rPr>
                <w:sz w:val="20"/>
                <w:szCs w:val="20"/>
              </w:rPr>
              <w:t xml:space="preserve"> </w:t>
            </w:r>
            <w:proofErr w:type="spellStart"/>
            <w:r w:rsidRPr="003670B5">
              <w:rPr>
                <w:sz w:val="20"/>
                <w:szCs w:val="20"/>
              </w:rPr>
              <w:t>Economics</w:t>
            </w:r>
            <w:proofErr w:type="spellEnd"/>
            <w:r w:rsidRPr="003670B5">
              <w:rPr>
                <w:sz w:val="20"/>
                <w:szCs w:val="20"/>
              </w:rPr>
              <w:t xml:space="preserve"> se publicaron en</w:t>
            </w:r>
            <w:r>
              <w:rPr>
                <w:sz w:val="20"/>
                <w:szCs w:val="20"/>
              </w:rPr>
              <w:t xml:space="preserve"> </w:t>
            </w:r>
            <w:r w:rsidRPr="003670B5">
              <w:rPr>
                <w:sz w:val="20"/>
                <w:szCs w:val="20"/>
              </w:rPr>
              <w:t>febrero de 2015 para 2015 y 2016, y en octubre de 2014 para el</w:t>
            </w:r>
            <w:r>
              <w:rPr>
                <w:sz w:val="20"/>
                <w:szCs w:val="20"/>
              </w:rPr>
              <w:t xml:space="preserve"> </w:t>
            </w:r>
            <w:r w:rsidRPr="003670B5">
              <w:rPr>
                <w:sz w:val="20"/>
                <w:szCs w:val="20"/>
              </w:rPr>
              <w:t>resto del horizonte de proyecció</w:t>
            </w:r>
            <w:r>
              <w:rPr>
                <w:sz w:val="20"/>
                <w:szCs w:val="20"/>
              </w:rPr>
              <w:t>n.</w:t>
            </w:r>
          </w:p>
          <w:p w:rsidR="003670B5" w:rsidRPr="00FE1D6E" w:rsidRDefault="003670B5" w:rsidP="002E7FE1">
            <w:pPr>
              <w:ind w:left="2370" w:right="1550" w:hanging="896"/>
              <w:jc w:val="both"/>
              <w:rPr>
                <w:color w:val="221F1F"/>
                <w:spacing w:val="1"/>
                <w:sz w:val="20"/>
                <w:szCs w:val="20"/>
              </w:rPr>
            </w:pPr>
            <w:r>
              <w:rPr>
                <w:sz w:val="20"/>
                <w:szCs w:val="20"/>
              </w:rPr>
              <w:t>FUENTE:</w:t>
            </w:r>
            <w:r w:rsidRPr="00FE1D6E">
              <w:rPr>
                <w:color w:val="221F1F"/>
                <w:spacing w:val="1"/>
                <w:sz w:val="20"/>
                <w:szCs w:val="20"/>
              </w:rPr>
              <w:t xml:space="preserve"> </w:t>
            </w:r>
            <w:proofErr w:type="spellStart"/>
            <w:r w:rsidR="002E7FE1" w:rsidRPr="002E7FE1">
              <w:rPr>
                <w:color w:val="221F1F"/>
                <w:spacing w:val="1"/>
                <w:sz w:val="20"/>
                <w:szCs w:val="20"/>
              </w:rPr>
              <w:t>Eurostat</w:t>
            </w:r>
            <w:proofErr w:type="spellEnd"/>
            <w:r w:rsidR="002E7FE1" w:rsidRPr="002E7FE1">
              <w:rPr>
                <w:color w:val="221F1F"/>
                <w:spacing w:val="1"/>
                <w:sz w:val="20"/>
                <w:szCs w:val="20"/>
              </w:rPr>
              <w:t>, Thomson Reuters, encuesta a expertos en previsión</w:t>
            </w:r>
            <w:r w:rsidR="002E7FE1">
              <w:rPr>
                <w:color w:val="221F1F"/>
                <w:spacing w:val="1"/>
                <w:sz w:val="20"/>
                <w:szCs w:val="20"/>
              </w:rPr>
              <w:t xml:space="preserve"> </w:t>
            </w:r>
            <w:r w:rsidR="002E7FE1" w:rsidRPr="002E7FE1">
              <w:rPr>
                <w:color w:val="221F1F"/>
                <w:spacing w:val="1"/>
                <w:sz w:val="20"/>
                <w:szCs w:val="20"/>
              </w:rPr>
              <w:t xml:space="preserve">económica, </w:t>
            </w:r>
            <w:proofErr w:type="spellStart"/>
            <w:r w:rsidR="002E7FE1" w:rsidRPr="002E7FE1">
              <w:rPr>
                <w:color w:val="221F1F"/>
                <w:spacing w:val="1"/>
                <w:sz w:val="20"/>
                <w:szCs w:val="20"/>
              </w:rPr>
              <w:t>Consensus</w:t>
            </w:r>
            <w:proofErr w:type="spellEnd"/>
            <w:r w:rsidR="002E7FE1" w:rsidRPr="002E7FE1">
              <w:rPr>
                <w:color w:val="221F1F"/>
                <w:spacing w:val="1"/>
                <w:sz w:val="20"/>
                <w:szCs w:val="20"/>
              </w:rPr>
              <w:t xml:space="preserve"> </w:t>
            </w:r>
            <w:proofErr w:type="spellStart"/>
            <w:r w:rsidR="002E7FE1" w:rsidRPr="002E7FE1">
              <w:rPr>
                <w:color w:val="221F1F"/>
                <w:spacing w:val="1"/>
                <w:sz w:val="20"/>
                <w:szCs w:val="20"/>
              </w:rPr>
              <w:t>Economics</w:t>
            </w:r>
            <w:proofErr w:type="spellEnd"/>
            <w:r w:rsidR="002E7FE1" w:rsidRPr="002E7FE1">
              <w:rPr>
                <w:color w:val="221F1F"/>
                <w:spacing w:val="1"/>
                <w:sz w:val="20"/>
                <w:szCs w:val="20"/>
              </w:rPr>
              <w:t xml:space="preserve"> y cálculos del BCE.</w:t>
            </w:r>
          </w:p>
        </w:tc>
      </w:tr>
    </w:tbl>
    <w:p w:rsidR="007D69FB" w:rsidRDefault="0023171E" w:rsidP="003F5D0D">
      <w:pPr>
        <w:spacing w:before="240" w:after="120" w:line="360" w:lineRule="auto"/>
        <w:jc w:val="both"/>
        <w:rPr>
          <w:sz w:val="26"/>
          <w:szCs w:val="26"/>
        </w:rPr>
      </w:pPr>
      <w:r w:rsidRPr="006F4589">
        <w:rPr>
          <w:b/>
          <w:sz w:val="26"/>
          <w:szCs w:val="26"/>
        </w:rPr>
        <w:t>Los indicadores de mercado de las de inflación han descendido más que los indicadores de opinión.</w:t>
      </w:r>
      <w:r w:rsidRPr="0023171E">
        <w:rPr>
          <w:sz w:val="26"/>
          <w:szCs w:val="26"/>
        </w:rPr>
        <w:t xml:space="preserve"> El nivel relativamente reducido de las expectativas de inflación basadas en indicadores mercado se debe, en parte, a la influencia de unas primas de riesgo de inflación negativas. Una prima de riesgo de inflación negativa hace que los tipos swap de inflación y las tasas de inflación implícitas sean inferiores a la inflación futura realmente esperada por los participantes en el mercado. Esta situación puede plantearse si los participantes en el mercado consideran más probable </w:t>
      </w:r>
      <w:r w:rsidRPr="0023171E">
        <w:rPr>
          <w:sz w:val="26"/>
          <w:szCs w:val="26"/>
        </w:rPr>
        <w:lastRenderedPageBreak/>
        <w:t xml:space="preserve">un escenario de inflación más baja que uno de inflación más elevada. En consecuencia, los intervinientes en el mercado muestran mayor preferencia por los bonos nominales frente a los activos indexados a la inflación, ya que el rendimiento real de los bonos nominales sería relativamente favorable en ese escenario. El retroceso de las expectativas de inflación a largo plazo basadas en indicadores de mercado registrado en los últimos meses también se ha observado en </w:t>
      </w:r>
      <w:r w:rsidR="00FE1D6E">
        <w:rPr>
          <w:sz w:val="26"/>
          <w:szCs w:val="26"/>
        </w:rPr>
        <w:t>Estados Unidos de Norteamérica</w:t>
      </w:r>
      <w:r w:rsidRPr="0023171E">
        <w:rPr>
          <w:sz w:val="26"/>
          <w:szCs w:val="26"/>
        </w:rPr>
        <w:t xml:space="preserve"> y el Reino Unido (</w:t>
      </w:r>
      <w:r w:rsidR="0079234F">
        <w:rPr>
          <w:sz w:val="26"/>
          <w:szCs w:val="26"/>
        </w:rPr>
        <w:t>ver gráfica siguiente</w:t>
      </w:r>
      <w:r w:rsidRPr="0023171E">
        <w:rPr>
          <w:sz w:val="26"/>
          <w:szCs w:val="26"/>
        </w:rPr>
        <w:t>), y es muy probable que refleje un incremento global de las primas de riesgo de inflación negativas.</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79234F" w:rsidRPr="00FE1D6E" w:rsidTr="007D69FB">
        <w:tc>
          <w:tcPr>
            <w:tcW w:w="8604" w:type="dxa"/>
          </w:tcPr>
          <w:p w:rsidR="0079234F" w:rsidRDefault="0079234F" w:rsidP="0079234F">
            <w:pPr>
              <w:jc w:val="center"/>
              <w:rPr>
                <w:b/>
                <w:sz w:val="22"/>
                <w:szCs w:val="22"/>
              </w:rPr>
            </w:pPr>
            <w:r w:rsidRPr="0079234F">
              <w:rPr>
                <w:b/>
                <w:sz w:val="22"/>
                <w:szCs w:val="22"/>
              </w:rPr>
              <w:t>TIPOS SWAP DE IN</w:t>
            </w:r>
            <w:r>
              <w:rPr>
                <w:b/>
                <w:sz w:val="22"/>
                <w:szCs w:val="22"/>
              </w:rPr>
              <w:t>FL</w:t>
            </w:r>
            <w:r w:rsidRPr="0079234F">
              <w:rPr>
                <w:b/>
                <w:sz w:val="22"/>
                <w:szCs w:val="22"/>
              </w:rPr>
              <w:t>ACIÓN A CINCO AÑOS</w:t>
            </w:r>
            <w:r>
              <w:rPr>
                <w:b/>
                <w:sz w:val="22"/>
                <w:szCs w:val="22"/>
              </w:rPr>
              <w:t xml:space="preserve"> </w:t>
            </w:r>
            <w:r w:rsidRPr="0079234F">
              <w:rPr>
                <w:b/>
                <w:sz w:val="22"/>
                <w:szCs w:val="22"/>
              </w:rPr>
              <w:t>DENTRO DE CINCO AÑOS</w:t>
            </w:r>
          </w:p>
          <w:p w:rsidR="0079234F" w:rsidRPr="00FE1D6E" w:rsidRDefault="0079234F" w:rsidP="0079234F">
            <w:pPr>
              <w:jc w:val="center"/>
              <w:rPr>
                <w:color w:val="221F1F"/>
                <w:spacing w:val="1"/>
                <w:sz w:val="26"/>
                <w:szCs w:val="26"/>
              </w:rPr>
            </w:pPr>
            <w:r w:rsidRPr="00FE1D6E">
              <w:rPr>
                <w:color w:val="221F1F"/>
                <w:spacing w:val="1"/>
                <w:sz w:val="22"/>
                <w:szCs w:val="22"/>
              </w:rPr>
              <w:t>- Tasas de variación interanual</w:t>
            </w:r>
            <w:r>
              <w:rPr>
                <w:color w:val="221F1F"/>
                <w:spacing w:val="1"/>
                <w:sz w:val="22"/>
                <w:szCs w:val="22"/>
              </w:rPr>
              <w:t xml:space="preserve"> -</w:t>
            </w:r>
          </w:p>
        </w:tc>
      </w:tr>
      <w:tr w:rsidR="0079234F" w:rsidRPr="00FE1D6E" w:rsidTr="007D69FB">
        <w:trPr>
          <w:trHeight w:val="5661"/>
        </w:trPr>
        <w:tc>
          <w:tcPr>
            <w:tcW w:w="8604" w:type="dxa"/>
          </w:tcPr>
          <w:p w:rsidR="0079234F" w:rsidRPr="00FE1D6E" w:rsidRDefault="006F4589" w:rsidP="007D69FB">
            <w:pPr>
              <w:jc w:val="center"/>
              <w:rPr>
                <w:color w:val="221F1F"/>
                <w:spacing w:val="1"/>
                <w:sz w:val="26"/>
                <w:szCs w:val="26"/>
              </w:rPr>
            </w:pPr>
            <w:r w:rsidRPr="00FE1D6E">
              <w:rPr>
                <w:noProof/>
                <w:lang w:val="es-MX" w:eastAsia="es-MX"/>
              </w:rPr>
              <mc:AlternateContent>
                <mc:Choice Requires="wps">
                  <w:drawing>
                    <wp:anchor distT="0" distB="0" distL="114300" distR="114300" simplePos="0" relativeHeight="251740160" behindDoc="0" locked="0" layoutInCell="1" allowOverlap="1" wp14:anchorId="1759597C" wp14:editId="59CAA4B8">
                      <wp:simplePos x="0" y="0"/>
                      <wp:positionH relativeFrom="column">
                        <wp:posOffset>794385</wp:posOffset>
                      </wp:positionH>
                      <wp:positionV relativeFrom="paragraph">
                        <wp:posOffset>589915</wp:posOffset>
                      </wp:positionV>
                      <wp:extent cx="397510" cy="2962275"/>
                      <wp:effectExtent l="0" t="0" r="0" b="0"/>
                      <wp:wrapNone/>
                      <wp:docPr id="47" name="Cuadro de texto 47"/>
                      <wp:cNvGraphicFramePr/>
                      <a:graphic xmlns:a="http://schemas.openxmlformats.org/drawingml/2006/main">
                        <a:graphicData uri="http://schemas.microsoft.com/office/word/2010/wordprocessingShape">
                          <wps:wsp>
                            <wps:cNvSpPr txBox="1"/>
                            <wps:spPr>
                              <a:xfrm>
                                <a:off x="0" y="0"/>
                                <a:ext cx="397510" cy="2962275"/>
                              </a:xfrm>
                              <a:prstGeom prst="rect">
                                <a:avLst/>
                              </a:prstGeom>
                              <a:noFill/>
                              <a:ln w="6350">
                                <a:noFill/>
                              </a:ln>
                              <a:effectLst/>
                            </wps:spPr>
                            <wps:txbx>
                              <w:txbxContent>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4.5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4.0</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3.5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3.0</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2.5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2.0</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1.5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1.0</w:t>
                                  </w:r>
                                </w:p>
                                <w:p w:rsidR="00A14B35" w:rsidRPr="00F66455" w:rsidRDefault="00A14B35" w:rsidP="0079234F">
                                  <w:pPr>
                                    <w:spacing w:after="20" w:line="720" w:lineRule="auto"/>
                                    <w:jc w:val="righ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9597C" id="Cuadro de texto 47" o:spid="_x0000_s1066" type="#_x0000_t202" style="position:absolute;left:0;text-align:left;margin-left:62.55pt;margin-top:46.45pt;width:31.3pt;height:233.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" filled="f" stroked="f" strokeweight=".5pt">
                      <v:textbox>
                        <w:txbxContent>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4.5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4.0</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3.5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3.0</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2.5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2.0</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1.5</w:t>
                            </w:r>
                          </w:p>
                          <w:p w:rsidR="00A14B35" w:rsidRPr="0079234F" w:rsidRDefault="00A14B35" w:rsidP="006F4589">
                            <w:pPr>
                              <w:shd w:val="clear" w:color="auto" w:fill="FFFFFF" w:themeFill="background1"/>
                              <w:spacing w:after="20" w:line="600" w:lineRule="auto"/>
                              <w:jc w:val="right"/>
                              <w:rPr>
                                <w:sz w:val="20"/>
                                <w:szCs w:val="20"/>
                              </w:rPr>
                            </w:pPr>
                            <w:r w:rsidRPr="0079234F">
                              <w:rPr>
                                <w:sz w:val="20"/>
                                <w:szCs w:val="20"/>
                              </w:rPr>
                              <w:t>1.0</w:t>
                            </w:r>
                          </w:p>
                          <w:p w:rsidR="00A14B35" w:rsidRPr="00F66455" w:rsidRDefault="00A14B35" w:rsidP="0079234F">
                            <w:pPr>
                              <w:spacing w:after="20" w:line="720" w:lineRule="auto"/>
                              <w:jc w:val="right"/>
                              <w:rPr>
                                <w:sz w:val="18"/>
                                <w:szCs w:val="18"/>
                              </w:rPr>
                            </w:pPr>
                          </w:p>
                        </w:txbxContent>
                      </v:textbox>
                    </v:shape>
                  </w:pict>
                </mc:Fallback>
              </mc:AlternateContent>
            </w:r>
            <w:r w:rsidRPr="00FE1D6E">
              <w:rPr>
                <w:noProof/>
                <w:lang w:val="es-MX" w:eastAsia="es-MX"/>
              </w:rPr>
              <mc:AlternateContent>
                <mc:Choice Requires="wps">
                  <w:drawing>
                    <wp:anchor distT="0" distB="0" distL="114300" distR="114300" simplePos="0" relativeHeight="251743232" behindDoc="0" locked="0" layoutInCell="1" allowOverlap="1" wp14:anchorId="1A258E4D" wp14:editId="2DD0DF5D">
                      <wp:simplePos x="0" y="0"/>
                      <wp:positionH relativeFrom="column">
                        <wp:posOffset>4194810</wp:posOffset>
                      </wp:positionH>
                      <wp:positionV relativeFrom="paragraph">
                        <wp:posOffset>603250</wp:posOffset>
                      </wp:positionV>
                      <wp:extent cx="397510" cy="3089910"/>
                      <wp:effectExtent l="0" t="0" r="2540" b="0"/>
                      <wp:wrapNone/>
                      <wp:docPr id="52" name="Cuadro de texto 52"/>
                      <wp:cNvGraphicFramePr/>
                      <a:graphic xmlns:a="http://schemas.openxmlformats.org/drawingml/2006/main">
                        <a:graphicData uri="http://schemas.microsoft.com/office/word/2010/wordprocessingShape">
                          <wps:wsp>
                            <wps:cNvSpPr txBox="1"/>
                            <wps:spPr>
                              <a:xfrm>
                                <a:off x="0" y="0"/>
                                <a:ext cx="397510" cy="3089910"/>
                              </a:xfrm>
                              <a:prstGeom prst="rect">
                                <a:avLst/>
                              </a:prstGeom>
                              <a:solidFill>
                                <a:sysClr val="window" lastClr="FFFFFF"/>
                              </a:solidFill>
                              <a:ln w="6350">
                                <a:noFill/>
                              </a:ln>
                              <a:effectLst/>
                            </wps:spPr>
                            <wps:txbx>
                              <w:txbxContent>
                                <w:p w:rsidR="00A14B35" w:rsidRPr="0079234F" w:rsidRDefault="00A14B35" w:rsidP="0079234F">
                                  <w:pPr>
                                    <w:spacing w:after="20" w:line="600" w:lineRule="auto"/>
                                    <w:jc w:val="right"/>
                                    <w:rPr>
                                      <w:sz w:val="20"/>
                                      <w:szCs w:val="20"/>
                                    </w:rPr>
                                  </w:pPr>
                                  <w:r w:rsidRPr="0079234F">
                                    <w:rPr>
                                      <w:sz w:val="20"/>
                                      <w:szCs w:val="20"/>
                                    </w:rPr>
                                    <w:t>4.5</w:t>
                                  </w:r>
                                </w:p>
                                <w:p w:rsidR="00A14B35" w:rsidRPr="0079234F" w:rsidRDefault="00A14B35" w:rsidP="0079234F">
                                  <w:pPr>
                                    <w:spacing w:after="20" w:line="600" w:lineRule="auto"/>
                                    <w:jc w:val="right"/>
                                    <w:rPr>
                                      <w:sz w:val="20"/>
                                      <w:szCs w:val="20"/>
                                    </w:rPr>
                                  </w:pPr>
                                  <w:r w:rsidRPr="0079234F">
                                    <w:rPr>
                                      <w:sz w:val="20"/>
                                      <w:szCs w:val="20"/>
                                    </w:rPr>
                                    <w:t>4.0</w:t>
                                  </w:r>
                                </w:p>
                                <w:p w:rsidR="00A14B35" w:rsidRPr="0079234F" w:rsidRDefault="00A14B35" w:rsidP="0079234F">
                                  <w:pPr>
                                    <w:spacing w:after="20" w:line="600" w:lineRule="auto"/>
                                    <w:jc w:val="right"/>
                                    <w:rPr>
                                      <w:sz w:val="20"/>
                                      <w:szCs w:val="20"/>
                                    </w:rPr>
                                  </w:pPr>
                                  <w:r w:rsidRPr="0079234F">
                                    <w:rPr>
                                      <w:sz w:val="20"/>
                                      <w:szCs w:val="20"/>
                                    </w:rPr>
                                    <w:t>3.5</w:t>
                                  </w:r>
                                </w:p>
                                <w:p w:rsidR="00A14B35" w:rsidRPr="0079234F" w:rsidRDefault="00A14B35" w:rsidP="0079234F">
                                  <w:pPr>
                                    <w:spacing w:after="20" w:line="600" w:lineRule="auto"/>
                                    <w:jc w:val="right"/>
                                    <w:rPr>
                                      <w:sz w:val="20"/>
                                      <w:szCs w:val="20"/>
                                    </w:rPr>
                                  </w:pPr>
                                  <w:r w:rsidRPr="0079234F">
                                    <w:rPr>
                                      <w:sz w:val="20"/>
                                      <w:szCs w:val="20"/>
                                    </w:rPr>
                                    <w:t>3.0</w:t>
                                  </w:r>
                                </w:p>
                                <w:p w:rsidR="00A14B35" w:rsidRPr="0079234F" w:rsidRDefault="00A14B35" w:rsidP="0079234F">
                                  <w:pPr>
                                    <w:spacing w:after="20" w:line="600" w:lineRule="auto"/>
                                    <w:jc w:val="right"/>
                                    <w:rPr>
                                      <w:sz w:val="20"/>
                                      <w:szCs w:val="20"/>
                                    </w:rPr>
                                  </w:pPr>
                                  <w:r w:rsidRPr="0079234F">
                                    <w:rPr>
                                      <w:sz w:val="20"/>
                                      <w:szCs w:val="20"/>
                                    </w:rPr>
                                    <w:t>2.5</w:t>
                                  </w:r>
                                </w:p>
                                <w:p w:rsidR="00A14B35" w:rsidRPr="0079234F" w:rsidRDefault="00A14B35" w:rsidP="0079234F">
                                  <w:pPr>
                                    <w:spacing w:after="20" w:line="600" w:lineRule="auto"/>
                                    <w:jc w:val="right"/>
                                    <w:rPr>
                                      <w:sz w:val="20"/>
                                      <w:szCs w:val="20"/>
                                    </w:rPr>
                                  </w:pPr>
                                  <w:r w:rsidRPr="0079234F">
                                    <w:rPr>
                                      <w:sz w:val="20"/>
                                      <w:szCs w:val="20"/>
                                    </w:rPr>
                                    <w:t>2.0</w:t>
                                  </w:r>
                                </w:p>
                                <w:p w:rsidR="00A14B35" w:rsidRPr="0079234F" w:rsidRDefault="00A14B35" w:rsidP="0079234F">
                                  <w:pPr>
                                    <w:spacing w:after="20" w:line="600" w:lineRule="auto"/>
                                    <w:jc w:val="right"/>
                                    <w:rPr>
                                      <w:sz w:val="20"/>
                                      <w:szCs w:val="20"/>
                                    </w:rPr>
                                  </w:pPr>
                                  <w:r w:rsidRPr="0079234F">
                                    <w:rPr>
                                      <w:sz w:val="20"/>
                                      <w:szCs w:val="20"/>
                                    </w:rPr>
                                    <w:t>1.5</w:t>
                                  </w:r>
                                </w:p>
                                <w:p w:rsidR="00A14B35" w:rsidRPr="0079234F" w:rsidRDefault="00A14B35" w:rsidP="0079234F">
                                  <w:pPr>
                                    <w:spacing w:after="20" w:line="600" w:lineRule="auto"/>
                                    <w:jc w:val="right"/>
                                    <w:rPr>
                                      <w:sz w:val="20"/>
                                      <w:szCs w:val="20"/>
                                    </w:rPr>
                                  </w:pPr>
                                  <w:r w:rsidRPr="0079234F">
                                    <w:rPr>
                                      <w:sz w:val="20"/>
                                      <w:szCs w:val="20"/>
                                    </w:rPr>
                                    <w:t>1.0</w:t>
                                  </w:r>
                                </w:p>
                                <w:p w:rsidR="00A14B35" w:rsidRPr="00F66455" w:rsidRDefault="00A14B35" w:rsidP="0079234F">
                                  <w:pPr>
                                    <w:spacing w:after="20" w:line="720" w:lineRule="auto"/>
                                    <w:jc w:val="righ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258E4D" id="Cuadro de texto 52" o:spid="_x0000_s1067" type="#_x0000_t202" style="position:absolute;left:0;text-align:left;margin-left:330.3pt;margin-top:47.5pt;width:31.3pt;height:243.3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" fillcolor="window" stroked="f" strokeweight=".5pt">
                      <v:textbox>
                        <w:txbxContent>
                          <w:p w:rsidR="00A14B35" w:rsidRPr="0079234F" w:rsidRDefault="00A14B35" w:rsidP="0079234F">
                            <w:pPr>
                              <w:spacing w:after="20" w:line="600" w:lineRule="auto"/>
                              <w:jc w:val="right"/>
                              <w:rPr>
                                <w:sz w:val="20"/>
                                <w:szCs w:val="20"/>
                              </w:rPr>
                            </w:pPr>
                            <w:r w:rsidRPr="0079234F">
                              <w:rPr>
                                <w:sz w:val="20"/>
                                <w:szCs w:val="20"/>
                              </w:rPr>
                              <w:t>4.5</w:t>
                            </w:r>
                          </w:p>
                          <w:p w:rsidR="00A14B35" w:rsidRPr="0079234F" w:rsidRDefault="00A14B35" w:rsidP="0079234F">
                            <w:pPr>
                              <w:spacing w:after="20" w:line="600" w:lineRule="auto"/>
                              <w:jc w:val="right"/>
                              <w:rPr>
                                <w:sz w:val="20"/>
                                <w:szCs w:val="20"/>
                              </w:rPr>
                            </w:pPr>
                            <w:r w:rsidRPr="0079234F">
                              <w:rPr>
                                <w:sz w:val="20"/>
                                <w:szCs w:val="20"/>
                              </w:rPr>
                              <w:t>4.0</w:t>
                            </w:r>
                          </w:p>
                          <w:p w:rsidR="00A14B35" w:rsidRPr="0079234F" w:rsidRDefault="00A14B35" w:rsidP="0079234F">
                            <w:pPr>
                              <w:spacing w:after="20" w:line="600" w:lineRule="auto"/>
                              <w:jc w:val="right"/>
                              <w:rPr>
                                <w:sz w:val="20"/>
                                <w:szCs w:val="20"/>
                              </w:rPr>
                            </w:pPr>
                            <w:r w:rsidRPr="0079234F">
                              <w:rPr>
                                <w:sz w:val="20"/>
                                <w:szCs w:val="20"/>
                              </w:rPr>
                              <w:t>3.5</w:t>
                            </w:r>
                          </w:p>
                          <w:p w:rsidR="00A14B35" w:rsidRPr="0079234F" w:rsidRDefault="00A14B35" w:rsidP="0079234F">
                            <w:pPr>
                              <w:spacing w:after="20" w:line="600" w:lineRule="auto"/>
                              <w:jc w:val="right"/>
                              <w:rPr>
                                <w:sz w:val="20"/>
                                <w:szCs w:val="20"/>
                              </w:rPr>
                            </w:pPr>
                            <w:r w:rsidRPr="0079234F">
                              <w:rPr>
                                <w:sz w:val="20"/>
                                <w:szCs w:val="20"/>
                              </w:rPr>
                              <w:t>3.0</w:t>
                            </w:r>
                          </w:p>
                          <w:p w:rsidR="00A14B35" w:rsidRPr="0079234F" w:rsidRDefault="00A14B35" w:rsidP="0079234F">
                            <w:pPr>
                              <w:spacing w:after="20" w:line="600" w:lineRule="auto"/>
                              <w:jc w:val="right"/>
                              <w:rPr>
                                <w:sz w:val="20"/>
                                <w:szCs w:val="20"/>
                              </w:rPr>
                            </w:pPr>
                            <w:r w:rsidRPr="0079234F">
                              <w:rPr>
                                <w:sz w:val="20"/>
                                <w:szCs w:val="20"/>
                              </w:rPr>
                              <w:t>2.5</w:t>
                            </w:r>
                          </w:p>
                          <w:p w:rsidR="00A14B35" w:rsidRPr="0079234F" w:rsidRDefault="00A14B35" w:rsidP="0079234F">
                            <w:pPr>
                              <w:spacing w:after="20" w:line="600" w:lineRule="auto"/>
                              <w:jc w:val="right"/>
                              <w:rPr>
                                <w:sz w:val="20"/>
                                <w:szCs w:val="20"/>
                              </w:rPr>
                            </w:pPr>
                            <w:r w:rsidRPr="0079234F">
                              <w:rPr>
                                <w:sz w:val="20"/>
                                <w:szCs w:val="20"/>
                              </w:rPr>
                              <w:t>2.0</w:t>
                            </w:r>
                          </w:p>
                          <w:p w:rsidR="00A14B35" w:rsidRPr="0079234F" w:rsidRDefault="00A14B35" w:rsidP="0079234F">
                            <w:pPr>
                              <w:spacing w:after="20" w:line="600" w:lineRule="auto"/>
                              <w:jc w:val="right"/>
                              <w:rPr>
                                <w:sz w:val="20"/>
                                <w:szCs w:val="20"/>
                              </w:rPr>
                            </w:pPr>
                            <w:r w:rsidRPr="0079234F">
                              <w:rPr>
                                <w:sz w:val="20"/>
                                <w:szCs w:val="20"/>
                              </w:rPr>
                              <w:t>1.5</w:t>
                            </w:r>
                          </w:p>
                          <w:p w:rsidR="00A14B35" w:rsidRPr="0079234F" w:rsidRDefault="00A14B35" w:rsidP="0079234F">
                            <w:pPr>
                              <w:spacing w:after="20" w:line="600" w:lineRule="auto"/>
                              <w:jc w:val="right"/>
                              <w:rPr>
                                <w:sz w:val="20"/>
                                <w:szCs w:val="20"/>
                              </w:rPr>
                            </w:pPr>
                            <w:r w:rsidRPr="0079234F">
                              <w:rPr>
                                <w:sz w:val="20"/>
                                <w:szCs w:val="20"/>
                              </w:rPr>
                              <w:t>1.0</w:t>
                            </w:r>
                          </w:p>
                          <w:p w:rsidR="00A14B35" w:rsidRPr="00F66455" w:rsidRDefault="00A14B35" w:rsidP="0079234F">
                            <w:pPr>
                              <w:spacing w:after="20" w:line="720" w:lineRule="auto"/>
                              <w:jc w:val="right"/>
                              <w:rPr>
                                <w:sz w:val="18"/>
                                <w:szCs w:val="18"/>
                              </w:rPr>
                            </w:pPr>
                          </w:p>
                        </w:txbxContent>
                      </v:textbox>
                    </v:shape>
                  </w:pict>
                </mc:Fallback>
              </mc:AlternateContent>
            </w:r>
            <w:r w:rsidR="003670B5" w:rsidRPr="003670B5">
              <w:rPr>
                <w:noProof/>
                <w:lang w:val="es-MX" w:eastAsia="es-MX"/>
              </w:rPr>
              <mc:AlternateContent>
                <mc:Choice Requires="wps">
                  <w:drawing>
                    <wp:anchor distT="0" distB="0" distL="114300" distR="114300" simplePos="0" relativeHeight="251751424" behindDoc="0" locked="0" layoutInCell="1" allowOverlap="1" wp14:anchorId="19F75BF3" wp14:editId="418F3884">
                      <wp:simplePos x="0" y="0"/>
                      <wp:positionH relativeFrom="column">
                        <wp:posOffset>1473200</wp:posOffset>
                      </wp:positionH>
                      <wp:positionV relativeFrom="paragraph">
                        <wp:posOffset>318387</wp:posOffset>
                      </wp:positionV>
                      <wp:extent cx="2053087" cy="232913"/>
                      <wp:effectExtent l="0" t="0" r="0" b="0"/>
                      <wp:wrapNone/>
                      <wp:docPr id="3162" name="Cuadro de texto 3162"/>
                      <wp:cNvGraphicFramePr/>
                      <a:graphic xmlns:a="http://schemas.openxmlformats.org/drawingml/2006/main">
                        <a:graphicData uri="http://schemas.microsoft.com/office/word/2010/wordprocessingShape">
                          <wps:wsp>
                            <wps:cNvSpPr txBox="1"/>
                            <wps:spPr>
                              <a:xfrm>
                                <a:off x="0" y="0"/>
                                <a:ext cx="2053087" cy="232913"/>
                              </a:xfrm>
                              <a:prstGeom prst="rect">
                                <a:avLst/>
                              </a:prstGeom>
                              <a:noFill/>
                              <a:ln w="6350">
                                <a:noFill/>
                              </a:ln>
                              <a:effectLst/>
                            </wps:spPr>
                            <wps:txbx>
                              <w:txbxContent>
                                <w:p w:rsidR="00A14B35" w:rsidRPr="003670B5" w:rsidRDefault="00A14B35" w:rsidP="003670B5">
                                  <w:pPr>
                                    <w:shd w:val="clear" w:color="auto" w:fill="FFFFFF" w:themeFill="background1"/>
                                    <w:rPr>
                                      <w:sz w:val="20"/>
                                      <w:szCs w:val="18"/>
                                    </w:rPr>
                                  </w:pPr>
                                  <w:r w:rsidRPr="003670B5">
                                    <w:rPr>
                                      <w:sz w:val="20"/>
                                      <w:szCs w:val="18"/>
                                    </w:rPr>
                                    <w:t>Estados Unidos de Norteamérica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75BF3" id="Cuadro de texto 3162" o:spid="_x0000_s1068" type="#_x0000_t202" style="position:absolute;left:0;text-align:left;margin-left:116pt;margin-top:25.05pt;width:161.65pt;height:18.3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" filled="f" stroked="f" strokeweight=".5pt">
                      <v:textbox>
                        <w:txbxContent>
                          <w:p w:rsidR="00A14B35" w:rsidRPr="003670B5" w:rsidRDefault="00A14B35" w:rsidP="003670B5">
                            <w:pPr>
                              <w:shd w:val="clear" w:color="auto" w:fill="FFFFFF" w:themeFill="background1"/>
                              <w:rPr>
                                <w:sz w:val="20"/>
                                <w:szCs w:val="18"/>
                              </w:rPr>
                            </w:pPr>
                            <w:r w:rsidRPr="003670B5">
                              <w:rPr>
                                <w:sz w:val="20"/>
                                <w:szCs w:val="18"/>
                              </w:rPr>
                              <w:t>Estados Unidos de Norteamérica</w:t>
                            </w:r>
                          </w:p>
                        </w:txbxContent>
                      </v:textbox>
                    </v:shape>
                  </w:pict>
                </mc:Fallback>
              </mc:AlternateContent>
            </w:r>
            <w:r w:rsidR="0079234F">
              <w:rPr>
                <w:noProof/>
                <w:lang w:val="es-MX" w:eastAsia="es-MX"/>
              </w:rPr>
              <w:drawing>
                <wp:inline distT="0" distB="0" distL="0" distR="0" wp14:anchorId="4CB94DEE" wp14:editId="7BEF804B">
                  <wp:extent cx="3625702" cy="3792431"/>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56635" t="18195" r="6425" b="13078"/>
                          <a:stretch/>
                        </pic:blipFill>
                        <pic:spPr bwMode="auto">
                          <a:xfrm>
                            <a:off x="0" y="0"/>
                            <a:ext cx="3643808" cy="3811370"/>
                          </a:xfrm>
                          <a:prstGeom prst="rect">
                            <a:avLst/>
                          </a:prstGeom>
                          <a:ln>
                            <a:noFill/>
                          </a:ln>
                          <a:extLst>
                            <a:ext uri="{53640926-AAD7-44D8-BBD7-CCE9431645EC}">
                              <a14:shadowObscured xmlns:a14="http://schemas.microsoft.com/office/drawing/2010/main"/>
                            </a:ext>
                          </a:extLst>
                        </pic:spPr>
                      </pic:pic>
                    </a:graphicData>
                  </a:graphic>
                </wp:inline>
              </w:drawing>
            </w:r>
          </w:p>
        </w:tc>
      </w:tr>
      <w:tr w:rsidR="0079234F" w:rsidRPr="00FE1D6E" w:rsidTr="007D69FB">
        <w:tc>
          <w:tcPr>
            <w:tcW w:w="8604" w:type="dxa"/>
          </w:tcPr>
          <w:p w:rsidR="0079234F" w:rsidRDefault="0079234F" w:rsidP="0079234F">
            <w:pPr>
              <w:ind w:left="2020" w:hanging="602"/>
              <w:jc w:val="both"/>
              <w:rPr>
                <w:sz w:val="20"/>
                <w:szCs w:val="20"/>
              </w:rPr>
            </w:pPr>
            <w:r w:rsidRPr="0091140E">
              <w:rPr>
                <w:sz w:val="20"/>
                <w:szCs w:val="20"/>
              </w:rPr>
              <w:t xml:space="preserve">Notas: </w:t>
            </w:r>
            <w:r w:rsidRPr="0079234F">
              <w:rPr>
                <w:sz w:val="20"/>
                <w:szCs w:val="20"/>
              </w:rPr>
              <w:t>Los tipos swap de in</w:t>
            </w:r>
            <w:r>
              <w:rPr>
                <w:sz w:val="20"/>
                <w:szCs w:val="20"/>
              </w:rPr>
              <w:t>fl</w:t>
            </w:r>
            <w:r w:rsidRPr="0079234F">
              <w:rPr>
                <w:sz w:val="20"/>
                <w:szCs w:val="20"/>
              </w:rPr>
              <w:t>ación del Reino Unido están indexados</w:t>
            </w:r>
            <w:r>
              <w:rPr>
                <w:sz w:val="20"/>
                <w:szCs w:val="20"/>
              </w:rPr>
              <w:t xml:space="preserve"> </w:t>
            </w:r>
            <w:r w:rsidRPr="0079234F">
              <w:rPr>
                <w:sz w:val="20"/>
                <w:szCs w:val="20"/>
              </w:rPr>
              <w:t>al índice de precios al por menor de este país. Las últimas observaciones</w:t>
            </w:r>
            <w:r>
              <w:rPr>
                <w:sz w:val="20"/>
                <w:szCs w:val="20"/>
              </w:rPr>
              <w:t xml:space="preserve"> </w:t>
            </w:r>
            <w:r w:rsidRPr="0079234F">
              <w:rPr>
                <w:sz w:val="20"/>
                <w:szCs w:val="20"/>
              </w:rPr>
              <w:t>corresponden al 3 de marzo de 2015.</w:t>
            </w:r>
          </w:p>
          <w:p w:rsidR="0079234F" w:rsidRPr="00FE1D6E" w:rsidRDefault="0079234F" w:rsidP="0079234F">
            <w:pPr>
              <w:ind w:left="2020" w:hanging="852"/>
              <w:jc w:val="both"/>
              <w:rPr>
                <w:color w:val="221F1F"/>
                <w:spacing w:val="1"/>
                <w:sz w:val="20"/>
                <w:szCs w:val="20"/>
              </w:rPr>
            </w:pPr>
            <w:r w:rsidRPr="00FE1D6E">
              <w:rPr>
                <w:color w:val="221F1F"/>
                <w:spacing w:val="1"/>
                <w:sz w:val="20"/>
                <w:szCs w:val="20"/>
              </w:rPr>
              <w:t xml:space="preserve">FUENTE: </w:t>
            </w:r>
            <w:r w:rsidRPr="0079234F">
              <w:rPr>
                <w:color w:val="221F1F"/>
                <w:spacing w:val="1"/>
                <w:sz w:val="20"/>
                <w:szCs w:val="20"/>
              </w:rPr>
              <w:t>Thomson Reuters.</w:t>
            </w:r>
          </w:p>
        </w:tc>
      </w:tr>
    </w:tbl>
    <w:p w:rsidR="0023171E" w:rsidRDefault="0023171E" w:rsidP="003F5D0D">
      <w:pPr>
        <w:spacing w:before="240" w:after="240" w:line="360" w:lineRule="auto"/>
        <w:jc w:val="both"/>
        <w:rPr>
          <w:sz w:val="26"/>
          <w:szCs w:val="26"/>
        </w:rPr>
      </w:pPr>
      <w:r w:rsidRPr="0023171E">
        <w:rPr>
          <w:sz w:val="26"/>
          <w:szCs w:val="26"/>
        </w:rPr>
        <w:t>De cara al futuro, se prevé que la inflación medida por el IAPC se sitúe, en promedio, en el 0</w:t>
      </w:r>
      <w:r w:rsidR="00FE1D6E">
        <w:rPr>
          <w:sz w:val="26"/>
          <w:szCs w:val="26"/>
        </w:rPr>
        <w:t>.</w:t>
      </w:r>
      <w:r w:rsidRPr="0023171E">
        <w:rPr>
          <w:sz w:val="26"/>
          <w:szCs w:val="26"/>
        </w:rPr>
        <w:t>0</w:t>
      </w:r>
      <w:r w:rsidR="00FE1D6E">
        <w:rPr>
          <w:sz w:val="26"/>
          <w:szCs w:val="26"/>
        </w:rPr>
        <w:t>%</w:t>
      </w:r>
      <w:r w:rsidRPr="0023171E">
        <w:rPr>
          <w:sz w:val="26"/>
          <w:szCs w:val="26"/>
        </w:rPr>
        <w:t xml:space="preserve"> en 2015, aunque aumentará de forma significativa en 2016 y seguirá incrementándose en 2017. A partir de la información disponible a mediados de febrero, las proyecciones macroeconómicas de marzo de 2015 elaboradas por los </w:t>
      </w:r>
      <w:r w:rsidRPr="0023171E">
        <w:rPr>
          <w:sz w:val="26"/>
          <w:szCs w:val="26"/>
        </w:rPr>
        <w:lastRenderedPageBreak/>
        <w:t xml:space="preserve">expertos del BCE para la zona del euro prevén que la inflación medida por el IAPC general se incremente desde el </w:t>
      </w:r>
      <w:r w:rsidR="00FE1D6E">
        <w:rPr>
          <w:sz w:val="26"/>
          <w:szCs w:val="26"/>
        </w:rPr>
        <w:t>-</w:t>
      </w:r>
      <w:r w:rsidRPr="0023171E">
        <w:rPr>
          <w:sz w:val="26"/>
          <w:szCs w:val="26"/>
        </w:rPr>
        <w:t>0</w:t>
      </w:r>
      <w:r w:rsidR="00FE1D6E">
        <w:rPr>
          <w:sz w:val="26"/>
          <w:szCs w:val="26"/>
        </w:rPr>
        <w:t>.</w:t>
      </w:r>
      <w:r w:rsidRPr="0023171E">
        <w:rPr>
          <w:sz w:val="26"/>
          <w:szCs w:val="26"/>
        </w:rPr>
        <w:t>4</w:t>
      </w:r>
      <w:r w:rsidR="00FE1D6E">
        <w:rPr>
          <w:sz w:val="26"/>
          <w:szCs w:val="26"/>
        </w:rPr>
        <w:t>%</w:t>
      </w:r>
      <w:r w:rsidRPr="0023171E">
        <w:rPr>
          <w:sz w:val="26"/>
          <w:szCs w:val="26"/>
        </w:rPr>
        <w:t xml:space="preserve"> en el primer trimestre de 2015 hasta el 1</w:t>
      </w:r>
      <w:r w:rsidR="00FE1D6E">
        <w:rPr>
          <w:sz w:val="26"/>
          <w:szCs w:val="26"/>
        </w:rPr>
        <w:t>.</w:t>
      </w:r>
      <w:r w:rsidRPr="0023171E">
        <w:rPr>
          <w:sz w:val="26"/>
          <w:szCs w:val="26"/>
        </w:rPr>
        <w:t>9</w:t>
      </w:r>
      <w:r w:rsidR="00FE1D6E">
        <w:rPr>
          <w:sz w:val="26"/>
          <w:szCs w:val="26"/>
        </w:rPr>
        <w:t>%</w:t>
      </w:r>
      <w:r>
        <w:rPr>
          <w:sz w:val="26"/>
          <w:szCs w:val="26"/>
        </w:rPr>
        <w:t xml:space="preserve"> </w:t>
      </w:r>
      <w:r w:rsidRPr="0023171E">
        <w:rPr>
          <w:sz w:val="26"/>
          <w:szCs w:val="26"/>
        </w:rPr>
        <w:t>en el último trimestre de 2017, y que se sitúe, en promedio, en el 0</w:t>
      </w:r>
      <w:r w:rsidR="00FE1D6E">
        <w:rPr>
          <w:sz w:val="26"/>
          <w:szCs w:val="26"/>
        </w:rPr>
        <w:t>.</w:t>
      </w:r>
      <w:r w:rsidRPr="0023171E">
        <w:rPr>
          <w:sz w:val="26"/>
          <w:szCs w:val="26"/>
        </w:rPr>
        <w:t>0</w:t>
      </w:r>
      <w:r w:rsidR="00FE1D6E">
        <w:rPr>
          <w:sz w:val="26"/>
          <w:szCs w:val="26"/>
        </w:rPr>
        <w:t>%</w:t>
      </w:r>
      <w:r w:rsidRPr="0023171E">
        <w:rPr>
          <w:sz w:val="26"/>
          <w:szCs w:val="26"/>
        </w:rPr>
        <w:t xml:space="preserve"> en 2015, el 1</w:t>
      </w:r>
      <w:r w:rsidR="00FE1D6E">
        <w:rPr>
          <w:sz w:val="26"/>
          <w:szCs w:val="26"/>
        </w:rPr>
        <w:t>.</w:t>
      </w:r>
      <w:r w:rsidRPr="0023171E">
        <w:rPr>
          <w:sz w:val="26"/>
          <w:szCs w:val="26"/>
        </w:rPr>
        <w:t>5</w:t>
      </w:r>
      <w:r w:rsidR="00FE1D6E">
        <w:rPr>
          <w:sz w:val="26"/>
          <w:szCs w:val="26"/>
        </w:rPr>
        <w:t>%</w:t>
      </w:r>
      <w:r w:rsidRPr="0023171E">
        <w:rPr>
          <w:sz w:val="26"/>
          <w:szCs w:val="26"/>
        </w:rPr>
        <w:t xml:space="preserve"> en 2016 y el</w:t>
      </w:r>
      <w:r>
        <w:rPr>
          <w:sz w:val="26"/>
          <w:szCs w:val="26"/>
        </w:rPr>
        <w:t xml:space="preserve"> </w:t>
      </w:r>
      <w:r w:rsidRPr="0023171E">
        <w:rPr>
          <w:sz w:val="26"/>
          <w:szCs w:val="26"/>
        </w:rPr>
        <w:t>1</w:t>
      </w:r>
      <w:r w:rsidR="00FE1D6E">
        <w:rPr>
          <w:sz w:val="26"/>
          <w:szCs w:val="26"/>
        </w:rPr>
        <w:t>.</w:t>
      </w:r>
      <w:r w:rsidRPr="0023171E">
        <w:rPr>
          <w:sz w:val="26"/>
          <w:szCs w:val="26"/>
        </w:rPr>
        <w:t>8</w:t>
      </w:r>
      <w:r w:rsidR="00FE1D6E">
        <w:rPr>
          <w:sz w:val="26"/>
          <w:szCs w:val="26"/>
        </w:rPr>
        <w:t>%</w:t>
      </w:r>
      <w:r w:rsidRPr="0023171E">
        <w:rPr>
          <w:sz w:val="26"/>
          <w:szCs w:val="26"/>
        </w:rPr>
        <w:t xml:space="preserve"> en 2017 (</w:t>
      </w:r>
      <w:r w:rsidR="004F67F7">
        <w:rPr>
          <w:sz w:val="26"/>
          <w:szCs w:val="26"/>
        </w:rPr>
        <w:t>ver gráfica siguiente</w:t>
      </w:r>
      <w:r w:rsidRPr="0023171E">
        <w:rPr>
          <w:sz w:val="26"/>
          <w:szCs w:val="26"/>
        </w:rPr>
        <w:t xml:space="preserve">). El repunte esperado de la inflación general medida por el IAPC refleja un cambio de sentido esperado en los precios de la energía, como indican la curva ascendente de los futuros sobre el petróleo, el impacto de la mayor debilidad del tipo de cambio efectivo del euro y el significativo fortalecimiento de las presiones internas sobre los </w:t>
      </w:r>
      <w:r w:rsidR="00601452">
        <w:rPr>
          <w:sz w:val="26"/>
          <w:szCs w:val="26"/>
        </w:rPr>
        <w:t>costo</w:t>
      </w:r>
      <w:r w:rsidRPr="0023171E">
        <w:rPr>
          <w:sz w:val="26"/>
          <w:szCs w:val="26"/>
        </w:rPr>
        <w:t xml:space="preserve">s </w:t>
      </w:r>
      <w:r>
        <w:rPr>
          <w:sz w:val="26"/>
          <w:szCs w:val="26"/>
        </w:rPr>
        <w:t>a medida que la economía se re</w:t>
      </w:r>
      <w:r w:rsidRPr="0023171E">
        <w:rPr>
          <w:sz w:val="26"/>
          <w:szCs w:val="26"/>
        </w:rPr>
        <w:t>cupere y se estreche con rapidez la brecha de producción negativa.</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79234F" w:rsidRPr="00FE1D6E" w:rsidTr="007D69FB">
        <w:tc>
          <w:tcPr>
            <w:tcW w:w="8604" w:type="dxa"/>
          </w:tcPr>
          <w:p w:rsidR="0079234F" w:rsidRDefault="0079234F" w:rsidP="0079234F">
            <w:pPr>
              <w:jc w:val="center"/>
              <w:rPr>
                <w:b/>
                <w:sz w:val="22"/>
                <w:szCs w:val="22"/>
              </w:rPr>
            </w:pPr>
            <w:r w:rsidRPr="0079234F">
              <w:rPr>
                <w:b/>
                <w:sz w:val="22"/>
                <w:szCs w:val="22"/>
              </w:rPr>
              <w:t>IAPC DE LA ZONA DEL EURO (INCLUIDAS</w:t>
            </w:r>
            <w:r w:rsidR="003F5D0D">
              <w:rPr>
                <w:b/>
                <w:sz w:val="22"/>
                <w:szCs w:val="22"/>
              </w:rPr>
              <w:t xml:space="preserve"> </w:t>
            </w:r>
            <w:r w:rsidRPr="0079234F">
              <w:rPr>
                <w:b/>
                <w:sz w:val="22"/>
                <w:szCs w:val="22"/>
              </w:rPr>
              <w:t>LAS PROYECCIONES)</w:t>
            </w:r>
          </w:p>
          <w:p w:rsidR="0079234F" w:rsidRPr="00FE1D6E" w:rsidRDefault="0079234F" w:rsidP="0079234F">
            <w:pPr>
              <w:jc w:val="center"/>
              <w:rPr>
                <w:color w:val="221F1F"/>
                <w:spacing w:val="1"/>
                <w:sz w:val="26"/>
                <w:szCs w:val="26"/>
              </w:rPr>
            </w:pPr>
            <w:r w:rsidRPr="00FE1D6E">
              <w:rPr>
                <w:color w:val="221F1F"/>
                <w:spacing w:val="1"/>
                <w:sz w:val="22"/>
                <w:szCs w:val="22"/>
              </w:rPr>
              <w:t>- Tasas de variación interanual</w:t>
            </w:r>
            <w:r>
              <w:rPr>
                <w:color w:val="221F1F"/>
                <w:spacing w:val="1"/>
                <w:sz w:val="22"/>
                <w:szCs w:val="22"/>
              </w:rPr>
              <w:t xml:space="preserve"> -</w:t>
            </w:r>
          </w:p>
        </w:tc>
      </w:tr>
      <w:tr w:rsidR="0079234F" w:rsidRPr="00FE1D6E" w:rsidTr="003F5D0D">
        <w:trPr>
          <w:trHeight w:val="4891"/>
        </w:trPr>
        <w:tc>
          <w:tcPr>
            <w:tcW w:w="8604" w:type="dxa"/>
          </w:tcPr>
          <w:p w:rsidR="0079234F" w:rsidRPr="00FE1D6E" w:rsidRDefault="003F5D0D" w:rsidP="007D69FB">
            <w:pPr>
              <w:jc w:val="center"/>
              <w:rPr>
                <w:color w:val="221F1F"/>
                <w:spacing w:val="1"/>
                <w:sz w:val="26"/>
                <w:szCs w:val="26"/>
              </w:rPr>
            </w:pPr>
            <w:r w:rsidRPr="00FE1D6E">
              <w:rPr>
                <w:noProof/>
                <w:lang w:val="es-MX" w:eastAsia="es-MX"/>
              </w:rPr>
              <mc:AlternateContent>
                <mc:Choice Requires="wps">
                  <w:drawing>
                    <wp:anchor distT="0" distB="0" distL="114300" distR="114300" simplePos="0" relativeHeight="251745280" behindDoc="0" locked="0" layoutInCell="1" allowOverlap="1" wp14:anchorId="42CCDA1C" wp14:editId="47D84A60">
                      <wp:simplePos x="0" y="0"/>
                      <wp:positionH relativeFrom="column">
                        <wp:posOffset>765810</wp:posOffset>
                      </wp:positionH>
                      <wp:positionV relativeFrom="paragraph">
                        <wp:posOffset>2540</wp:posOffset>
                      </wp:positionV>
                      <wp:extent cx="397576" cy="3000375"/>
                      <wp:effectExtent l="0" t="0" r="2540" b="9525"/>
                      <wp:wrapNone/>
                      <wp:docPr id="3143" name="Cuadro de texto 3143"/>
                      <wp:cNvGraphicFramePr/>
                      <a:graphic xmlns:a="http://schemas.openxmlformats.org/drawingml/2006/main">
                        <a:graphicData uri="http://schemas.microsoft.com/office/word/2010/wordprocessingShape">
                          <wps:wsp>
                            <wps:cNvSpPr txBox="1"/>
                            <wps:spPr>
                              <a:xfrm>
                                <a:off x="0" y="0"/>
                                <a:ext cx="397576" cy="3000375"/>
                              </a:xfrm>
                              <a:prstGeom prst="rect">
                                <a:avLst/>
                              </a:prstGeom>
                              <a:solidFill>
                                <a:sysClr val="window" lastClr="FFFFFF"/>
                              </a:solidFill>
                              <a:ln w="6350">
                                <a:noFill/>
                              </a:ln>
                              <a:effectLst/>
                            </wps:spPr>
                            <wps:txbx>
                              <w:txbxContent>
                                <w:p w:rsidR="00A14B35" w:rsidRPr="003F5D0D" w:rsidRDefault="00A14B35" w:rsidP="0079234F">
                                  <w:pPr>
                                    <w:spacing w:after="60" w:line="360" w:lineRule="auto"/>
                                    <w:jc w:val="right"/>
                                    <w:rPr>
                                      <w:sz w:val="20"/>
                                      <w:szCs w:val="20"/>
                                    </w:rPr>
                                  </w:pPr>
                                  <w:r w:rsidRPr="003F5D0D">
                                    <w:rPr>
                                      <w:sz w:val="20"/>
                                      <w:szCs w:val="20"/>
                                    </w:rPr>
                                    <w:t>4.5</w:t>
                                  </w:r>
                                </w:p>
                                <w:p w:rsidR="00A14B35" w:rsidRPr="003F5D0D" w:rsidRDefault="00A14B35" w:rsidP="0079234F">
                                  <w:pPr>
                                    <w:spacing w:after="60" w:line="360" w:lineRule="auto"/>
                                    <w:jc w:val="right"/>
                                    <w:rPr>
                                      <w:sz w:val="20"/>
                                      <w:szCs w:val="20"/>
                                    </w:rPr>
                                  </w:pPr>
                                  <w:r w:rsidRPr="003F5D0D">
                                    <w:rPr>
                                      <w:sz w:val="20"/>
                                      <w:szCs w:val="20"/>
                                    </w:rPr>
                                    <w:t>4.0</w:t>
                                  </w:r>
                                </w:p>
                                <w:p w:rsidR="00A14B35" w:rsidRPr="003F5D0D" w:rsidRDefault="00A14B35" w:rsidP="0079234F">
                                  <w:pPr>
                                    <w:spacing w:after="60" w:line="360" w:lineRule="auto"/>
                                    <w:jc w:val="right"/>
                                    <w:rPr>
                                      <w:sz w:val="20"/>
                                      <w:szCs w:val="20"/>
                                    </w:rPr>
                                  </w:pPr>
                                  <w:r w:rsidRPr="003F5D0D">
                                    <w:rPr>
                                      <w:sz w:val="20"/>
                                      <w:szCs w:val="20"/>
                                    </w:rPr>
                                    <w:t>3.5</w:t>
                                  </w:r>
                                </w:p>
                                <w:p w:rsidR="00A14B35" w:rsidRPr="003F5D0D" w:rsidRDefault="00A14B35" w:rsidP="0079234F">
                                  <w:pPr>
                                    <w:spacing w:after="60" w:line="360" w:lineRule="auto"/>
                                    <w:jc w:val="right"/>
                                    <w:rPr>
                                      <w:sz w:val="20"/>
                                      <w:szCs w:val="20"/>
                                    </w:rPr>
                                  </w:pPr>
                                  <w:r w:rsidRPr="003F5D0D">
                                    <w:rPr>
                                      <w:sz w:val="20"/>
                                      <w:szCs w:val="20"/>
                                    </w:rPr>
                                    <w:t>3.0</w:t>
                                  </w:r>
                                </w:p>
                                <w:p w:rsidR="00A14B35" w:rsidRPr="003F5D0D" w:rsidRDefault="00A14B35" w:rsidP="0079234F">
                                  <w:pPr>
                                    <w:spacing w:after="60" w:line="360" w:lineRule="auto"/>
                                    <w:jc w:val="right"/>
                                    <w:rPr>
                                      <w:sz w:val="20"/>
                                      <w:szCs w:val="20"/>
                                    </w:rPr>
                                  </w:pPr>
                                  <w:r w:rsidRPr="003F5D0D">
                                    <w:rPr>
                                      <w:sz w:val="20"/>
                                      <w:szCs w:val="20"/>
                                    </w:rPr>
                                    <w:t>2.5</w:t>
                                  </w:r>
                                </w:p>
                                <w:p w:rsidR="00A14B35" w:rsidRPr="003F5D0D" w:rsidRDefault="00A14B35" w:rsidP="0079234F">
                                  <w:pPr>
                                    <w:spacing w:after="60" w:line="360" w:lineRule="auto"/>
                                    <w:jc w:val="right"/>
                                    <w:rPr>
                                      <w:sz w:val="20"/>
                                      <w:szCs w:val="20"/>
                                    </w:rPr>
                                  </w:pPr>
                                  <w:r w:rsidRPr="003F5D0D">
                                    <w:rPr>
                                      <w:sz w:val="20"/>
                                      <w:szCs w:val="20"/>
                                    </w:rPr>
                                    <w:t>2.0</w:t>
                                  </w:r>
                                </w:p>
                                <w:p w:rsidR="00A14B35" w:rsidRPr="003F5D0D" w:rsidRDefault="00A14B35" w:rsidP="0079234F">
                                  <w:pPr>
                                    <w:spacing w:after="60" w:line="360" w:lineRule="auto"/>
                                    <w:jc w:val="right"/>
                                    <w:rPr>
                                      <w:sz w:val="20"/>
                                      <w:szCs w:val="20"/>
                                    </w:rPr>
                                  </w:pPr>
                                  <w:r w:rsidRPr="003F5D0D">
                                    <w:rPr>
                                      <w:sz w:val="20"/>
                                      <w:szCs w:val="20"/>
                                    </w:rPr>
                                    <w:t>1.5</w:t>
                                  </w:r>
                                </w:p>
                                <w:p w:rsidR="00A14B35" w:rsidRPr="003F5D0D" w:rsidRDefault="00A14B35" w:rsidP="0079234F">
                                  <w:pPr>
                                    <w:spacing w:after="60" w:line="360" w:lineRule="auto"/>
                                    <w:jc w:val="right"/>
                                    <w:rPr>
                                      <w:sz w:val="20"/>
                                      <w:szCs w:val="20"/>
                                    </w:rPr>
                                  </w:pPr>
                                  <w:r w:rsidRPr="003F5D0D">
                                    <w:rPr>
                                      <w:sz w:val="20"/>
                                      <w:szCs w:val="20"/>
                                    </w:rPr>
                                    <w:t>1.0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0.0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CCDA1C" id="Cuadro de texto 3143" o:spid="_x0000_s1069" type="#_x0000_t202" style="position:absolute;left:0;text-align:left;margin-left:60.3pt;margin-top:.2pt;width:31.3pt;height:236.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" fillcolor="window" stroked="f" strokeweight=".5pt">
                      <v:textbox>
                        <w:txbxContent>
                          <w:p w:rsidR="00A14B35" w:rsidRPr="003F5D0D" w:rsidRDefault="00A14B35" w:rsidP="0079234F">
                            <w:pPr>
                              <w:spacing w:after="60" w:line="360" w:lineRule="auto"/>
                              <w:jc w:val="right"/>
                              <w:rPr>
                                <w:sz w:val="20"/>
                                <w:szCs w:val="20"/>
                              </w:rPr>
                            </w:pPr>
                            <w:r w:rsidRPr="003F5D0D">
                              <w:rPr>
                                <w:sz w:val="20"/>
                                <w:szCs w:val="20"/>
                              </w:rPr>
                              <w:t>4.5</w:t>
                            </w:r>
                          </w:p>
                          <w:p w:rsidR="00A14B35" w:rsidRPr="003F5D0D" w:rsidRDefault="00A14B35" w:rsidP="0079234F">
                            <w:pPr>
                              <w:spacing w:after="60" w:line="360" w:lineRule="auto"/>
                              <w:jc w:val="right"/>
                              <w:rPr>
                                <w:sz w:val="20"/>
                                <w:szCs w:val="20"/>
                              </w:rPr>
                            </w:pPr>
                            <w:r w:rsidRPr="003F5D0D">
                              <w:rPr>
                                <w:sz w:val="20"/>
                                <w:szCs w:val="20"/>
                              </w:rPr>
                              <w:t>4.0</w:t>
                            </w:r>
                          </w:p>
                          <w:p w:rsidR="00A14B35" w:rsidRPr="003F5D0D" w:rsidRDefault="00A14B35" w:rsidP="0079234F">
                            <w:pPr>
                              <w:spacing w:after="60" w:line="360" w:lineRule="auto"/>
                              <w:jc w:val="right"/>
                              <w:rPr>
                                <w:sz w:val="20"/>
                                <w:szCs w:val="20"/>
                              </w:rPr>
                            </w:pPr>
                            <w:r w:rsidRPr="003F5D0D">
                              <w:rPr>
                                <w:sz w:val="20"/>
                                <w:szCs w:val="20"/>
                              </w:rPr>
                              <w:t>3.5</w:t>
                            </w:r>
                          </w:p>
                          <w:p w:rsidR="00A14B35" w:rsidRPr="003F5D0D" w:rsidRDefault="00A14B35" w:rsidP="0079234F">
                            <w:pPr>
                              <w:spacing w:after="60" w:line="360" w:lineRule="auto"/>
                              <w:jc w:val="right"/>
                              <w:rPr>
                                <w:sz w:val="20"/>
                                <w:szCs w:val="20"/>
                              </w:rPr>
                            </w:pPr>
                            <w:r w:rsidRPr="003F5D0D">
                              <w:rPr>
                                <w:sz w:val="20"/>
                                <w:szCs w:val="20"/>
                              </w:rPr>
                              <w:t>3.0</w:t>
                            </w:r>
                          </w:p>
                          <w:p w:rsidR="00A14B35" w:rsidRPr="003F5D0D" w:rsidRDefault="00A14B35" w:rsidP="0079234F">
                            <w:pPr>
                              <w:spacing w:after="60" w:line="360" w:lineRule="auto"/>
                              <w:jc w:val="right"/>
                              <w:rPr>
                                <w:sz w:val="20"/>
                                <w:szCs w:val="20"/>
                              </w:rPr>
                            </w:pPr>
                            <w:r w:rsidRPr="003F5D0D">
                              <w:rPr>
                                <w:sz w:val="20"/>
                                <w:szCs w:val="20"/>
                              </w:rPr>
                              <w:t>2.5</w:t>
                            </w:r>
                          </w:p>
                          <w:p w:rsidR="00A14B35" w:rsidRPr="003F5D0D" w:rsidRDefault="00A14B35" w:rsidP="0079234F">
                            <w:pPr>
                              <w:spacing w:after="60" w:line="360" w:lineRule="auto"/>
                              <w:jc w:val="right"/>
                              <w:rPr>
                                <w:sz w:val="20"/>
                                <w:szCs w:val="20"/>
                              </w:rPr>
                            </w:pPr>
                            <w:r w:rsidRPr="003F5D0D">
                              <w:rPr>
                                <w:sz w:val="20"/>
                                <w:szCs w:val="20"/>
                              </w:rPr>
                              <w:t>2.0</w:t>
                            </w:r>
                          </w:p>
                          <w:p w:rsidR="00A14B35" w:rsidRPr="003F5D0D" w:rsidRDefault="00A14B35" w:rsidP="0079234F">
                            <w:pPr>
                              <w:spacing w:after="60" w:line="360" w:lineRule="auto"/>
                              <w:jc w:val="right"/>
                              <w:rPr>
                                <w:sz w:val="20"/>
                                <w:szCs w:val="20"/>
                              </w:rPr>
                            </w:pPr>
                            <w:r w:rsidRPr="003F5D0D">
                              <w:rPr>
                                <w:sz w:val="20"/>
                                <w:szCs w:val="20"/>
                              </w:rPr>
                              <w:t>1.5</w:t>
                            </w:r>
                          </w:p>
                          <w:p w:rsidR="00A14B35" w:rsidRPr="003F5D0D" w:rsidRDefault="00A14B35" w:rsidP="0079234F">
                            <w:pPr>
                              <w:spacing w:after="60" w:line="360" w:lineRule="auto"/>
                              <w:jc w:val="right"/>
                              <w:rPr>
                                <w:sz w:val="20"/>
                                <w:szCs w:val="20"/>
                              </w:rPr>
                            </w:pPr>
                            <w:r w:rsidRPr="003F5D0D">
                              <w:rPr>
                                <w:sz w:val="20"/>
                                <w:szCs w:val="20"/>
                              </w:rPr>
                              <w:t>1.0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0.0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-1.0</w:t>
                            </w:r>
                          </w:p>
                        </w:txbxContent>
                      </v:textbox>
                    </v:shape>
                  </w:pict>
                </mc:Fallback>
              </mc:AlternateContent>
            </w:r>
            <w:r w:rsidR="0079234F" w:rsidRPr="00FE1D6E">
              <w:rPr>
                <w:noProof/>
                <w:lang w:val="es-MX" w:eastAsia="es-MX"/>
              </w:rPr>
              <mc:AlternateContent>
                <mc:Choice Requires="wps">
                  <w:drawing>
                    <wp:anchor distT="0" distB="0" distL="114300" distR="114300" simplePos="0" relativeHeight="251748352" behindDoc="0" locked="0" layoutInCell="1" allowOverlap="1" wp14:anchorId="4DB372BE" wp14:editId="7845BE48">
                      <wp:simplePos x="0" y="0"/>
                      <wp:positionH relativeFrom="column">
                        <wp:posOffset>4194810</wp:posOffset>
                      </wp:positionH>
                      <wp:positionV relativeFrom="paragraph">
                        <wp:posOffset>21590</wp:posOffset>
                      </wp:positionV>
                      <wp:extent cx="397576" cy="2981325"/>
                      <wp:effectExtent l="0" t="0" r="2540" b="9525"/>
                      <wp:wrapNone/>
                      <wp:docPr id="3149" name="Cuadro de texto 3149"/>
                      <wp:cNvGraphicFramePr/>
                      <a:graphic xmlns:a="http://schemas.openxmlformats.org/drawingml/2006/main">
                        <a:graphicData uri="http://schemas.microsoft.com/office/word/2010/wordprocessingShape">
                          <wps:wsp>
                            <wps:cNvSpPr txBox="1"/>
                            <wps:spPr>
                              <a:xfrm>
                                <a:off x="0" y="0"/>
                                <a:ext cx="397576" cy="2981325"/>
                              </a:xfrm>
                              <a:prstGeom prst="rect">
                                <a:avLst/>
                              </a:prstGeom>
                              <a:solidFill>
                                <a:sysClr val="window" lastClr="FFFFFF"/>
                              </a:solidFill>
                              <a:ln w="6350">
                                <a:noFill/>
                              </a:ln>
                              <a:effectLst/>
                            </wps:spPr>
                            <wps:txbx>
                              <w:txbxContent>
                                <w:p w:rsidR="00A14B35" w:rsidRPr="003F5D0D" w:rsidRDefault="00A14B35" w:rsidP="0079234F">
                                  <w:pPr>
                                    <w:spacing w:after="60" w:line="360" w:lineRule="auto"/>
                                    <w:jc w:val="right"/>
                                    <w:rPr>
                                      <w:sz w:val="20"/>
                                      <w:szCs w:val="20"/>
                                    </w:rPr>
                                  </w:pPr>
                                  <w:r w:rsidRPr="003F5D0D">
                                    <w:rPr>
                                      <w:sz w:val="20"/>
                                      <w:szCs w:val="20"/>
                                    </w:rPr>
                                    <w:t>4.5</w:t>
                                  </w:r>
                                </w:p>
                                <w:p w:rsidR="00A14B35" w:rsidRPr="003F5D0D" w:rsidRDefault="00A14B35" w:rsidP="0079234F">
                                  <w:pPr>
                                    <w:spacing w:after="60" w:line="360" w:lineRule="auto"/>
                                    <w:jc w:val="right"/>
                                    <w:rPr>
                                      <w:sz w:val="20"/>
                                      <w:szCs w:val="20"/>
                                    </w:rPr>
                                  </w:pPr>
                                  <w:r w:rsidRPr="003F5D0D">
                                    <w:rPr>
                                      <w:sz w:val="20"/>
                                      <w:szCs w:val="20"/>
                                    </w:rPr>
                                    <w:t>4.0</w:t>
                                  </w:r>
                                </w:p>
                                <w:p w:rsidR="00A14B35" w:rsidRPr="003F5D0D" w:rsidRDefault="00A14B35" w:rsidP="0079234F">
                                  <w:pPr>
                                    <w:spacing w:after="60" w:line="360" w:lineRule="auto"/>
                                    <w:jc w:val="right"/>
                                    <w:rPr>
                                      <w:sz w:val="20"/>
                                      <w:szCs w:val="20"/>
                                    </w:rPr>
                                  </w:pPr>
                                  <w:r w:rsidRPr="003F5D0D">
                                    <w:rPr>
                                      <w:sz w:val="20"/>
                                      <w:szCs w:val="20"/>
                                    </w:rPr>
                                    <w:t>3.5</w:t>
                                  </w:r>
                                </w:p>
                                <w:p w:rsidR="00A14B35" w:rsidRPr="003F5D0D" w:rsidRDefault="00A14B35" w:rsidP="0079234F">
                                  <w:pPr>
                                    <w:spacing w:after="60" w:line="360" w:lineRule="auto"/>
                                    <w:jc w:val="right"/>
                                    <w:rPr>
                                      <w:sz w:val="20"/>
                                      <w:szCs w:val="20"/>
                                    </w:rPr>
                                  </w:pPr>
                                  <w:r w:rsidRPr="003F5D0D">
                                    <w:rPr>
                                      <w:sz w:val="20"/>
                                      <w:szCs w:val="20"/>
                                    </w:rPr>
                                    <w:t>3.0</w:t>
                                  </w:r>
                                </w:p>
                                <w:p w:rsidR="00A14B35" w:rsidRPr="003F5D0D" w:rsidRDefault="00A14B35" w:rsidP="0079234F">
                                  <w:pPr>
                                    <w:spacing w:after="60" w:line="360" w:lineRule="auto"/>
                                    <w:jc w:val="right"/>
                                    <w:rPr>
                                      <w:sz w:val="18"/>
                                      <w:szCs w:val="20"/>
                                    </w:rPr>
                                  </w:pPr>
                                  <w:r w:rsidRPr="003F5D0D">
                                    <w:rPr>
                                      <w:sz w:val="20"/>
                                      <w:szCs w:val="20"/>
                                    </w:rPr>
                                    <w:t>2.5</w:t>
                                  </w:r>
                                </w:p>
                                <w:p w:rsidR="00A14B35" w:rsidRPr="003F5D0D" w:rsidRDefault="00A14B35" w:rsidP="0079234F">
                                  <w:pPr>
                                    <w:spacing w:after="60" w:line="360" w:lineRule="auto"/>
                                    <w:jc w:val="right"/>
                                    <w:rPr>
                                      <w:sz w:val="20"/>
                                      <w:szCs w:val="20"/>
                                    </w:rPr>
                                  </w:pPr>
                                  <w:r w:rsidRPr="003F5D0D">
                                    <w:rPr>
                                      <w:sz w:val="20"/>
                                      <w:szCs w:val="20"/>
                                    </w:rPr>
                                    <w:t>2.0</w:t>
                                  </w:r>
                                </w:p>
                                <w:p w:rsidR="00A14B35" w:rsidRPr="003F5D0D" w:rsidRDefault="00A14B35" w:rsidP="0079234F">
                                  <w:pPr>
                                    <w:spacing w:after="60" w:line="360" w:lineRule="auto"/>
                                    <w:jc w:val="right"/>
                                    <w:rPr>
                                      <w:sz w:val="20"/>
                                      <w:szCs w:val="20"/>
                                    </w:rPr>
                                  </w:pPr>
                                  <w:r w:rsidRPr="003F5D0D">
                                    <w:rPr>
                                      <w:sz w:val="20"/>
                                      <w:szCs w:val="20"/>
                                    </w:rPr>
                                    <w:t>1.5</w:t>
                                  </w:r>
                                </w:p>
                                <w:p w:rsidR="00A14B35" w:rsidRPr="003F5D0D" w:rsidRDefault="00A14B35" w:rsidP="0079234F">
                                  <w:pPr>
                                    <w:spacing w:after="60" w:line="360" w:lineRule="auto"/>
                                    <w:jc w:val="right"/>
                                    <w:rPr>
                                      <w:sz w:val="20"/>
                                      <w:szCs w:val="20"/>
                                    </w:rPr>
                                  </w:pPr>
                                  <w:r w:rsidRPr="003F5D0D">
                                    <w:rPr>
                                      <w:sz w:val="20"/>
                                      <w:szCs w:val="20"/>
                                    </w:rPr>
                                    <w:t>1.0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0.0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372BE" id="Cuadro de texto 3149" o:spid="_x0000_s1070" type="#_x0000_t202" style="position:absolute;left:0;text-align:left;margin-left:330.3pt;margin-top:1.7pt;width:31.3pt;height:234.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" fillcolor="window" stroked="f" strokeweight=".5pt">
                      <v:textbox>
                        <w:txbxContent>
                          <w:p w:rsidR="00A14B35" w:rsidRPr="003F5D0D" w:rsidRDefault="00A14B35" w:rsidP="0079234F">
                            <w:pPr>
                              <w:spacing w:after="60" w:line="360" w:lineRule="auto"/>
                              <w:jc w:val="right"/>
                              <w:rPr>
                                <w:sz w:val="20"/>
                                <w:szCs w:val="20"/>
                              </w:rPr>
                            </w:pPr>
                            <w:r w:rsidRPr="003F5D0D">
                              <w:rPr>
                                <w:sz w:val="20"/>
                                <w:szCs w:val="20"/>
                              </w:rPr>
                              <w:t>4.5</w:t>
                            </w:r>
                          </w:p>
                          <w:p w:rsidR="00A14B35" w:rsidRPr="003F5D0D" w:rsidRDefault="00A14B35" w:rsidP="0079234F">
                            <w:pPr>
                              <w:spacing w:after="60" w:line="360" w:lineRule="auto"/>
                              <w:jc w:val="right"/>
                              <w:rPr>
                                <w:sz w:val="20"/>
                                <w:szCs w:val="20"/>
                              </w:rPr>
                            </w:pPr>
                            <w:r w:rsidRPr="003F5D0D">
                              <w:rPr>
                                <w:sz w:val="20"/>
                                <w:szCs w:val="20"/>
                              </w:rPr>
                              <w:t>4.0</w:t>
                            </w:r>
                          </w:p>
                          <w:p w:rsidR="00A14B35" w:rsidRPr="003F5D0D" w:rsidRDefault="00A14B35" w:rsidP="0079234F">
                            <w:pPr>
                              <w:spacing w:after="60" w:line="360" w:lineRule="auto"/>
                              <w:jc w:val="right"/>
                              <w:rPr>
                                <w:sz w:val="20"/>
                                <w:szCs w:val="20"/>
                              </w:rPr>
                            </w:pPr>
                            <w:r w:rsidRPr="003F5D0D">
                              <w:rPr>
                                <w:sz w:val="20"/>
                                <w:szCs w:val="20"/>
                              </w:rPr>
                              <w:t>3.5</w:t>
                            </w:r>
                          </w:p>
                          <w:p w:rsidR="00A14B35" w:rsidRPr="003F5D0D" w:rsidRDefault="00A14B35" w:rsidP="0079234F">
                            <w:pPr>
                              <w:spacing w:after="60" w:line="360" w:lineRule="auto"/>
                              <w:jc w:val="right"/>
                              <w:rPr>
                                <w:sz w:val="20"/>
                                <w:szCs w:val="20"/>
                              </w:rPr>
                            </w:pPr>
                            <w:r w:rsidRPr="003F5D0D">
                              <w:rPr>
                                <w:sz w:val="20"/>
                                <w:szCs w:val="20"/>
                              </w:rPr>
                              <w:t>3.0</w:t>
                            </w:r>
                          </w:p>
                          <w:p w:rsidR="00A14B35" w:rsidRPr="003F5D0D" w:rsidRDefault="00A14B35" w:rsidP="0079234F">
                            <w:pPr>
                              <w:spacing w:after="60" w:line="360" w:lineRule="auto"/>
                              <w:jc w:val="right"/>
                              <w:rPr>
                                <w:sz w:val="18"/>
                                <w:szCs w:val="20"/>
                              </w:rPr>
                            </w:pPr>
                            <w:r w:rsidRPr="003F5D0D">
                              <w:rPr>
                                <w:sz w:val="20"/>
                                <w:szCs w:val="20"/>
                              </w:rPr>
                              <w:t>2.5</w:t>
                            </w:r>
                          </w:p>
                          <w:p w:rsidR="00A14B35" w:rsidRPr="003F5D0D" w:rsidRDefault="00A14B35" w:rsidP="0079234F">
                            <w:pPr>
                              <w:spacing w:after="60" w:line="360" w:lineRule="auto"/>
                              <w:jc w:val="right"/>
                              <w:rPr>
                                <w:sz w:val="20"/>
                                <w:szCs w:val="20"/>
                              </w:rPr>
                            </w:pPr>
                            <w:r w:rsidRPr="003F5D0D">
                              <w:rPr>
                                <w:sz w:val="20"/>
                                <w:szCs w:val="20"/>
                              </w:rPr>
                              <w:t>2.0</w:t>
                            </w:r>
                          </w:p>
                          <w:p w:rsidR="00A14B35" w:rsidRPr="003F5D0D" w:rsidRDefault="00A14B35" w:rsidP="0079234F">
                            <w:pPr>
                              <w:spacing w:after="60" w:line="360" w:lineRule="auto"/>
                              <w:jc w:val="right"/>
                              <w:rPr>
                                <w:sz w:val="20"/>
                                <w:szCs w:val="20"/>
                              </w:rPr>
                            </w:pPr>
                            <w:r w:rsidRPr="003F5D0D">
                              <w:rPr>
                                <w:sz w:val="20"/>
                                <w:szCs w:val="20"/>
                              </w:rPr>
                              <w:t>1.5</w:t>
                            </w:r>
                          </w:p>
                          <w:p w:rsidR="00A14B35" w:rsidRPr="003F5D0D" w:rsidRDefault="00A14B35" w:rsidP="0079234F">
                            <w:pPr>
                              <w:spacing w:after="60" w:line="360" w:lineRule="auto"/>
                              <w:jc w:val="right"/>
                              <w:rPr>
                                <w:sz w:val="20"/>
                                <w:szCs w:val="20"/>
                              </w:rPr>
                            </w:pPr>
                            <w:r w:rsidRPr="003F5D0D">
                              <w:rPr>
                                <w:sz w:val="20"/>
                                <w:szCs w:val="20"/>
                              </w:rPr>
                              <w:t>1.0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0.0</w:t>
                            </w:r>
                          </w:p>
                          <w:p w:rsidR="00A14B35" w:rsidRPr="003F5D0D" w:rsidRDefault="00A14B35" w:rsidP="0079234F">
                            <w:pPr>
                              <w:spacing w:after="60" w:line="360" w:lineRule="auto"/>
                              <w:jc w:val="right"/>
                              <w:rPr>
                                <w:sz w:val="18"/>
                                <w:szCs w:val="18"/>
                              </w:rPr>
                            </w:pPr>
                            <w:r w:rsidRPr="003F5D0D">
                              <w:rPr>
                                <w:sz w:val="18"/>
                                <w:szCs w:val="18"/>
                              </w:rPr>
                              <w:t>-0.5</w:t>
                            </w:r>
                          </w:p>
                          <w:p w:rsidR="00A14B35" w:rsidRPr="003F5D0D" w:rsidRDefault="00A14B35" w:rsidP="0079234F">
                            <w:pPr>
                              <w:spacing w:after="60" w:line="360" w:lineRule="auto"/>
                              <w:jc w:val="right"/>
                              <w:rPr>
                                <w:sz w:val="18"/>
                                <w:szCs w:val="18"/>
                              </w:rPr>
                            </w:pPr>
                            <w:r w:rsidRPr="003F5D0D">
                              <w:rPr>
                                <w:sz w:val="18"/>
                                <w:szCs w:val="18"/>
                              </w:rPr>
                              <w:t>-1.0</w:t>
                            </w:r>
                          </w:p>
                        </w:txbxContent>
                      </v:textbox>
                    </v:shape>
                  </w:pict>
                </mc:Fallback>
              </mc:AlternateContent>
            </w:r>
            <w:r w:rsidR="0079234F">
              <w:rPr>
                <w:noProof/>
                <w:lang w:val="es-MX" w:eastAsia="es-MX"/>
              </w:rPr>
              <w:drawing>
                <wp:inline distT="0" distB="0" distL="0" distR="0" wp14:anchorId="27B57BE1" wp14:editId="785E272C">
                  <wp:extent cx="3659992" cy="3133725"/>
                  <wp:effectExtent l="0" t="0" r="0" b="0"/>
                  <wp:docPr id="3146" name="Imagen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57392" t="21902" r="5666" b="21838"/>
                          <a:stretch/>
                        </pic:blipFill>
                        <pic:spPr bwMode="auto">
                          <a:xfrm>
                            <a:off x="0" y="0"/>
                            <a:ext cx="3695550" cy="3164170"/>
                          </a:xfrm>
                          <a:prstGeom prst="rect">
                            <a:avLst/>
                          </a:prstGeom>
                          <a:ln>
                            <a:noFill/>
                          </a:ln>
                          <a:extLst>
                            <a:ext uri="{53640926-AAD7-44D8-BBD7-CCE9431645EC}">
                              <a14:shadowObscured xmlns:a14="http://schemas.microsoft.com/office/drawing/2010/main"/>
                            </a:ext>
                          </a:extLst>
                        </pic:spPr>
                      </pic:pic>
                    </a:graphicData>
                  </a:graphic>
                </wp:inline>
              </w:drawing>
            </w:r>
          </w:p>
        </w:tc>
      </w:tr>
      <w:tr w:rsidR="0079234F" w:rsidRPr="00FE1D6E" w:rsidTr="007D69FB">
        <w:tc>
          <w:tcPr>
            <w:tcW w:w="8604" w:type="dxa"/>
          </w:tcPr>
          <w:p w:rsidR="0079234F" w:rsidRDefault="0079234F" w:rsidP="003F5D0D">
            <w:pPr>
              <w:ind w:left="1735" w:right="983" w:hanging="602"/>
              <w:jc w:val="both"/>
              <w:rPr>
                <w:sz w:val="20"/>
                <w:szCs w:val="20"/>
              </w:rPr>
            </w:pPr>
            <w:r w:rsidRPr="0091140E">
              <w:rPr>
                <w:sz w:val="20"/>
                <w:szCs w:val="20"/>
              </w:rPr>
              <w:t xml:space="preserve">Notas: </w:t>
            </w:r>
            <w:r w:rsidRPr="0079234F">
              <w:rPr>
                <w:sz w:val="20"/>
                <w:szCs w:val="20"/>
              </w:rPr>
              <w:t>Los intervalos en torno a las proyecciones se basan en las</w:t>
            </w:r>
            <w:r>
              <w:rPr>
                <w:sz w:val="20"/>
                <w:szCs w:val="20"/>
              </w:rPr>
              <w:t xml:space="preserve"> </w:t>
            </w:r>
            <w:r w:rsidRPr="0079234F">
              <w:rPr>
                <w:sz w:val="20"/>
                <w:szCs w:val="20"/>
              </w:rPr>
              <w:t>diferencias entre las cifras observadas y las proyecciones elaboradas</w:t>
            </w:r>
            <w:r>
              <w:rPr>
                <w:sz w:val="20"/>
                <w:szCs w:val="20"/>
              </w:rPr>
              <w:t xml:space="preserve"> </w:t>
            </w:r>
            <w:r w:rsidRPr="0079234F">
              <w:rPr>
                <w:sz w:val="20"/>
                <w:szCs w:val="20"/>
              </w:rPr>
              <w:t>en los últimos años. La amplitud de estos intervalos es dos veces el</w:t>
            </w:r>
            <w:r>
              <w:rPr>
                <w:sz w:val="20"/>
                <w:szCs w:val="20"/>
              </w:rPr>
              <w:t xml:space="preserve"> </w:t>
            </w:r>
            <w:r w:rsidRPr="0079234F">
              <w:rPr>
                <w:sz w:val="20"/>
                <w:szCs w:val="20"/>
              </w:rPr>
              <w:t>valor absoluto medio de esas diferencias. El método utilizado para</w:t>
            </w:r>
            <w:r>
              <w:rPr>
                <w:sz w:val="20"/>
                <w:szCs w:val="20"/>
              </w:rPr>
              <w:t xml:space="preserve"> </w:t>
            </w:r>
            <w:r w:rsidRPr="0079234F">
              <w:rPr>
                <w:sz w:val="20"/>
                <w:szCs w:val="20"/>
              </w:rPr>
              <w:t>calcular los intervalos, que prevé una corrección para tener en cuenta</w:t>
            </w:r>
            <w:r>
              <w:rPr>
                <w:sz w:val="20"/>
                <w:szCs w:val="20"/>
              </w:rPr>
              <w:t xml:space="preserve"> </w:t>
            </w:r>
            <w:r w:rsidRPr="0079234F">
              <w:rPr>
                <w:sz w:val="20"/>
                <w:szCs w:val="20"/>
              </w:rPr>
              <w:t>acontecimientos excepcionales, se explica en la publicación titulada</w:t>
            </w:r>
            <w:r>
              <w:rPr>
                <w:sz w:val="20"/>
                <w:szCs w:val="20"/>
              </w:rPr>
              <w:t xml:space="preserve"> </w:t>
            </w:r>
            <w:r w:rsidRPr="006F4589">
              <w:rPr>
                <w:i/>
                <w:sz w:val="20"/>
                <w:szCs w:val="20"/>
              </w:rPr>
              <w:t xml:space="preserve">New </w:t>
            </w:r>
            <w:proofErr w:type="spellStart"/>
            <w:r w:rsidRPr="006F4589">
              <w:rPr>
                <w:i/>
                <w:sz w:val="20"/>
                <w:szCs w:val="20"/>
              </w:rPr>
              <w:t>procedure</w:t>
            </w:r>
            <w:proofErr w:type="spellEnd"/>
            <w:r w:rsidRPr="006F4589">
              <w:rPr>
                <w:i/>
                <w:sz w:val="20"/>
                <w:szCs w:val="20"/>
              </w:rPr>
              <w:t xml:space="preserve"> </w:t>
            </w:r>
            <w:proofErr w:type="spellStart"/>
            <w:r w:rsidRPr="006F4589">
              <w:rPr>
                <w:i/>
                <w:sz w:val="20"/>
                <w:szCs w:val="20"/>
              </w:rPr>
              <w:t>for</w:t>
            </w:r>
            <w:proofErr w:type="spellEnd"/>
            <w:r w:rsidRPr="006F4589">
              <w:rPr>
                <w:i/>
                <w:sz w:val="20"/>
                <w:szCs w:val="20"/>
              </w:rPr>
              <w:t xml:space="preserve"> </w:t>
            </w:r>
            <w:proofErr w:type="spellStart"/>
            <w:r w:rsidRPr="006F4589">
              <w:rPr>
                <w:i/>
                <w:sz w:val="20"/>
                <w:szCs w:val="20"/>
              </w:rPr>
              <w:t>constructing</w:t>
            </w:r>
            <w:proofErr w:type="spellEnd"/>
            <w:r w:rsidRPr="006F4589">
              <w:rPr>
                <w:i/>
                <w:sz w:val="20"/>
                <w:szCs w:val="20"/>
              </w:rPr>
              <w:t xml:space="preserve"> </w:t>
            </w:r>
            <w:proofErr w:type="spellStart"/>
            <w:r w:rsidRPr="006F4589">
              <w:rPr>
                <w:i/>
                <w:sz w:val="20"/>
                <w:szCs w:val="20"/>
              </w:rPr>
              <w:t>Eurosystem</w:t>
            </w:r>
            <w:proofErr w:type="spellEnd"/>
            <w:r w:rsidRPr="006F4589">
              <w:rPr>
                <w:i/>
                <w:sz w:val="20"/>
                <w:szCs w:val="20"/>
              </w:rPr>
              <w:t xml:space="preserve"> and ECB staff </w:t>
            </w:r>
            <w:proofErr w:type="spellStart"/>
            <w:r w:rsidRPr="006F4589">
              <w:rPr>
                <w:i/>
                <w:sz w:val="20"/>
                <w:szCs w:val="20"/>
              </w:rPr>
              <w:t>projection</w:t>
            </w:r>
            <w:proofErr w:type="spellEnd"/>
            <w:r w:rsidRPr="006F4589">
              <w:rPr>
                <w:i/>
                <w:sz w:val="20"/>
                <w:szCs w:val="20"/>
              </w:rPr>
              <w:t xml:space="preserve"> </w:t>
            </w:r>
            <w:proofErr w:type="spellStart"/>
            <w:r w:rsidRPr="006F4589">
              <w:rPr>
                <w:i/>
                <w:sz w:val="20"/>
                <w:szCs w:val="20"/>
              </w:rPr>
              <w:t>ranges</w:t>
            </w:r>
            <w:proofErr w:type="spellEnd"/>
            <w:r w:rsidRPr="0079234F">
              <w:rPr>
                <w:sz w:val="20"/>
                <w:szCs w:val="20"/>
              </w:rPr>
              <w:t xml:space="preserve"> (BCE, diciembre de 2009).</w:t>
            </w:r>
          </w:p>
          <w:p w:rsidR="0079234F" w:rsidRPr="00FE1D6E" w:rsidRDefault="0079234F" w:rsidP="003F5D0D">
            <w:pPr>
              <w:ind w:left="1735" w:right="983" w:hanging="910"/>
              <w:jc w:val="both"/>
              <w:rPr>
                <w:color w:val="221F1F"/>
                <w:spacing w:val="1"/>
                <w:sz w:val="20"/>
                <w:szCs w:val="20"/>
              </w:rPr>
            </w:pPr>
            <w:r w:rsidRPr="00FE1D6E">
              <w:rPr>
                <w:color w:val="221F1F"/>
                <w:spacing w:val="1"/>
                <w:sz w:val="20"/>
                <w:szCs w:val="20"/>
              </w:rPr>
              <w:t xml:space="preserve">FUENTE: </w:t>
            </w:r>
            <w:proofErr w:type="spellStart"/>
            <w:r w:rsidRPr="0079234F">
              <w:rPr>
                <w:color w:val="221F1F"/>
                <w:spacing w:val="1"/>
                <w:sz w:val="20"/>
                <w:szCs w:val="20"/>
              </w:rPr>
              <w:t>Eurostat</w:t>
            </w:r>
            <w:proofErr w:type="spellEnd"/>
            <w:r w:rsidRPr="0079234F">
              <w:rPr>
                <w:color w:val="221F1F"/>
                <w:spacing w:val="1"/>
                <w:sz w:val="20"/>
                <w:szCs w:val="20"/>
              </w:rPr>
              <w:t xml:space="preserve"> y documento titulado </w:t>
            </w:r>
            <w:r w:rsidR="006F4589">
              <w:rPr>
                <w:color w:val="221F1F"/>
                <w:spacing w:val="1"/>
                <w:sz w:val="20"/>
                <w:szCs w:val="20"/>
              </w:rPr>
              <w:t>“</w:t>
            </w:r>
            <w:r w:rsidRPr="006F4589">
              <w:rPr>
                <w:color w:val="221F1F"/>
                <w:spacing w:val="1"/>
                <w:sz w:val="20"/>
                <w:szCs w:val="20"/>
              </w:rPr>
              <w:t>Proyecciones macroeconómicas de marzo de 2015 elaboradas por los expertos del BCE para la zona del euro</w:t>
            </w:r>
            <w:r w:rsidR="006F4589">
              <w:rPr>
                <w:color w:val="221F1F"/>
                <w:spacing w:val="1"/>
                <w:sz w:val="20"/>
                <w:szCs w:val="20"/>
              </w:rPr>
              <w:t>”</w:t>
            </w:r>
            <w:r w:rsidRPr="0079234F">
              <w:rPr>
                <w:color w:val="221F1F"/>
                <w:spacing w:val="1"/>
                <w:sz w:val="20"/>
                <w:szCs w:val="20"/>
              </w:rPr>
              <w:t>, publicado en el sitio web del BCE el 5 de</w:t>
            </w:r>
            <w:r>
              <w:rPr>
                <w:color w:val="221F1F"/>
                <w:spacing w:val="1"/>
                <w:sz w:val="20"/>
                <w:szCs w:val="20"/>
              </w:rPr>
              <w:t xml:space="preserve"> </w:t>
            </w:r>
            <w:r w:rsidRPr="0079234F">
              <w:rPr>
                <w:color w:val="221F1F"/>
                <w:spacing w:val="1"/>
                <w:sz w:val="20"/>
                <w:szCs w:val="20"/>
              </w:rPr>
              <w:t>marzo</w:t>
            </w:r>
            <w:r>
              <w:rPr>
                <w:color w:val="221F1F"/>
                <w:spacing w:val="1"/>
                <w:sz w:val="20"/>
                <w:szCs w:val="20"/>
              </w:rPr>
              <w:t xml:space="preserve"> </w:t>
            </w:r>
            <w:r w:rsidRPr="0079234F">
              <w:rPr>
                <w:color w:val="221F1F"/>
                <w:spacing w:val="1"/>
                <w:sz w:val="20"/>
                <w:szCs w:val="20"/>
              </w:rPr>
              <w:t>de 2015.</w:t>
            </w:r>
          </w:p>
        </w:tc>
      </w:tr>
    </w:tbl>
    <w:p w:rsidR="0023171E" w:rsidRPr="0023171E" w:rsidRDefault="0023171E" w:rsidP="0023171E">
      <w:pPr>
        <w:spacing w:before="360" w:after="360" w:line="360" w:lineRule="auto"/>
        <w:jc w:val="both"/>
        <w:rPr>
          <w:sz w:val="26"/>
          <w:szCs w:val="26"/>
        </w:rPr>
      </w:pPr>
      <w:r w:rsidRPr="0023171E">
        <w:rPr>
          <w:sz w:val="26"/>
          <w:szCs w:val="26"/>
        </w:rPr>
        <w:lastRenderedPageBreak/>
        <w:t xml:space="preserve">La mejora de la situación en los mercados de trabajo y la disminución del grado de holgura de la economía conllevan un aumento de las presiones internas sobre los precios en el horizonte de las proyecciones. Se prevé que el crecimiento actual del empleo y la disminución de la tasa de paro sostengan un aumento gradual del crecimiento de la remuneración por asalariado, aunque los actuales procesos de ajuste de la competitividad en términos de </w:t>
      </w:r>
      <w:r w:rsidR="00601452">
        <w:rPr>
          <w:sz w:val="26"/>
          <w:szCs w:val="26"/>
        </w:rPr>
        <w:t>costo</w:t>
      </w:r>
      <w:r w:rsidRPr="0023171E">
        <w:rPr>
          <w:sz w:val="26"/>
          <w:szCs w:val="26"/>
        </w:rPr>
        <w:t xml:space="preserve">s en algunos países de la zona del euro están dificultando una recuperación más fuerte. Aunque el crecimiento de la remuneración por asalariado está repuntando, la mejora cíclica de la productividad resultante implica un perfil de crecimiento de los </w:t>
      </w:r>
      <w:r w:rsidR="00601452">
        <w:rPr>
          <w:sz w:val="26"/>
          <w:szCs w:val="26"/>
        </w:rPr>
        <w:t>costo</w:t>
      </w:r>
      <w:r w:rsidRPr="0023171E">
        <w:rPr>
          <w:sz w:val="26"/>
          <w:szCs w:val="26"/>
        </w:rPr>
        <w:t xml:space="preserve">s laborales unitarios sin cambios en los dos próximos años. Según las previsiones, en 2017, el avance del crecimiento de la remuneración por asalariado superará ligeramente el de la productividad, dado que se espera un repunte de los salarios en algunos países como consecuencia de la recuperación económica en curso tras años de moderación salarial. Después de experimentar un descenso en 2015, se espera que los márgenes se incrementen durante el resto del horizonte de las proyecciones cuando la productividad se recupere de manera significativa y la actividad económica se fortalezca, así como que estos dos factores sean los principales determinantes del incremento de las presiones internas sobre los </w:t>
      </w:r>
      <w:r w:rsidR="00601452">
        <w:rPr>
          <w:sz w:val="26"/>
          <w:szCs w:val="26"/>
        </w:rPr>
        <w:t>costo</w:t>
      </w:r>
      <w:r w:rsidRPr="0023171E">
        <w:rPr>
          <w:sz w:val="26"/>
          <w:szCs w:val="26"/>
        </w:rPr>
        <w:t>s hasta 2017.</w:t>
      </w:r>
    </w:p>
    <w:p w:rsidR="0023171E" w:rsidRPr="0023171E" w:rsidRDefault="0023171E" w:rsidP="0023171E">
      <w:pPr>
        <w:spacing w:before="360" w:after="360" w:line="360" w:lineRule="auto"/>
        <w:jc w:val="both"/>
        <w:rPr>
          <w:sz w:val="26"/>
          <w:szCs w:val="26"/>
        </w:rPr>
      </w:pPr>
      <w:r w:rsidRPr="0023171E">
        <w:rPr>
          <w:sz w:val="26"/>
          <w:szCs w:val="26"/>
        </w:rPr>
        <w:t>Se espera que las medidas de política monetaria no convencionales contribuyan a que la inflación aumente durante el horizonte de las proyecciones a través de presiones internas y externas sobre los precios. Se prevé que el impacto favorable de las medidas de política monetaria no convencional aplicada recientemente en el crecimiento del PIB real y el cierre más rápido de la brecha de producción resultante redunde en beneficio de los márgenes y de los salarios. El impacto a la baja de estas medidas en el tipo de cambio del euro conlleva presiones externas adicionales sobre los precios a través del canal de tipos de cambio. Además, los efectos favorables en los niveles de confianza derivados de estas medidas deberían contribuir a estabilizar las expectativas de inflación.</w:t>
      </w:r>
    </w:p>
    <w:p w:rsidR="0023171E" w:rsidRDefault="0023171E" w:rsidP="007D69FB">
      <w:pPr>
        <w:spacing w:before="360" w:after="360" w:line="360" w:lineRule="auto"/>
        <w:jc w:val="both"/>
        <w:rPr>
          <w:sz w:val="26"/>
          <w:szCs w:val="26"/>
        </w:rPr>
      </w:pPr>
      <w:r w:rsidRPr="0023171E">
        <w:rPr>
          <w:sz w:val="26"/>
          <w:szCs w:val="26"/>
        </w:rPr>
        <w:lastRenderedPageBreak/>
        <w:t>El Consejo de Gobierno del BCE anunció que realizará un atento seguimiento de los riesgos para las perspectivas de evolución de los precios a medio plazo. En este contexto, prestará especial atención a la transmisión de las medidas de política monetaria y a los acontecimientos geopolíticos, así como a la evolución del tipo de cambio y de los precios de la energía.</w:t>
      </w:r>
    </w:p>
    <w:tbl>
      <w:tblPr>
        <w:tblStyle w:val="Tablaconcuadrcula"/>
        <w:tblW w:w="0" w:type="auto"/>
        <w:tblLook w:val="04A0" w:firstRow="1" w:lastRow="0" w:firstColumn="1" w:lastColumn="0" w:noHBand="0" w:noVBand="1"/>
      </w:tblPr>
      <w:tblGrid>
        <w:gridCol w:w="8830"/>
      </w:tblGrid>
      <w:tr w:rsidR="007D69FB" w:rsidTr="007D69FB">
        <w:tc>
          <w:tcPr>
            <w:tcW w:w="8830" w:type="dxa"/>
          </w:tcPr>
          <w:p w:rsidR="007D69FB" w:rsidRPr="00506331" w:rsidRDefault="00601452" w:rsidP="00601452">
            <w:pPr>
              <w:spacing w:before="360" w:after="360" w:line="360" w:lineRule="auto"/>
              <w:jc w:val="center"/>
              <w:rPr>
                <w:b/>
                <w:sz w:val="26"/>
                <w:szCs w:val="26"/>
              </w:rPr>
            </w:pPr>
            <w:r>
              <w:rPr>
                <w:b/>
                <w:sz w:val="26"/>
                <w:szCs w:val="26"/>
              </w:rPr>
              <w:t>Efectos del Comercio Electrónico en l</w:t>
            </w:r>
            <w:r w:rsidRPr="00506331">
              <w:rPr>
                <w:b/>
                <w:sz w:val="26"/>
                <w:szCs w:val="26"/>
              </w:rPr>
              <w:t>a Inflación</w:t>
            </w:r>
          </w:p>
          <w:p w:rsidR="007D69FB" w:rsidRPr="007D69FB" w:rsidRDefault="007D69FB" w:rsidP="007D69FB">
            <w:pPr>
              <w:spacing w:before="360" w:after="360" w:line="360" w:lineRule="auto"/>
              <w:jc w:val="both"/>
              <w:rPr>
                <w:sz w:val="26"/>
                <w:szCs w:val="26"/>
              </w:rPr>
            </w:pPr>
            <w:r w:rsidRPr="007D69FB">
              <w:rPr>
                <w:sz w:val="26"/>
                <w:szCs w:val="26"/>
              </w:rPr>
              <w:t>Se ha argumentado que el crecimiento del comercio electrónico contribuye a que los precios sean más bajos y, con ello, también a una inflación más reducida. La evidencia empírica disponible hasta la fecha sugiere que el efecto moderador sobre la inflación derivado de la expansión del comercio electrónico es limitado. No obstante, esta conclusión está sujeta a considerable incertidumbre, debido a las limitaciones de datos.</w:t>
            </w:r>
          </w:p>
          <w:p w:rsidR="007D69FB" w:rsidRPr="00601452" w:rsidRDefault="007D69FB" w:rsidP="007D69FB">
            <w:pPr>
              <w:spacing w:before="360" w:after="360" w:line="360" w:lineRule="auto"/>
              <w:jc w:val="both"/>
              <w:rPr>
                <w:b/>
                <w:sz w:val="26"/>
                <w:szCs w:val="26"/>
              </w:rPr>
            </w:pPr>
            <w:r w:rsidRPr="00601452">
              <w:rPr>
                <w:b/>
                <w:sz w:val="26"/>
                <w:szCs w:val="26"/>
              </w:rPr>
              <w:t xml:space="preserve">El impacto potencial del comercio electrónico en los precios y la inflación </w:t>
            </w:r>
          </w:p>
          <w:p w:rsidR="007D69FB" w:rsidRPr="007D69FB" w:rsidRDefault="007D69FB" w:rsidP="007D69FB">
            <w:pPr>
              <w:spacing w:before="360" w:after="360" w:line="360" w:lineRule="auto"/>
              <w:jc w:val="both"/>
              <w:rPr>
                <w:sz w:val="26"/>
                <w:szCs w:val="26"/>
              </w:rPr>
            </w:pPr>
            <w:r w:rsidRPr="007D69FB">
              <w:rPr>
                <w:sz w:val="26"/>
                <w:szCs w:val="26"/>
              </w:rPr>
              <w:t xml:space="preserve">En general, el término </w:t>
            </w:r>
            <w:r w:rsidRPr="006F4589">
              <w:rPr>
                <w:sz w:val="26"/>
                <w:szCs w:val="26"/>
              </w:rPr>
              <w:t>comercio electrónico</w:t>
            </w:r>
            <w:r w:rsidR="009771CF">
              <w:rPr>
                <w:i/>
                <w:sz w:val="26"/>
                <w:szCs w:val="26"/>
              </w:rPr>
              <w:t xml:space="preserve"> </w:t>
            </w:r>
            <w:r w:rsidRPr="007D69FB">
              <w:rPr>
                <w:sz w:val="26"/>
                <w:szCs w:val="26"/>
              </w:rPr>
              <w:t>se refiere a la compraventa de bienes o servicios a través de una red electrónica, como Internet. Las transacciones realizadas a través de Internet se han incrementado tanto en el comercio minorista como en el comercio entre empresas.</w:t>
            </w:r>
          </w:p>
          <w:p w:rsidR="007D69FB" w:rsidRDefault="007D69FB" w:rsidP="007D69FB">
            <w:pPr>
              <w:spacing w:before="360" w:after="360" w:line="360" w:lineRule="auto"/>
              <w:jc w:val="both"/>
              <w:rPr>
                <w:sz w:val="26"/>
                <w:szCs w:val="26"/>
              </w:rPr>
            </w:pPr>
            <w:r w:rsidRPr="007D69FB">
              <w:rPr>
                <w:sz w:val="26"/>
                <w:szCs w:val="26"/>
              </w:rPr>
              <w:t>El crecimiento del comercio electrónico puede reducir los precios principalmente de dos maneras. En primer lugar, en comparación con los canales de distribución convencionales con esta</w:t>
            </w:r>
            <w:r>
              <w:rPr>
                <w:sz w:val="26"/>
                <w:szCs w:val="26"/>
              </w:rPr>
              <w:t xml:space="preserve">blecimientos físicos, el </w:t>
            </w:r>
            <w:r w:rsidRPr="007D69FB">
              <w:rPr>
                <w:sz w:val="26"/>
                <w:szCs w:val="26"/>
              </w:rPr>
              <w:t xml:space="preserve">comercio electrónico ofrece la posibilidad de ahorrar </w:t>
            </w:r>
            <w:r w:rsidR="00601452">
              <w:rPr>
                <w:sz w:val="26"/>
                <w:szCs w:val="26"/>
              </w:rPr>
              <w:t>costo</w:t>
            </w:r>
            <w:r w:rsidRPr="007D69FB">
              <w:rPr>
                <w:sz w:val="26"/>
                <w:szCs w:val="26"/>
              </w:rPr>
              <w:t>s en los mercados mayoristas y minoristas que el comercio minorista, tanto tradicional como electrónico, pueden trasladar a sus clientes. En segundo lugar, el comercio electrónico puede contribuir a que los preci</w:t>
            </w:r>
            <w:r>
              <w:rPr>
                <w:sz w:val="26"/>
                <w:szCs w:val="26"/>
              </w:rPr>
              <w:t xml:space="preserve">os desciendan como consecuencia </w:t>
            </w:r>
            <w:r w:rsidRPr="007D69FB">
              <w:rPr>
                <w:sz w:val="26"/>
                <w:szCs w:val="26"/>
              </w:rPr>
              <w:t xml:space="preserve">mantener bajos los precios. Este último </w:t>
            </w:r>
            <w:r w:rsidRPr="007D69FB">
              <w:rPr>
                <w:sz w:val="26"/>
                <w:szCs w:val="26"/>
              </w:rPr>
              <w:lastRenderedPageBreak/>
              <w:t>efecto puede reducir los márgenes. Cabe observar que, en ambos casos, los precios pueden reducirse aunque la cuota de mercado del comercio electrónico todavía sea relativamente limitada.</w:t>
            </w:r>
          </w:p>
          <w:p w:rsidR="007D69FB" w:rsidRDefault="007D69FB" w:rsidP="007D69FB">
            <w:pPr>
              <w:spacing w:before="360" w:after="360" w:line="360" w:lineRule="auto"/>
              <w:jc w:val="both"/>
              <w:rPr>
                <w:sz w:val="26"/>
                <w:szCs w:val="26"/>
              </w:rPr>
            </w:pPr>
            <w:r w:rsidRPr="007D69FB">
              <w:rPr>
                <w:sz w:val="26"/>
                <w:szCs w:val="26"/>
              </w:rPr>
              <w:t>El efecto potencial sobre la inflación derivado del crecimiento del comercio electrónico solo se mantendría hasta que su expansión se haya estabilizado en todos los mercados, para lo que puede ser necesario que transcurra un prolongado período. Las transacciones comerciales electrónicas son una nueva tecnología a la que los mercados deben ajustarse gradualmente. Durante este proceso es posible que las presiones inflacionistas se moderen, pero es de esperar que el impacto disminuya cuando se establezca un nuevo equilibrio</w:t>
            </w:r>
            <w:r w:rsidRPr="007D69FB">
              <w:rPr>
                <w:sz w:val="26"/>
                <w:szCs w:val="26"/>
                <w:vertAlign w:val="superscript"/>
              </w:rPr>
              <w:t>1</w:t>
            </w:r>
            <w:r w:rsidRPr="007D69FB">
              <w:rPr>
                <w:sz w:val="26"/>
                <w:szCs w:val="26"/>
              </w:rPr>
              <w:t>.</w:t>
            </w:r>
          </w:p>
          <w:p w:rsidR="007D69FB" w:rsidRPr="00601452" w:rsidRDefault="007D69FB" w:rsidP="007D69FB">
            <w:pPr>
              <w:spacing w:before="360" w:after="360" w:line="360" w:lineRule="auto"/>
              <w:jc w:val="both"/>
              <w:rPr>
                <w:b/>
                <w:sz w:val="26"/>
                <w:szCs w:val="26"/>
              </w:rPr>
            </w:pPr>
            <w:r w:rsidRPr="00601452">
              <w:rPr>
                <w:b/>
                <w:sz w:val="26"/>
                <w:szCs w:val="26"/>
              </w:rPr>
              <w:t>La utilización del comercio electrónico en la zona del euro</w:t>
            </w:r>
          </w:p>
          <w:p w:rsidR="007D69FB" w:rsidRDefault="007D69FB" w:rsidP="007D69FB">
            <w:pPr>
              <w:spacing w:before="360" w:after="360" w:line="360" w:lineRule="auto"/>
              <w:jc w:val="both"/>
              <w:rPr>
                <w:sz w:val="26"/>
                <w:szCs w:val="26"/>
              </w:rPr>
            </w:pPr>
            <w:r w:rsidRPr="007D69FB">
              <w:rPr>
                <w:sz w:val="26"/>
                <w:szCs w:val="26"/>
              </w:rPr>
              <w:t>En los diez últimos años, el porcentaje de ventas por comercio electrónico a particulares y empresas en el volumen de negocio total ha aumentado en la mayor parte de los países de la zona del euro, aunque todavía se observan diferencias significativas (</w:t>
            </w:r>
            <w:r w:rsidR="00361E75">
              <w:rPr>
                <w:sz w:val="26"/>
                <w:szCs w:val="26"/>
              </w:rPr>
              <w:t>ver gráfica siguiente</w:t>
            </w:r>
            <w:r w:rsidRPr="007D69FB">
              <w:rPr>
                <w:sz w:val="26"/>
                <w:szCs w:val="26"/>
              </w:rPr>
              <w:t>)</w:t>
            </w:r>
            <w:r w:rsidRPr="007D69FB">
              <w:rPr>
                <w:sz w:val="26"/>
                <w:szCs w:val="26"/>
                <w:vertAlign w:val="superscript"/>
              </w:rPr>
              <w:t>2</w:t>
            </w:r>
            <w:r w:rsidR="006F4589" w:rsidRPr="006F4589">
              <w:rPr>
                <w:sz w:val="26"/>
                <w:szCs w:val="26"/>
              </w:rPr>
              <w:t>.</w:t>
            </w:r>
            <w:r w:rsidRPr="007D69FB">
              <w:rPr>
                <w:sz w:val="26"/>
                <w:szCs w:val="26"/>
              </w:rPr>
              <w:t xml:space="preserve"> Las empresas de economías pequeñas y abiertas como Irlanda, Luxemburgo, Eslovaquia y Finlandia registraron el mayor porcentaje de ventas por comercio electrónico en 2014, seguidas de empresas de Alemania, Francia, Bélgica y España. El porcentaje de ventas por Internet en 2</w:t>
            </w:r>
            <w:r w:rsidR="006F4589">
              <w:rPr>
                <w:sz w:val="26"/>
                <w:szCs w:val="26"/>
              </w:rPr>
              <w:t>014 continuó siendo comparativa</w:t>
            </w:r>
            <w:r w:rsidRPr="007D69FB">
              <w:rPr>
                <w:sz w:val="26"/>
                <w:szCs w:val="26"/>
              </w:rPr>
              <w:t>mente reducido en Grecia, Chipre, Italia y Malta, así como en Letonia y Lituania, con niveles inferiores al 10</w:t>
            </w:r>
            <w:r w:rsidR="00601452">
              <w:rPr>
                <w:sz w:val="26"/>
                <w:szCs w:val="26"/>
              </w:rPr>
              <w:t>%</w:t>
            </w:r>
            <w:r w:rsidRPr="007D69FB">
              <w:rPr>
                <w:sz w:val="26"/>
                <w:szCs w:val="26"/>
              </w:rPr>
              <w:t>. Se ha observado un incremento especialmente marcado de las ventas por comercio electrónico, desde unos niveles de partida bajos en 2003, en los últimos países en incorporarse a la zona del euro (Chipre, Eslovaquia, Estonia, Lituania y Letonia), en los que se ha expandido considerablemente la cobertura de Internet de alta velocidad, así como en España y Portugal.</w:t>
            </w:r>
          </w:p>
          <w:p w:rsidR="00506331" w:rsidRPr="00361E75" w:rsidRDefault="00506331" w:rsidP="007D69FB">
            <w:pPr>
              <w:spacing w:before="360" w:after="360" w:line="360" w:lineRule="auto"/>
              <w:jc w:val="both"/>
              <w:rPr>
                <w:sz w:val="20"/>
                <w:szCs w:val="26"/>
              </w:rPr>
            </w:pP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506331" w:rsidRPr="00FE1D6E" w:rsidTr="00A14B35">
              <w:tc>
                <w:tcPr>
                  <w:tcW w:w="8604" w:type="dxa"/>
                </w:tcPr>
                <w:p w:rsidR="00506331" w:rsidRDefault="00506331" w:rsidP="00506331">
                  <w:pPr>
                    <w:jc w:val="center"/>
                    <w:rPr>
                      <w:b/>
                      <w:sz w:val="22"/>
                      <w:szCs w:val="22"/>
                    </w:rPr>
                  </w:pPr>
                  <w:r w:rsidRPr="00506331">
                    <w:rPr>
                      <w:b/>
                      <w:sz w:val="22"/>
                      <w:szCs w:val="22"/>
                    </w:rPr>
                    <w:t>VENTAS ELECTRÓNICAS POR EMPRESA</w:t>
                  </w:r>
                  <w:r>
                    <w:rPr>
                      <w:b/>
                      <w:sz w:val="22"/>
                      <w:szCs w:val="22"/>
                    </w:rPr>
                    <w:t xml:space="preserve"> </w:t>
                  </w:r>
                  <w:r w:rsidRPr="00506331">
                    <w:rPr>
                      <w:b/>
                      <w:sz w:val="22"/>
                      <w:szCs w:val="22"/>
                    </w:rPr>
                    <w:t xml:space="preserve">EN PORCENTAJE </w:t>
                  </w:r>
                </w:p>
                <w:p w:rsidR="00506331" w:rsidRPr="00506331" w:rsidRDefault="00506331" w:rsidP="00506331">
                  <w:pPr>
                    <w:jc w:val="center"/>
                    <w:rPr>
                      <w:b/>
                      <w:sz w:val="22"/>
                      <w:szCs w:val="22"/>
                    </w:rPr>
                  </w:pPr>
                  <w:r w:rsidRPr="00506331">
                    <w:rPr>
                      <w:b/>
                      <w:sz w:val="22"/>
                      <w:szCs w:val="22"/>
                    </w:rPr>
                    <w:t>DEL VOLUMEN DE NEGOCIO TOTAL</w:t>
                  </w:r>
                </w:p>
              </w:tc>
            </w:tr>
            <w:tr w:rsidR="00506331" w:rsidRPr="00FE1D6E" w:rsidTr="00506331">
              <w:trPr>
                <w:trHeight w:val="5062"/>
              </w:trPr>
              <w:tc>
                <w:tcPr>
                  <w:tcW w:w="8604" w:type="dxa"/>
                </w:tcPr>
                <w:p w:rsidR="00506331" w:rsidRPr="00FE1D6E" w:rsidRDefault="008C683E" w:rsidP="00506331">
                  <w:pPr>
                    <w:jc w:val="center"/>
                    <w:rPr>
                      <w:color w:val="221F1F"/>
                      <w:spacing w:val="1"/>
                      <w:sz w:val="26"/>
                      <w:szCs w:val="26"/>
                    </w:rPr>
                  </w:pPr>
                  <w:r>
                    <w:rPr>
                      <w:noProof/>
                      <w:lang w:val="es-MX" w:eastAsia="es-MX"/>
                    </w:rPr>
                    <w:drawing>
                      <wp:inline distT="0" distB="0" distL="0" distR="0" wp14:anchorId="25D4FBA0" wp14:editId="0A621590">
                        <wp:extent cx="3348462" cy="3875918"/>
                        <wp:effectExtent l="0" t="0" r="4445" b="0"/>
                        <wp:docPr id="3145" name="Imagen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57331" t="18443" r="10505" b="15336"/>
                                <a:stretch/>
                              </pic:blipFill>
                              <pic:spPr bwMode="auto">
                                <a:xfrm>
                                  <a:off x="0" y="0"/>
                                  <a:ext cx="3368045" cy="3898586"/>
                                </a:xfrm>
                                <a:prstGeom prst="rect">
                                  <a:avLst/>
                                </a:prstGeom>
                                <a:ln>
                                  <a:noFill/>
                                </a:ln>
                                <a:extLst>
                                  <a:ext uri="{53640926-AAD7-44D8-BBD7-CCE9431645EC}">
                                    <a14:shadowObscured xmlns:a14="http://schemas.microsoft.com/office/drawing/2010/main"/>
                                  </a:ext>
                                </a:extLst>
                              </pic:spPr>
                            </pic:pic>
                          </a:graphicData>
                        </a:graphic>
                      </wp:inline>
                    </w:drawing>
                  </w:r>
                </w:p>
              </w:tc>
            </w:tr>
            <w:tr w:rsidR="00506331" w:rsidRPr="00FE1D6E" w:rsidTr="00A14B35">
              <w:tc>
                <w:tcPr>
                  <w:tcW w:w="8604" w:type="dxa"/>
                </w:tcPr>
                <w:p w:rsidR="00506331" w:rsidRDefault="00506331" w:rsidP="00361E75">
                  <w:pPr>
                    <w:ind w:left="2020" w:right="1805" w:hanging="602"/>
                    <w:jc w:val="both"/>
                    <w:rPr>
                      <w:sz w:val="20"/>
                      <w:szCs w:val="20"/>
                    </w:rPr>
                  </w:pPr>
                  <w:r w:rsidRPr="0091140E">
                    <w:rPr>
                      <w:sz w:val="20"/>
                      <w:szCs w:val="20"/>
                    </w:rPr>
                    <w:t xml:space="preserve">Notas: </w:t>
                  </w:r>
                  <w:r w:rsidRPr="00506331">
                    <w:rPr>
                      <w:sz w:val="20"/>
                      <w:szCs w:val="20"/>
                    </w:rPr>
                    <w:t>Todas las empre</w:t>
                  </w:r>
                  <w:r>
                    <w:rPr>
                      <w:sz w:val="20"/>
                      <w:szCs w:val="20"/>
                    </w:rPr>
                    <w:t>sas, excluidas las del sector fi</w:t>
                  </w:r>
                  <w:r w:rsidRPr="00506331">
                    <w:rPr>
                      <w:sz w:val="20"/>
                      <w:szCs w:val="20"/>
                    </w:rPr>
                    <w:t>nanciero (con</w:t>
                  </w:r>
                  <w:r>
                    <w:rPr>
                      <w:sz w:val="20"/>
                      <w:szCs w:val="20"/>
                    </w:rPr>
                    <w:t xml:space="preserve"> </w:t>
                  </w:r>
                  <w:r w:rsidRPr="00506331">
                    <w:rPr>
                      <w:sz w:val="20"/>
                      <w:szCs w:val="20"/>
                    </w:rPr>
                    <w:t>diez o más empleados). Se incluyen las ventas entre empresas y de</w:t>
                  </w:r>
                  <w:r>
                    <w:rPr>
                      <w:sz w:val="20"/>
                      <w:szCs w:val="20"/>
                    </w:rPr>
                    <w:t xml:space="preserve"> </w:t>
                  </w:r>
                  <w:r w:rsidRPr="00506331">
                    <w:rPr>
                      <w:sz w:val="20"/>
                      <w:szCs w:val="20"/>
                    </w:rPr>
                    <w:t>empresas a particulare</w:t>
                  </w:r>
                  <w:r>
                    <w:rPr>
                      <w:sz w:val="20"/>
                      <w:szCs w:val="20"/>
                    </w:rPr>
                    <w:t>s. La primera observación se refi</w:t>
                  </w:r>
                  <w:r w:rsidRPr="00506331">
                    <w:rPr>
                      <w:sz w:val="20"/>
                      <w:szCs w:val="20"/>
                    </w:rPr>
                    <w:t>ere a 2004</w:t>
                  </w:r>
                  <w:r>
                    <w:rPr>
                      <w:sz w:val="20"/>
                      <w:szCs w:val="20"/>
                    </w:rPr>
                    <w:t xml:space="preserve"> </w:t>
                  </w:r>
                  <w:r w:rsidRPr="00506331">
                    <w:rPr>
                      <w:sz w:val="20"/>
                      <w:szCs w:val="20"/>
                    </w:rPr>
                    <w:t>para DE, EE y LT, a 2005 para CY, LV y SK, a 2006 para SI, a 2007</w:t>
                  </w:r>
                  <w:r>
                    <w:rPr>
                      <w:sz w:val="20"/>
                      <w:szCs w:val="20"/>
                    </w:rPr>
                    <w:t xml:space="preserve"> </w:t>
                  </w:r>
                  <w:r w:rsidRPr="00506331">
                    <w:rPr>
                      <w:sz w:val="20"/>
                      <w:szCs w:val="20"/>
                    </w:rPr>
                    <w:t>para NL, y a 2008 para MT y FR. La última observación corresponde</w:t>
                  </w:r>
                  <w:r>
                    <w:rPr>
                      <w:sz w:val="20"/>
                      <w:szCs w:val="20"/>
                    </w:rPr>
                    <w:t xml:space="preserve"> </w:t>
                  </w:r>
                  <w:r w:rsidRPr="00506331">
                    <w:rPr>
                      <w:sz w:val="20"/>
                      <w:szCs w:val="20"/>
                    </w:rPr>
                    <w:t>a 2012 para BE y 2013 para SI. Para LU solo se dispone de datos</w:t>
                  </w:r>
                  <w:r>
                    <w:rPr>
                      <w:sz w:val="20"/>
                      <w:szCs w:val="20"/>
                    </w:rPr>
                    <w:t xml:space="preserve"> </w:t>
                  </w:r>
                  <w:r w:rsidRPr="00506331">
                    <w:rPr>
                      <w:sz w:val="20"/>
                      <w:szCs w:val="20"/>
                    </w:rPr>
                    <w:t>para</w:t>
                  </w:r>
                  <w:r>
                    <w:rPr>
                      <w:sz w:val="20"/>
                      <w:szCs w:val="20"/>
                    </w:rPr>
                    <w:t xml:space="preserve"> </w:t>
                  </w:r>
                  <w:r w:rsidRPr="00506331">
                    <w:rPr>
                      <w:sz w:val="20"/>
                      <w:szCs w:val="20"/>
                    </w:rPr>
                    <w:t>2012.</w:t>
                  </w:r>
                </w:p>
                <w:p w:rsidR="00506331" w:rsidRPr="00FE1D6E" w:rsidRDefault="00506331" w:rsidP="00361E75">
                  <w:pPr>
                    <w:ind w:left="2020" w:right="1805" w:hanging="869"/>
                    <w:jc w:val="both"/>
                    <w:rPr>
                      <w:color w:val="221F1F"/>
                      <w:spacing w:val="1"/>
                      <w:sz w:val="20"/>
                      <w:szCs w:val="20"/>
                    </w:rPr>
                  </w:pPr>
                  <w:r w:rsidRPr="00FE1D6E">
                    <w:rPr>
                      <w:color w:val="221F1F"/>
                      <w:spacing w:val="1"/>
                      <w:sz w:val="20"/>
                      <w:szCs w:val="20"/>
                    </w:rPr>
                    <w:t xml:space="preserve">FUENTE: </w:t>
                  </w:r>
                  <w:proofErr w:type="spellStart"/>
                  <w:r w:rsidRPr="00506331">
                    <w:rPr>
                      <w:color w:val="221F1F"/>
                      <w:spacing w:val="1"/>
                      <w:sz w:val="20"/>
                      <w:szCs w:val="20"/>
                    </w:rPr>
                    <w:t>Eurostat</w:t>
                  </w:r>
                  <w:proofErr w:type="spellEnd"/>
                  <w:r w:rsidRPr="00506331">
                    <w:rPr>
                      <w:color w:val="221F1F"/>
                      <w:spacing w:val="1"/>
                      <w:sz w:val="20"/>
                      <w:szCs w:val="20"/>
                    </w:rPr>
                    <w:t xml:space="preserve"> y Comisión Europea.</w:t>
                  </w:r>
                </w:p>
              </w:tc>
            </w:tr>
          </w:tbl>
          <w:p w:rsidR="007D69FB" w:rsidRDefault="007D69FB" w:rsidP="007D69FB">
            <w:pPr>
              <w:spacing w:before="360" w:after="360" w:line="360" w:lineRule="auto"/>
              <w:jc w:val="both"/>
              <w:rPr>
                <w:sz w:val="26"/>
                <w:szCs w:val="26"/>
              </w:rPr>
            </w:pPr>
            <w:r w:rsidRPr="007D69FB">
              <w:rPr>
                <w:sz w:val="26"/>
                <w:szCs w:val="26"/>
              </w:rPr>
              <w:t xml:space="preserve">La menor penetración del comercio electrónico en algunos países puede deberse, en cierta medida, a la existencia de una proporción considerablemente mayor de pequeñas y medianas empresas, que suelen tender a vender menos a través de Internet que las grandes empresas. Además, algunos países de la zona del euro van a la zaga de otros en lo que respecta a un acceso </w:t>
            </w:r>
            <w:r w:rsidRPr="006F4589">
              <w:rPr>
                <w:sz w:val="26"/>
                <w:szCs w:val="26"/>
              </w:rPr>
              <w:t>muy rápido</w:t>
            </w:r>
            <w:r w:rsidRPr="007D69FB">
              <w:rPr>
                <w:sz w:val="26"/>
                <w:szCs w:val="26"/>
              </w:rPr>
              <w:t xml:space="preserve"> a Internet.</w:t>
            </w:r>
          </w:p>
          <w:p w:rsidR="007D69FB" w:rsidRDefault="007D69FB" w:rsidP="007D69FB">
            <w:pPr>
              <w:spacing w:before="360" w:after="360" w:line="360" w:lineRule="auto"/>
              <w:jc w:val="both"/>
              <w:rPr>
                <w:sz w:val="26"/>
                <w:szCs w:val="26"/>
              </w:rPr>
            </w:pPr>
            <w:r w:rsidRPr="007D69FB">
              <w:rPr>
                <w:sz w:val="26"/>
                <w:szCs w:val="26"/>
              </w:rPr>
              <w:lastRenderedPageBreak/>
              <w:t>El porcentaje de personas que utilizan Internet para obtener información sobre bienes y servicios o realizar compras a través de Internet ha aumentado considerablemente en los diez últimos años (</w:t>
            </w:r>
            <w:r w:rsidR="00A7243E">
              <w:rPr>
                <w:sz w:val="26"/>
                <w:szCs w:val="26"/>
              </w:rPr>
              <w:t>ver gráficas siguientes</w:t>
            </w:r>
            <w:r w:rsidRPr="007D69FB">
              <w:rPr>
                <w:sz w:val="26"/>
                <w:szCs w:val="26"/>
              </w:rPr>
              <w:t>). En todos los países de la zona del euro excepto en Italia, el porcentaje de personas que buscan información en Internet fue superior al 50</w:t>
            </w:r>
            <w:r w:rsidR="00601452">
              <w:rPr>
                <w:sz w:val="26"/>
                <w:szCs w:val="26"/>
              </w:rPr>
              <w:t>%</w:t>
            </w:r>
            <w:r w:rsidRPr="007D69FB">
              <w:rPr>
                <w:sz w:val="26"/>
                <w:szCs w:val="26"/>
              </w:rPr>
              <w:t xml:space="preserve"> en 2014. Para entonces, también la proporción de personas que adquirían bienes y servicios a través de Internet se había duplicado, como mínimo, en comparación con 2003.</w:t>
            </w: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361E75" w:rsidRPr="00FE1D6E" w:rsidTr="00A14B35">
              <w:tc>
                <w:tcPr>
                  <w:tcW w:w="8604" w:type="dxa"/>
                </w:tcPr>
                <w:p w:rsidR="00361E75" w:rsidRDefault="00361E75" w:rsidP="00361E75">
                  <w:pPr>
                    <w:jc w:val="center"/>
                    <w:rPr>
                      <w:b/>
                      <w:sz w:val="22"/>
                      <w:szCs w:val="22"/>
                    </w:rPr>
                  </w:pPr>
                  <w:r w:rsidRPr="00361E75">
                    <w:rPr>
                      <w:b/>
                      <w:sz w:val="22"/>
                      <w:szCs w:val="22"/>
                    </w:rPr>
                    <w:t>PORCENTAJE DE PERSONAS QUE BUSCAN</w:t>
                  </w:r>
                  <w:r>
                    <w:rPr>
                      <w:b/>
                      <w:sz w:val="22"/>
                      <w:szCs w:val="22"/>
                    </w:rPr>
                    <w:t xml:space="preserve"> </w:t>
                  </w:r>
                  <w:r w:rsidRPr="00361E75">
                    <w:rPr>
                      <w:b/>
                      <w:sz w:val="22"/>
                      <w:szCs w:val="22"/>
                    </w:rPr>
                    <w:t xml:space="preserve">INFORMACIÓN </w:t>
                  </w:r>
                </w:p>
                <w:p w:rsidR="00361E75" w:rsidRPr="00506331" w:rsidRDefault="00361E75" w:rsidP="00361E75">
                  <w:pPr>
                    <w:jc w:val="center"/>
                    <w:rPr>
                      <w:b/>
                      <w:sz w:val="22"/>
                      <w:szCs w:val="22"/>
                    </w:rPr>
                  </w:pPr>
                  <w:r w:rsidRPr="00361E75">
                    <w:rPr>
                      <w:b/>
                      <w:sz w:val="22"/>
                      <w:szCs w:val="22"/>
                    </w:rPr>
                    <w:t>SOBRE BIENES Y SERVICIOS EN INTERNET</w:t>
                  </w:r>
                </w:p>
              </w:tc>
            </w:tr>
            <w:tr w:rsidR="00361E75" w:rsidRPr="00FE1D6E" w:rsidTr="00A14B35">
              <w:trPr>
                <w:trHeight w:val="5062"/>
              </w:trPr>
              <w:tc>
                <w:tcPr>
                  <w:tcW w:w="8604" w:type="dxa"/>
                </w:tcPr>
                <w:p w:rsidR="00361E75" w:rsidRPr="00FE1D6E" w:rsidRDefault="00361E75" w:rsidP="00361E75">
                  <w:pPr>
                    <w:jc w:val="center"/>
                    <w:rPr>
                      <w:color w:val="221F1F"/>
                      <w:spacing w:val="1"/>
                      <w:sz w:val="26"/>
                      <w:szCs w:val="26"/>
                    </w:rPr>
                  </w:pPr>
                  <w:r>
                    <w:rPr>
                      <w:noProof/>
                      <w:lang w:val="es-MX" w:eastAsia="es-MX"/>
                    </w:rPr>
                    <w:drawing>
                      <wp:inline distT="0" distB="0" distL="0" distR="0" wp14:anchorId="61FE66A7" wp14:editId="5464058A">
                        <wp:extent cx="3030279" cy="3511799"/>
                        <wp:effectExtent l="0" t="0" r="0" b="0"/>
                        <wp:docPr id="3158" name="Imagen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13448" t="11792" r="49614" b="12068"/>
                                <a:stretch/>
                              </pic:blipFill>
                              <pic:spPr bwMode="auto">
                                <a:xfrm>
                                  <a:off x="0" y="0"/>
                                  <a:ext cx="3037485" cy="3520150"/>
                                </a:xfrm>
                                <a:prstGeom prst="rect">
                                  <a:avLst/>
                                </a:prstGeom>
                                <a:ln>
                                  <a:noFill/>
                                </a:ln>
                                <a:extLst>
                                  <a:ext uri="{53640926-AAD7-44D8-BBD7-CCE9431645EC}">
                                    <a14:shadowObscured xmlns:a14="http://schemas.microsoft.com/office/drawing/2010/main"/>
                                  </a:ext>
                                </a:extLst>
                              </pic:spPr>
                            </pic:pic>
                          </a:graphicData>
                        </a:graphic>
                      </wp:inline>
                    </w:drawing>
                  </w:r>
                </w:p>
              </w:tc>
            </w:tr>
            <w:tr w:rsidR="00361E75" w:rsidRPr="00FE1D6E" w:rsidTr="00A14B35">
              <w:tc>
                <w:tcPr>
                  <w:tcW w:w="8604" w:type="dxa"/>
                </w:tcPr>
                <w:p w:rsidR="00EB17B0" w:rsidRDefault="00361E75" w:rsidP="00EB17B0">
                  <w:pPr>
                    <w:ind w:left="2020" w:right="1805" w:hanging="602"/>
                    <w:jc w:val="both"/>
                    <w:rPr>
                      <w:sz w:val="20"/>
                      <w:szCs w:val="20"/>
                    </w:rPr>
                  </w:pPr>
                  <w:r w:rsidRPr="0091140E">
                    <w:rPr>
                      <w:sz w:val="20"/>
                      <w:szCs w:val="20"/>
                    </w:rPr>
                    <w:t xml:space="preserve">Notas: </w:t>
                  </w:r>
                  <w:r w:rsidR="00EB17B0" w:rsidRPr="00EB17B0">
                    <w:rPr>
                      <w:sz w:val="20"/>
                      <w:szCs w:val="20"/>
                    </w:rPr>
                    <w:t>Personas de entre 16 y 74 años de edad. La primera observación</w:t>
                  </w:r>
                  <w:r w:rsidR="00EB17B0">
                    <w:rPr>
                      <w:sz w:val="20"/>
                      <w:szCs w:val="20"/>
                    </w:rPr>
                    <w:t xml:space="preserve"> se refi</w:t>
                  </w:r>
                  <w:r w:rsidR="00EB17B0" w:rsidRPr="00EB17B0">
                    <w:rPr>
                      <w:sz w:val="20"/>
                      <w:szCs w:val="20"/>
                    </w:rPr>
                    <w:t>ere</w:t>
                  </w:r>
                  <w:r w:rsidR="00EB17B0">
                    <w:rPr>
                      <w:sz w:val="20"/>
                      <w:szCs w:val="20"/>
                    </w:rPr>
                    <w:t xml:space="preserve"> </w:t>
                  </w:r>
                  <w:r w:rsidR="00EB17B0" w:rsidRPr="00EB17B0">
                    <w:rPr>
                      <w:sz w:val="20"/>
                      <w:szCs w:val="20"/>
                    </w:rPr>
                    <w:t>a 2004 para CY,</w:t>
                  </w:r>
                  <w:r w:rsidR="00EB17B0">
                    <w:rPr>
                      <w:sz w:val="20"/>
                      <w:szCs w:val="20"/>
                    </w:rPr>
                    <w:t xml:space="preserve"> </w:t>
                  </w:r>
                  <w:r w:rsidR="00EB17B0" w:rsidRPr="00EB17B0">
                    <w:rPr>
                      <w:sz w:val="20"/>
                      <w:szCs w:val="20"/>
                    </w:rPr>
                    <w:t>SI, SK, EE y LV,</w:t>
                  </w:r>
                  <w:r w:rsidR="00EB17B0">
                    <w:rPr>
                      <w:sz w:val="20"/>
                      <w:szCs w:val="20"/>
                    </w:rPr>
                    <w:t xml:space="preserve"> </w:t>
                  </w:r>
                  <w:r w:rsidR="00EB17B0" w:rsidRPr="00EB17B0">
                    <w:rPr>
                      <w:sz w:val="20"/>
                      <w:szCs w:val="20"/>
                    </w:rPr>
                    <w:t>a 2005 para BE, IT</w:t>
                  </w:r>
                  <w:r w:rsidR="00EB17B0">
                    <w:rPr>
                      <w:sz w:val="20"/>
                      <w:szCs w:val="20"/>
                    </w:rPr>
                    <w:t xml:space="preserve"> </w:t>
                  </w:r>
                  <w:r w:rsidR="00EB17B0" w:rsidRPr="00EB17B0">
                    <w:rPr>
                      <w:sz w:val="20"/>
                      <w:szCs w:val="20"/>
                    </w:rPr>
                    <w:t>y</w:t>
                  </w:r>
                  <w:r w:rsidR="00EB17B0">
                    <w:rPr>
                      <w:sz w:val="20"/>
                      <w:szCs w:val="20"/>
                    </w:rPr>
                    <w:t xml:space="preserve"> </w:t>
                  </w:r>
                  <w:r w:rsidR="00EB17B0" w:rsidRPr="00EB17B0">
                    <w:rPr>
                      <w:sz w:val="20"/>
                      <w:szCs w:val="20"/>
                    </w:rPr>
                    <w:t>MT,</w:t>
                  </w:r>
                  <w:r w:rsidR="00EB17B0">
                    <w:rPr>
                      <w:sz w:val="20"/>
                      <w:szCs w:val="20"/>
                    </w:rPr>
                    <w:t xml:space="preserve"> </w:t>
                  </w:r>
                  <w:r w:rsidR="00EB17B0" w:rsidRPr="00EB17B0">
                    <w:rPr>
                      <w:sz w:val="20"/>
                      <w:szCs w:val="20"/>
                    </w:rPr>
                    <w:t>y a 2006 para FR.</w:t>
                  </w:r>
                </w:p>
                <w:p w:rsidR="00361E75" w:rsidRPr="00FE1D6E" w:rsidRDefault="00361E75" w:rsidP="00EB17B0">
                  <w:pPr>
                    <w:ind w:left="2020" w:right="1805" w:hanging="602"/>
                    <w:jc w:val="both"/>
                    <w:rPr>
                      <w:color w:val="221F1F"/>
                      <w:spacing w:val="1"/>
                      <w:sz w:val="20"/>
                      <w:szCs w:val="20"/>
                    </w:rPr>
                  </w:pPr>
                  <w:r w:rsidRPr="00FE1D6E">
                    <w:rPr>
                      <w:color w:val="221F1F"/>
                      <w:spacing w:val="1"/>
                      <w:sz w:val="20"/>
                      <w:szCs w:val="20"/>
                    </w:rPr>
                    <w:t xml:space="preserve">FUENTE: </w:t>
                  </w:r>
                  <w:proofErr w:type="spellStart"/>
                  <w:r w:rsidRPr="00506331">
                    <w:rPr>
                      <w:color w:val="221F1F"/>
                      <w:spacing w:val="1"/>
                      <w:sz w:val="20"/>
                      <w:szCs w:val="20"/>
                    </w:rPr>
                    <w:t>Eurostat</w:t>
                  </w:r>
                  <w:proofErr w:type="spellEnd"/>
                  <w:r w:rsidRPr="00506331">
                    <w:rPr>
                      <w:color w:val="221F1F"/>
                      <w:spacing w:val="1"/>
                      <w:sz w:val="20"/>
                      <w:szCs w:val="20"/>
                    </w:rPr>
                    <w:t xml:space="preserve"> y Comisión Europea.</w:t>
                  </w:r>
                </w:p>
              </w:tc>
            </w:tr>
          </w:tbl>
          <w:p w:rsidR="00361E75" w:rsidRDefault="00361E75" w:rsidP="007D69FB">
            <w:pPr>
              <w:spacing w:before="360" w:after="360" w:line="360" w:lineRule="auto"/>
              <w:jc w:val="both"/>
              <w:rPr>
                <w:sz w:val="26"/>
                <w:szCs w:val="26"/>
              </w:rPr>
            </w:pPr>
          </w:p>
          <w:p w:rsidR="00EB17B0" w:rsidRDefault="00EB17B0" w:rsidP="007D69FB">
            <w:pPr>
              <w:spacing w:before="360" w:after="360" w:line="360" w:lineRule="auto"/>
              <w:jc w:val="both"/>
              <w:rPr>
                <w:sz w:val="26"/>
                <w:szCs w:val="26"/>
              </w:rPr>
            </w:pPr>
          </w:p>
          <w:p w:rsidR="00EB17B0" w:rsidRPr="008C683E" w:rsidRDefault="00EB17B0" w:rsidP="007D69FB">
            <w:pPr>
              <w:spacing w:before="360" w:after="360" w:line="360" w:lineRule="auto"/>
              <w:jc w:val="both"/>
              <w:rPr>
                <w:sz w:val="16"/>
                <w:szCs w:val="26"/>
              </w:rPr>
            </w:pPr>
          </w:p>
          <w:tbl>
            <w:tblPr>
              <w:tblStyle w:val="Tablaconcuadrcula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361E75" w:rsidRPr="00FE1D6E" w:rsidTr="00A14B35">
              <w:tc>
                <w:tcPr>
                  <w:tcW w:w="8604" w:type="dxa"/>
                </w:tcPr>
                <w:p w:rsidR="00EB17B0" w:rsidRDefault="00EB17B0" w:rsidP="00361E75">
                  <w:pPr>
                    <w:jc w:val="center"/>
                    <w:rPr>
                      <w:b/>
                      <w:sz w:val="22"/>
                      <w:szCs w:val="22"/>
                    </w:rPr>
                  </w:pPr>
                  <w:r w:rsidRPr="00EB17B0">
                    <w:rPr>
                      <w:b/>
                      <w:sz w:val="22"/>
                      <w:szCs w:val="22"/>
                    </w:rPr>
                    <w:lastRenderedPageBreak/>
                    <w:t xml:space="preserve">PORCENTAJE DE PERSONAS QUE COMPRAN BIENES Y </w:t>
                  </w:r>
                </w:p>
                <w:p w:rsidR="00361E75" w:rsidRPr="00506331" w:rsidRDefault="00EB17B0" w:rsidP="00361E75">
                  <w:pPr>
                    <w:jc w:val="center"/>
                    <w:rPr>
                      <w:b/>
                      <w:sz w:val="22"/>
                      <w:szCs w:val="22"/>
                    </w:rPr>
                  </w:pPr>
                  <w:r w:rsidRPr="00EB17B0">
                    <w:rPr>
                      <w:b/>
                      <w:sz w:val="22"/>
                      <w:szCs w:val="22"/>
                    </w:rPr>
                    <w:t>SERVICIOS A TRAVÉS DE INTERNET</w:t>
                  </w:r>
                </w:p>
              </w:tc>
            </w:tr>
            <w:tr w:rsidR="00361E75" w:rsidRPr="00FE1D6E" w:rsidTr="00A14B35">
              <w:trPr>
                <w:trHeight w:val="5062"/>
              </w:trPr>
              <w:tc>
                <w:tcPr>
                  <w:tcW w:w="8604" w:type="dxa"/>
                </w:tcPr>
                <w:p w:rsidR="00361E75" w:rsidRPr="00FE1D6E" w:rsidRDefault="00EB17B0" w:rsidP="00361E75">
                  <w:pPr>
                    <w:jc w:val="center"/>
                    <w:rPr>
                      <w:color w:val="221F1F"/>
                      <w:spacing w:val="1"/>
                      <w:sz w:val="26"/>
                      <w:szCs w:val="26"/>
                    </w:rPr>
                  </w:pPr>
                  <w:r>
                    <w:rPr>
                      <w:noProof/>
                      <w:lang w:val="es-MX" w:eastAsia="es-MX"/>
                    </w:rPr>
                    <w:drawing>
                      <wp:inline distT="0" distB="0" distL="0" distR="0" wp14:anchorId="071EDFCE" wp14:editId="7D2DC830">
                        <wp:extent cx="2775097" cy="3230389"/>
                        <wp:effectExtent l="0" t="0" r="6350" b="8255"/>
                        <wp:docPr id="3160" name="Imagen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37883" t="10444" r="25180" b="13078"/>
                                <a:stretch/>
                              </pic:blipFill>
                              <pic:spPr bwMode="auto">
                                <a:xfrm>
                                  <a:off x="0" y="0"/>
                                  <a:ext cx="2786733" cy="3243934"/>
                                </a:xfrm>
                                <a:prstGeom prst="rect">
                                  <a:avLst/>
                                </a:prstGeom>
                                <a:ln>
                                  <a:noFill/>
                                </a:ln>
                                <a:extLst>
                                  <a:ext uri="{53640926-AAD7-44D8-BBD7-CCE9431645EC}">
                                    <a14:shadowObscured xmlns:a14="http://schemas.microsoft.com/office/drawing/2010/main"/>
                                  </a:ext>
                                </a:extLst>
                              </pic:spPr>
                            </pic:pic>
                          </a:graphicData>
                        </a:graphic>
                      </wp:inline>
                    </w:drawing>
                  </w:r>
                </w:p>
              </w:tc>
            </w:tr>
            <w:tr w:rsidR="00361E75" w:rsidRPr="00FE1D6E" w:rsidTr="00A14B35">
              <w:tc>
                <w:tcPr>
                  <w:tcW w:w="8604" w:type="dxa"/>
                </w:tcPr>
                <w:p w:rsidR="00361E75" w:rsidRDefault="00361E75" w:rsidP="00EB17B0">
                  <w:pPr>
                    <w:ind w:left="2020" w:right="1805" w:hanging="602"/>
                    <w:jc w:val="both"/>
                    <w:rPr>
                      <w:sz w:val="20"/>
                      <w:szCs w:val="20"/>
                    </w:rPr>
                  </w:pPr>
                  <w:r w:rsidRPr="0091140E">
                    <w:rPr>
                      <w:sz w:val="20"/>
                      <w:szCs w:val="20"/>
                    </w:rPr>
                    <w:t xml:space="preserve">Notas: </w:t>
                  </w:r>
                  <w:r w:rsidR="00EB17B0" w:rsidRPr="00EB17B0">
                    <w:rPr>
                      <w:sz w:val="20"/>
                      <w:szCs w:val="20"/>
                    </w:rPr>
                    <w:t>Personas de entre 16 y 74 años de edad. La primera observación</w:t>
                  </w:r>
                  <w:r w:rsidR="00EB17B0">
                    <w:rPr>
                      <w:sz w:val="20"/>
                      <w:szCs w:val="20"/>
                    </w:rPr>
                    <w:t xml:space="preserve"> </w:t>
                  </w:r>
                  <w:r w:rsidR="00EB17B0" w:rsidRPr="00EB17B0">
                    <w:rPr>
                      <w:sz w:val="20"/>
                      <w:szCs w:val="20"/>
                    </w:rPr>
                    <w:t>se re</w:t>
                  </w:r>
                  <w:r w:rsidR="00EB17B0">
                    <w:rPr>
                      <w:sz w:val="20"/>
                      <w:szCs w:val="20"/>
                    </w:rPr>
                    <w:t>fi</w:t>
                  </w:r>
                  <w:r w:rsidR="00EB17B0" w:rsidRPr="00EB17B0">
                    <w:rPr>
                      <w:sz w:val="20"/>
                      <w:szCs w:val="20"/>
                    </w:rPr>
                    <w:t>ere</w:t>
                  </w:r>
                  <w:r w:rsidR="00EB17B0">
                    <w:rPr>
                      <w:sz w:val="20"/>
                      <w:szCs w:val="20"/>
                    </w:rPr>
                    <w:t xml:space="preserve"> </w:t>
                  </w:r>
                  <w:r w:rsidR="00EB17B0" w:rsidRPr="00EB17B0">
                    <w:rPr>
                      <w:sz w:val="20"/>
                      <w:szCs w:val="20"/>
                    </w:rPr>
                    <w:t>a 2005 para BE, IT</w:t>
                  </w:r>
                  <w:r w:rsidR="00EB17B0">
                    <w:rPr>
                      <w:sz w:val="20"/>
                      <w:szCs w:val="20"/>
                    </w:rPr>
                    <w:t xml:space="preserve"> </w:t>
                  </w:r>
                  <w:r w:rsidR="00EB17B0" w:rsidRPr="00EB17B0">
                    <w:rPr>
                      <w:sz w:val="20"/>
                      <w:szCs w:val="20"/>
                    </w:rPr>
                    <w:t>y MT,</w:t>
                  </w:r>
                  <w:r w:rsidR="00EB17B0">
                    <w:rPr>
                      <w:sz w:val="20"/>
                      <w:szCs w:val="20"/>
                    </w:rPr>
                    <w:t xml:space="preserve"> </w:t>
                  </w:r>
                  <w:r w:rsidR="00EB17B0" w:rsidRPr="00EB17B0">
                    <w:rPr>
                      <w:sz w:val="20"/>
                      <w:szCs w:val="20"/>
                    </w:rPr>
                    <w:t>y a 2006 para FR.</w:t>
                  </w:r>
                </w:p>
                <w:p w:rsidR="00361E75" w:rsidRPr="00FE1D6E" w:rsidRDefault="00361E75" w:rsidP="00361E75">
                  <w:pPr>
                    <w:ind w:left="2020" w:right="1805" w:hanging="869"/>
                    <w:jc w:val="both"/>
                    <w:rPr>
                      <w:color w:val="221F1F"/>
                      <w:spacing w:val="1"/>
                      <w:sz w:val="20"/>
                      <w:szCs w:val="20"/>
                    </w:rPr>
                  </w:pPr>
                  <w:r w:rsidRPr="00FE1D6E">
                    <w:rPr>
                      <w:color w:val="221F1F"/>
                      <w:spacing w:val="1"/>
                      <w:sz w:val="20"/>
                      <w:szCs w:val="20"/>
                    </w:rPr>
                    <w:t xml:space="preserve">FUENTE: </w:t>
                  </w:r>
                  <w:proofErr w:type="spellStart"/>
                  <w:r w:rsidRPr="00506331">
                    <w:rPr>
                      <w:color w:val="221F1F"/>
                      <w:spacing w:val="1"/>
                      <w:sz w:val="20"/>
                      <w:szCs w:val="20"/>
                    </w:rPr>
                    <w:t>Eurostat</w:t>
                  </w:r>
                  <w:proofErr w:type="spellEnd"/>
                  <w:r w:rsidRPr="00506331">
                    <w:rPr>
                      <w:color w:val="221F1F"/>
                      <w:spacing w:val="1"/>
                      <w:sz w:val="20"/>
                      <w:szCs w:val="20"/>
                    </w:rPr>
                    <w:t xml:space="preserve"> y Comisión Europea.</w:t>
                  </w:r>
                </w:p>
              </w:tc>
            </w:tr>
          </w:tbl>
          <w:p w:rsidR="007D69FB" w:rsidRPr="00601452" w:rsidRDefault="007D69FB" w:rsidP="007D69FB">
            <w:pPr>
              <w:spacing w:before="360" w:after="360" w:line="360" w:lineRule="auto"/>
              <w:jc w:val="both"/>
              <w:rPr>
                <w:b/>
                <w:sz w:val="26"/>
                <w:szCs w:val="26"/>
              </w:rPr>
            </w:pPr>
            <w:r w:rsidRPr="00601452">
              <w:rPr>
                <w:b/>
                <w:sz w:val="26"/>
                <w:szCs w:val="26"/>
              </w:rPr>
              <w:t>Evidencia del impacto del comercio electrónico en la inflación</w:t>
            </w:r>
          </w:p>
          <w:p w:rsidR="007D69FB" w:rsidRPr="007D69FB" w:rsidRDefault="007D69FB" w:rsidP="007D69FB">
            <w:pPr>
              <w:spacing w:before="360" w:after="360" w:line="360" w:lineRule="auto"/>
              <w:jc w:val="both"/>
              <w:rPr>
                <w:sz w:val="26"/>
                <w:szCs w:val="26"/>
              </w:rPr>
            </w:pPr>
            <w:r w:rsidRPr="007D69FB">
              <w:rPr>
                <w:sz w:val="26"/>
                <w:szCs w:val="26"/>
              </w:rPr>
              <w:t>Se deben hacer algunas matizaciones al analizar el impacto del comercio electrónico en la tasa de variación de los precios de consumo. Una de ellas está relacionada con la inclusión de la evolución de los precios en Internet de los productos y servicios incluidos en el IAPC. Los institutos de estadística de la UE incluyen cada vez con mayor frecuencia los precios en Internet al calcular los índices de precios de consumo. En el caso de algunos componentes, como los precios de los hoteles y alojamientos similares, y los de los billetes de avión, la recopilación y el uso de datos de precios disponibles en Internet, en lugar o además de los de las agencias de viaje tradicionales, es una práctica ya consolidada. Al mismo tiempo, la inclusión de los precios de las manufacturas presenta más diferencias entre los institutos de estadística, reflejo asimismo de los distintos hábitos de consumo</w:t>
            </w:r>
            <w:r w:rsidRPr="007D69FB">
              <w:rPr>
                <w:sz w:val="26"/>
                <w:szCs w:val="26"/>
                <w:vertAlign w:val="superscript"/>
              </w:rPr>
              <w:t>3</w:t>
            </w:r>
            <w:r w:rsidRPr="007D69FB">
              <w:rPr>
                <w:sz w:val="26"/>
                <w:szCs w:val="26"/>
              </w:rPr>
              <w:t xml:space="preserve">. </w:t>
            </w:r>
            <w:proofErr w:type="spellStart"/>
            <w:r w:rsidRPr="007D69FB">
              <w:rPr>
                <w:sz w:val="26"/>
                <w:szCs w:val="26"/>
              </w:rPr>
              <w:t>Eurostat</w:t>
            </w:r>
            <w:proofErr w:type="spellEnd"/>
            <w:r w:rsidRPr="007D69FB">
              <w:rPr>
                <w:sz w:val="26"/>
                <w:szCs w:val="26"/>
              </w:rPr>
              <w:t xml:space="preserve">, junto con los institutos nacionales de estadística, está trabajando actualmente a fin de </w:t>
            </w:r>
            <w:r w:rsidRPr="007D69FB">
              <w:rPr>
                <w:sz w:val="26"/>
                <w:szCs w:val="26"/>
              </w:rPr>
              <w:lastRenderedPageBreak/>
              <w:t>establecer un método mejor, más completo y armonizado para plasmar la evolución de los precios en Internet en la elaboración del IAPC.</w:t>
            </w:r>
          </w:p>
          <w:p w:rsidR="007D69FB" w:rsidRPr="007D69FB" w:rsidRDefault="007D69FB" w:rsidP="007D69FB">
            <w:pPr>
              <w:spacing w:before="360" w:after="360" w:line="360" w:lineRule="auto"/>
              <w:jc w:val="both"/>
              <w:rPr>
                <w:sz w:val="26"/>
                <w:szCs w:val="26"/>
              </w:rPr>
            </w:pPr>
            <w:r w:rsidRPr="007D69FB">
              <w:rPr>
                <w:sz w:val="26"/>
                <w:szCs w:val="26"/>
              </w:rPr>
              <w:t>Cuando un instituto de estadística incorpora más bienes y servicios comercializados por Internet en el IAPC, esta inclusión afecta a la inflación medida por el IAPC en tanto en cuanto los precios de dichos productos y servicios registran variaciones distintas que los de los bienes y servicios no comercializados a través de Internet. Si los precios varían en porcentajes similares en ambos canales de comercialización, la incorporación de los productos comercializados a través de Internet no afectaría de forma perceptible al IAPC. El aumento de la cantidad de productos y servicios adquiridos a través de Internet y las diferencias de precios entre los establecimientos de comercio electrónico y los establecimientos convencionales se reflejan en ajustes del porcentaje de gasto de los respectivos subcomponentes del IAPC.</w:t>
            </w:r>
          </w:p>
          <w:p w:rsidR="007D69FB" w:rsidRDefault="007D69FB" w:rsidP="007D69FB">
            <w:pPr>
              <w:spacing w:before="360" w:after="360" w:line="360" w:lineRule="auto"/>
              <w:jc w:val="both"/>
              <w:rPr>
                <w:sz w:val="26"/>
                <w:szCs w:val="26"/>
              </w:rPr>
            </w:pPr>
            <w:r w:rsidRPr="007D69FB">
              <w:rPr>
                <w:sz w:val="26"/>
                <w:szCs w:val="26"/>
              </w:rPr>
              <w:t xml:space="preserve">La evidencia disponible sobre la existencia de un error de medición en los índices de precios de consumo como consecuencia de la incorporación incompleta de las ventas a través de Internet es escasa y no concluyente. </w:t>
            </w:r>
            <w:proofErr w:type="spellStart"/>
            <w:r w:rsidRPr="007D69FB">
              <w:rPr>
                <w:sz w:val="26"/>
                <w:szCs w:val="26"/>
              </w:rPr>
              <w:t>Lünnemann</w:t>
            </w:r>
            <w:proofErr w:type="spellEnd"/>
            <w:r w:rsidRPr="007D69FB">
              <w:rPr>
                <w:sz w:val="26"/>
                <w:szCs w:val="26"/>
              </w:rPr>
              <w:t xml:space="preserve"> y </w:t>
            </w:r>
            <w:proofErr w:type="spellStart"/>
            <w:r w:rsidRPr="007D69FB">
              <w:rPr>
                <w:sz w:val="26"/>
                <w:szCs w:val="26"/>
              </w:rPr>
              <w:t>Wintr</w:t>
            </w:r>
            <w:proofErr w:type="spellEnd"/>
            <w:r w:rsidRPr="007D69FB">
              <w:rPr>
                <w:sz w:val="26"/>
                <w:szCs w:val="26"/>
              </w:rPr>
              <w:t xml:space="preserve"> (2006)</w:t>
            </w:r>
            <w:r w:rsidRPr="00A7243E">
              <w:rPr>
                <w:sz w:val="26"/>
                <w:szCs w:val="26"/>
                <w:vertAlign w:val="superscript"/>
              </w:rPr>
              <w:t>4</w:t>
            </w:r>
            <w:r w:rsidRPr="007D69FB">
              <w:rPr>
                <w:sz w:val="26"/>
                <w:szCs w:val="26"/>
              </w:rPr>
              <w:t xml:space="preserve"> analizan un amplio conjunto de datos microeconómicos de precios y llegan a la conclusión de que las variaciones de los precios de los productos que se comercializan a través de Internet son, en promedio, inferiores a los cambios correspondientes de los precios que figuran en los datos del índice de precios de consumo, lo que apuntaría a un posible error de medición en la inflación medida por el IAPC. En cambio, en un estudio más reciente de </w:t>
            </w:r>
            <w:proofErr w:type="spellStart"/>
            <w:r w:rsidRPr="007D69FB">
              <w:rPr>
                <w:sz w:val="26"/>
                <w:szCs w:val="26"/>
              </w:rPr>
              <w:t>Gorodnichenko</w:t>
            </w:r>
            <w:proofErr w:type="spellEnd"/>
            <w:r w:rsidRPr="007D69FB">
              <w:rPr>
                <w:sz w:val="26"/>
                <w:szCs w:val="26"/>
              </w:rPr>
              <w:t xml:space="preserve">, </w:t>
            </w:r>
            <w:proofErr w:type="spellStart"/>
            <w:r w:rsidRPr="007D69FB">
              <w:rPr>
                <w:sz w:val="26"/>
                <w:szCs w:val="26"/>
              </w:rPr>
              <w:t>Sheremirov</w:t>
            </w:r>
            <w:proofErr w:type="spellEnd"/>
            <w:r w:rsidRPr="007D69FB">
              <w:rPr>
                <w:sz w:val="26"/>
                <w:szCs w:val="26"/>
              </w:rPr>
              <w:t xml:space="preserve"> y Talavera (2014)</w:t>
            </w:r>
            <w:r w:rsidRPr="007D69FB">
              <w:rPr>
                <w:sz w:val="26"/>
                <w:szCs w:val="26"/>
                <w:vertAlign w:val="superscript"/>
              </w:rPr>
              <w:t>5</w:t>
            </w:r>
            <w:r w:rsidRPr="007D69FB">
              <w:rPr>
                <w:sz w:val="26"/>
                <w:szCs w:val="26"/>
              </w:rPr>
              <w:t xml:space="preserve"> se concluye que los precios del comercio electrónico se ajustan aproximadamente en la misma proporción que los precios del comercio convencional. Por lo tanto, el error de medición de un índice de precios si se excluyen las ventas por Internet debería ser reducido.</w:t>
            </w:r>
          </w:p>
          <w:p w:rsidR="007D69FB" w:rsidRPr="007D69FB" w:rsidRDefault="007D69FB" w:rsidP="007D69FB">
            <w:pPr>
              <w:spacing w:line="360" w:lineRule="auto"/>
              <w:jc w:val="both"/>
              <w:rPr>
                <w:sz w:val="26"/>
                <w:szCs w:val="26"/>
              </w:rPr>
            </w:pPr>
            <w:r w:rsidRPr="007D69FB">
              <w:rPr>
                <w:sz w:val="26"/>
                <w:szCs w:val="26"/>
              </w:rPr>
              <w:lastRenderedPageBreak/>
              <w:t xml:space="preserve">La evidencia sobre los verdaderos efectos del comercio electrónico en las variaciones de los precios de consumo también es escasa, aunque apunta a un impacto reducido en la inflación. Un estudio anterior de </w:t>
            </w:r>
            <w:proofErr w:type="spellStart"/>
            <w:r w:rsidRPr="007D69FB">
              <w:rPr>
                <w:sz w:val="26"/>
                <w:szCs w:val="26"/>
              </w:rPr>
              <w:t>Yi</w:t>
            </w:r>
            <w:proofErr w:type="spellEnd"/>
            <w:r w:rsidRPr="007D69FB">
              <w:rPr>
                <w:sz w:val="26"/>
                <w:szCs w:val="26"/>
              </w:rPr>
              <w:t xml:space="preserve"> y </w:t>
            </w:r>
            <w:proofErr w:type="spellStart"/>
            <w:r w:rsidRPr="007D69FB">
              <w:rPr>
                <w:sz w:val="26"/>
                <w:szCs w:val="26"/>
              </w:rPr>
              <w:t>Choi</w:t>
            </w:r>
            <w:proofErr w:type="spellEnd"/>
            <w:r w:rsidRPr="007D69FB">
              <w:rPr>
                <w:sz w:val="26"/>
                <w:szCs w:val="26"/>
              </w:rPr>
              <w:t xml:space="preserve"> (2005)</w:t>
            </w:r>
            <w:r w:rsidRPr="007D69FB">
              <w:rPr>
                <w:sz w:val="26"/>
                <w:szCs w:val="26"/>
                <w:vertAlign w:val="superscript"/>
              </w:rPr>
              <w:t>6</w:t>
            </w:r>
            <w:r w:rsidRPr="007D69FB">
              <w:rPr>
                <w:sz w:val="26"/>
                <w:szCs w:val="26"/>
              </w:rPr>
              <w:t xml:space="preserve"> llega a la conclusión de que un aumento anual de </w:t>
            </w:r>
            <w:r w:rsidR="006F4589">
              <w:rPr>
                <w:sz w:val="26"/>
                <w:szCs w:val="26"/>
              </w:rPr>
              <w:t>un</w:t>
            </w:r>
            <w:r w:rsidRPr="007D69FB">
              <w:rPr>
                <w:sz w:val="26"/>
                <w:szCs w:val="26"/>
              </w:rPr>
              <w:t xml:space="preserve"> punto porcentual del porcentaje de personas que utiliza Internet reduce la tasa de inflación anual entre 0</w:t>
            </w:r>
            <w:r w:rsidR="00601452">
              <w:rPr>
                <w:sz w:val="26"/>
                <w:szCs w:val="26"/>
              </w:rPr>
              <w:t>.</w:t>
            </w:r>
            <w:r w:rsidRPr="007D69FB">
              <w:rPr>
                <w:sz w:val="26"/>
                <w:szCs w:val="26"/>
              </w:rPr>
              <w:t>04 y 0</w:t>
            </w:r>
            <w:r w:rsidR="00601452">
              <w:rPr>
                <w:sz w:val="26"/>
                <w:szCs w:val="26"/>
              </w:rPr>
              <w:t>.</w:t>
            </w:r>
            <w:r w:rsidRPr="007D69FB">
              <w:rPr>
                <w:sz w:val="26"/>
                <w:szCs w:val="26"/>
              </w:rPr>
              <w:t xml:space="preserve">1 puntos porcentuales. Esta conclusión es básicamente acorde con los resultados de un estudio más reciente realizado por </w:t>
            </w:r>
            <w:proofErr w:type="spellStart"/>
            <w:r w:rsidRPr="007D69FB">
              <w:rPr>
                <w:sz w:val="26"/>
                <w:szCs w:val="26"/>
              </w:rPr>
              <w:t>Lorenzani</w:t>
            </w:r>
            <w:proofErr w:type="spellEnd"/>
            <w:r w:rsidRPr="007D69FB">
              <w:rPr>
                <w:sz w:val="26"/>
                <w:szCs w:val="26"/>
              </w:rPr>
              <w:t xml:space="preserve"> y Varga (2014</w:t>
            </w:r>
            <w:r w:rsidR="00A7243E" w:rsidRPr="007D69FB">
              <w:rPr>
                <w:sz w:val="26"/>
                <w:szCs w:val="26"/>
              </w:rPr>
              <w:t>)</w:t>
            </w:r>
            <w:r w:rsidRPr="007D69FB">
              <w:rPr>
                <w:sz w:val="26"/>
                <w:szCs w:val="26"/>
                <w:vertAlign w:val="superscript"/>
              </w:rPr>
              <w:t>7</w:t>
            </w:r>
            <w:r w:rsidR="006F4589" w:rsidRPr="006F4589">
              <w:rPr>
                <w:sz w:val="26"/>
                <w:szCs w:val="26"/>
              </w:rPr>
              <w:t>,</w:t>
            </w:r>
            <w:r w:rsidRPr="007D69FB">
              <w:rPr>
                <w:sz w:val="26"/>
                <w:szCs w:val="26"/>
              </w:rPr>
              <w:t xml:space="preserve"> en el que realizan una estimación del impacto de las compras electrónicas de bienes y servicios al analizar el grado de competencia en términos de precios. En este contexto, efectúan una proyección del porcentaje de compras electrónicas de bienes y servicios en el sector minorista correspondiente al año 2010 hasta 2015, y estiman que, en general, dicha evolución podría reducir los aumentos de precios del sector minorista de la UE 27 en su conjunto 0</w:t>
            </w:r>
            <w:r w:rsidR="00601452">
              <w:rPr>
                <w:sz w:val="26"/>
                <w:szCs w:val="26"/>
              </w:rPr>
              <w:t>.</w:t>
            </w:r>
            <w:r w:rsidRPr="007D69FB">
              <w:rPr>
                <w:sz w:val="26"/>
                <w:szCs w:val="26"/>
              </w:rPr>
              <w:t xml:space="preserve">1 puntos porcentuales al año entre 2011 y 2015. Estas estimaciones están sujetas a una incertidumbre considerable, debido, entre otras cosas, a las limitadas muestras de datos disponibles y a las matizaciones anteriormente mencionadas en relación con la elaboración del índice de precios de consumo. Se dispone de evidencia más concluyente para </w:t>
            </w:r>
            <w:r w:rsidR="00601452">
              <w:rPr>
                <w:sz w:val="26"/>
                <w:szCs w:val="26"/>
              </w:rPr>
              <w:t>Estados Unidos de Norteamérica</w:t>
            </w:r>
            <w:r w:rsidRPr="007D69FB">
              <w:rPr>
                <w:sz w:val="26"/>
                <w:szCs w:val="26"/>
              </w:rPr>
              <w:t xml:space="preserve"> en el contexto del </w:t>
            </w:r>
            <w:proofErr w:type="spellStart"/>
            <w:r w:rsidRPr="00CB621A">
              <w:rPr>
                <w:i/>
                <w:sz w:val="26"/>
                <w:szCs w:val="26"/>
              </w:rPr>
              <w:t>The</w:t>
            </w:r>
            <w:proofErr w:type="spellEnd"/>
            <w:r w:rsidRPr="00CB621A">
              <w:rPr>
                <w:i/>
                <w:sz w:val="26"/>
                <w:szCs w:val="26"/>
              </w:rPr>
              <w:t xml:space="preserve"> </w:t>
            </w:r>
            <w:proofErr w:type="spellStart"/>
            <w:r w:rsidRPr="00CB621A">
              <w:rPr>
                <w:i/>
                <w:sz w:val="26"/>
                <w:szCs w:val="26"/>
              </w:rPr>
              <w:t>Billion</w:t>
            </w:r>
            <w:proofErr w:type="spellEnd"/>
            <w:r w:rsidRPr="00CB621A">
              <w:rPr>
                <w:i/>
                <w:sz w:val="26"/>
                <w:szCs w:val="26"/>
              </w:rPr>
              <w:t xml:space="preserve"> </w:t>
            </w:r>
            <w:proofErr w:type="spellStart"/>
            <w:r w:rsidRPr="00CB621A">
              <w:rPr>
                <w:i/>
                <w:sz w:val="26"/>
                <w:szCs w:val="26"/>
              </w:rPr>
              <w:t>Prices</w:t>
            </w:r>
            <w:proofErr w:type="spellEnd"/>
            <w:r w:rsidRPr="00CB621A">
              <w:rPr>
                <w:i/>
                <w:sz w:val="26"/>
                <w:szCs w:val="26"/>
              </w:rPr>
              <w:t xml:space="preserve"> Project</w:t>
            </w:r>
            <w:r w:rsidRPr="007D69FB">
              <w:rPr>
                <w:sz w:val="26"/>
                <w:szCs w:val="26"/>
              </w:rPr>
              <w:t xml:space="preserve"> del Instituto Tecnológico de </w:t>
            </w:r>
            <w:proofErr w:type="spellStart"/>
            <w:r w:rsidRPr="007D69FB">
              <w:rPr>
                <w:sz w:val="26"/>
                <w:szCs w:val="26"/>
              </w:rPr>
              <w:t>Massachussets</w:t>
            </w:r>
            <w:proofErr w:type="spellEnd"/>
            <w:r w:rsidRPr="007D69FB">
              <w:rPr>
                <w:sz w:val="26"/>
                <w:szCs w:val="26"/>
              </w:rPr>
              <w:t xml:space="preserve"> (MIT) y de sus estadísticas actualizadas periódicamente sobre la evolución de los precios del comercio electrónico y del comercio convencional</w:t>
            </w:r>
            <w:r w:rsidR="002334F1" w:rsidRPr="002334F1">
              <w:rPr>
                <w:sz w:val="26"/>
                <w:szCs w:val="26"/>
                <w:vertAlign w:val="superscript"/>
              </w:rPr>
              <w:t>8</w:t>
            </w:r>
            <w:r w:rsidRPr="007D69FB">
              <w:rPr>
                <w:sz w:val="26"/>
                <w:szCs w:val="26"/>
              </w:rPr>
              <w:t>. Estos datos indican que no hay diferencias notables o sistemáticas entre los índices de precios o las tasas de variación de los precios de los bienes comercializados a través de Internet y los comercializados por los canales tradicionales en Estados Unidos</w:t>
            </w:r>
            <w:r>
              <w:rPr>
                <w:sz w:val="26"/>
                <w:szCs w:val="26"/>
              </w:rPr>
              <w:t xml:space="preserve"> de Norteamérica</w:t>
            </w:r>
            <w:r w:rsidRPr="007D69FB">
              <w:rPr>
                <w:sz w:val="26"/>
                <w:szCs w:val="26"/>
              </w:rPr>
              <w:t>.</w:t>
            </w:r>
          </w:p>
          <w:p w:rsidR="00D52820" w:rsidRPr="00D52820" w:rsidRDefault="007D69FB"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sidRPr="00D52820">
              <w:rPr>
                <w:sz w:val="20"/>
              </w:rPr>
              <w:t>H</w:t>
            </w:r>
            <w:r w:rsidRPr="00D52820">
              <w:rPr>
                <w:rFonts w:ascii="Times New Roman" w:hAnsi="Times New Roman" w:cs="Times New Roman"/>
                <w:sz w:val="20"/>
              </w:rPr>
              <w:t xml:space="preserve">. </w:t>
            </w:r>
            <w:proofErr w:type="spellStart"/>
            <w:r w:rsidRPr="00D52820">
              <w:rPr>
                <w:rFonts w:ascii="Times New Roman" w:hAnsi="Times New Roman" w:cs="Times New Roman"/>
                <w:sz w:val="20"/>
              </w:rPr>
              <w:t>Meijers</w:t>
            </w:r>
            <w:proofErr w:type="spellEnd"/>
            <w:r w:rsidRPr="00D52820">
              <w:rPr>
                <w:rFonts w:ascii="Times New Roman" w:hAnsi="Times New Roman" w:cs="Times New Roman"/>
                <w:sz w:val="20"/>
              </w:rPr>
              <w:t xml:space="preserve">, </w:t>
            </w:r>
            <w:proofErr w:type="spellStart"/>
            <w:r w:rsidRPr="00CB621A">
              <w:rPr>
                <w:rFonts w:ascii="Times New Roman" w:hAnsi="Times New Roman" w:cs="Times New Roman"/>
                <w:i/>
                <w:sz w:val="20"/>
              </w:rPr>
              <w:t>Diffusion</w:t>
            </w:r>
            <w:proofErr w:type="spellEnd"/>
            <w:r w:rsidRPr="00CB621A">
              <w:rPr>
                <w:rFonts w:ascii="Times New Roman" w:hAnsi="Times New Roman" w:cs="Times New Roman"/>
                <w:i/>
                <w:sz w:val="20"/>
              </w:rPr>
              <w:t xml:space="preserve"> of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internet and </w:t>
            </w:r>
            <w:proofErr w:type="spellStart"/>
            <w:r w:rsidRPr="00CB621A">
              <w:rPr>
                <w:rFonts w:ascii="Times New Roman" w:hAnsi="Times New Roman" w:cs="Times New Roman"/>
                <w:i/>
                <w:sz w:val="20"/>
              </w:rPr>
              <w:t>low</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inflation</w:t>
            </w:r>
            <w:proofErr w:type="spellEnd"/>
            <w:r w:rsidRPr="00CB621A">
              <w:rPr>
                <w:rFonts w:ascii="Times New Roman" w:hAnsi="Times New Roman" w:cs="Times New Roman"/>
                <w:i/>
                <w:sz w:val="20"/>
              </w:rPr>
              <w:t xml:space="preserve"> in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information</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economy</w:t>
            </w:r>
            <w:proofErr w:type="spellEnd"/>
            <w:r w:rsidRPr="00D52820">
              <w:rPr>
                <w:rFonts w:ascii="Times New Roman" w:hAnsi="Times New Roman" w:cs="Times New Roman"/>
                <w:sz w:val="20"/>
              </w:rPr>
              <w:t xml:space="preserve">, </w:t>
            </w:r>
            <w:proofErr w:type="spellStart"/>
            <w:r w:rsidRPr="00D52820">
              <w:rPr>
                <w:rFonts w:ascii="Times New Roman" w:hAnsi="Times New Roman" w:cs="Times New Roman"/>
                <w:sz w:val="20"/>
              </w:rPr>
              <w:t>Information</w:t>
            </w:r>
            <w:proofErr w:type="spellEnd"/>
            <w:r w:rsidRPr="00D52820">
              <w:rPr>
                <w:rFonts w:ascii="Times New Roman" w:hAnsi="Times New Roman" w:cs="Times New Roman"/>
                <w:sz w:val="20"/>
              </w:rPr>
              <w:t xml:space="preserve"> </w:t>
            </w:r>
            <w:proofErr w:type="spellStart"/>
            <w:r w:rsidRPr="00D52820">
              <w:rPr>
                <w:rFonts w:ascii="Times New Roman" w:hAnsi="Times New Roman" w:cs="Times New Roman"/>
                <w:sz w:val="20"/>
              </w:rPr>
              <w:t>Economics</w:t>
            </w:r>
            <w:proofErr w:type="spellEnd"/>
            <w:r w:rsidRPr="00D52820">
              <w:rPr>
                <w:rFonts w:ascii="Times New Roman" w:hAnsi="Times New Roman" w:cs="Times New Roman"/>
                <w:sz w:val="20"/>
              </w:rPr>
              <w:t xml:space="preserve"> and </w:t>
            </w:r>
            <w:proofErr w:type="spellStart"/>
            <w:r w:rsidRPr="00D52820">
              <w:rPr>
                <w:rFonts w:ascii="Times New Roman" w:hAnsi="Times New Roman" w:cs="Times New Roman"/>
                <w:sz w:val="20"/>
              </w:rPr>
              <w:t>Policy</w:t>
            </w:r>
            <w:proofErr w:type="spellEnd"/>
            <w:r w:rsidRPr="00D52820">
              <w:rPr>
                <w:rFonts w:ascii="Times New Roman" w:hAnsi="Times New Roman" w:cs="Times New Roman"/>
                <w:sz w:val="20"/>
              </w:rPr>
              <w:t>, vol. 18, 2006, pp. 1-23.</w:t>
            </w:r>
          </w:p>
          <w:p w:rsidR="007D69FB" w:rsidRPr="00D52820" w:rsidRDefault="007D69FB"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sidRPr="00D52820">
              <w:rPr>
                <w:rFonts w:ascii="Times New Roman" w:hAnsi="Times New Roman" w:cs="Times New Roman"/>
                <w:sz w:val="20"/>
              </w:rPr>
              <w:t xml:space="preserve">Los datos públicos sobre comercio electrónico todavía son escasos. Una fuente de datos es la encuesta anual de </w:t>
            </w:r>
            <w:proofErr w:type="spellStart"/>
            <w:r w:rsidRPr="00D52820">
              <w:rPr>
                <w:rFonts w:ascii="Times New Roman" w:hAnsi="Times New Roman" w:cs="Times New Roman"/>
                <w:sz w:val="20"/>
              </w:rPr>
              <w:t>Eurostat</w:t>
            </w:r>
            <w:proofErr w:type="spellEnd"/>
            <w:r w:rsidRPr="00D52820">
              <w:rPr>
                <w:rFonts w:ascii="Times New Roman" w:hAnsi="Times New Roman" w:cs="Times New Roman"/>
                <w:sz w:val="20"/>
              </w:rPr>
              <w:t xml:space="preserve"> sobre el uso de TCI en las empresas y los hogares que se realiza desde 2002 y que incluye preguntas sobre el comercio electrónico, y contribuye a la Agenda Digital para Europa de la Comisión Europea, puesta en marcha en 2010.</w:t>
            </w:r>
          </w:p>
          <w:p w:rsidR="007D69FB" w:rsidRPr="00D52820" w:rsidRDefault="007D69FB"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sidRPr="00D52820">
              <w:rPr>
                <w:rFonts w:ascii="Times New Roman" w:hAnsi="Times New Roman" w:cs="Times New Roman"/>
                <w:sz w:val="20"/>
              </w:rPr>
              <w:lastRenderedPageBreak/>
              <w:t xml:space="preserve">Para más información sobre cuestiones relacionadas con la medición de la inflación, véase el recuadro 2 titulado </w:t>
            </w:r>
            <w:proofErr w:type="spellStart"/>
            <w:r w:rsidRPr="00CB621A">
              <w:rPr>
                <w:rFonts w:ascii="Times New Roman" w:hAnsi="Times New Roman" w:cs="Times New Roman"/>
                <w:i/>
                <w:sz w:val="20"/>
              </w:rPr>
              <w:t>Implications</w:t>
            </w:r>
            <w:proofErr w:type="spellEnd"/>
            <w:r w:rsidRPr="00CB621A">
              <w:rPr>
                <w:rFonts w:ascii="Times New Roman" w:hAnsi="Times New Roman" w:cs="Times New Roman"/>
                <w:i/>
                <w:sz w:val="20"/>
              </w:rPr>
              <w:t xml:space="preserve"> of </w:t>
            </w:r>
            <w:proofErr w:type="spellStart"/>
            <w:r w:rsidRPr="00CB621A">
              <w:rPr>
                <w:rFonts w:ascii="Times New Roman" w:hAnsi="Times New Roman" w:cs="Times New Roman"/>
                <w:i/>
                <w:sz w:val="20"/>
              </w:rPr>
              <w:t>developments</w:t>
            </w:r>
            <w:proofErr w:type="spellEnd"/>
            <w:r w:rsidRPr="00CB621A">
              <w:rPr>
                <w:rFonts w:ascii="Times New Roman" w:hAnsi="Times New Roman" w:cs="Times New Roman"/>
                <w:i/>
                <w:sz w:val="20"/>
              </w:rPr>
              <w:t xml:space="preserve"> in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retail</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trade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structure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for</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inflation</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measurement</w:t>
            </w:r>
            <w:proofErr w:type="spellEnd"/>
            <w:r w:rsidRPr="00D52820">
              <w:rPr>
                <w:rFonts w:ascii="Times New Roman" w:hAnsi="Times New Roman" w:cs="Times New Roman"/>
                <w:sz w:val="20"/>
              </w:rPr>
              <w:t xml:space="preserve">, en el informe </w:t>
            </w:r>
            <w:proofErr w:type="spellStart"/>
            <w:r w:rsidRPr="006F4589">
              <w:rPr>
                <w:rFonts w:ascii="Times New Roman" w:hAnsi="Times New Roman" w:cs="Times New Roman"/>
                <w:i/>
                <w:sz w:val="20"/>
              </w:rPr>
              <w:t>Structural</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Issues</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Report</w:t>
            </w:r>
            <w:proofErr w:type="spellEnd"/>
            <w:r w:rsidRPr="00D52820">
              <w:rPr>
                <w:rFonts w:ascii="Times New Roman" w:hAnsi="Times New Roman" w:cs="Times New Roman"/>
                <w:sz w:val="20"/>
              </w:rPr>
              <w:t>, septiembre de 2011, BCE.</w:t>
            </w:r>
          </w:p>
          <w:p w:rsidR="007D69FB" w:rsidRPr="00D52820" w:rsidRDefault="00CB621A"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Pr>
                <w:rFonts w:ascii="Times New Roman" w:hAnsi="Times New Roman" w:cs="Times New Roman"/>
                <w:sz w:val="20"/>
              </w:rPr>
              <w:t xml:space="preserve">P. </w:t>
            </w:r>
            <w:proofErr w:type="spellStart"/>
            <w:r>
              <w:rPr>
                <w:rFonts w:ascii="Times New Roman" w:hAnsi="Times New Roman" w:cs="Times New Roman"/>
                <w:sz w:val="20"/>
              </w:rPr>
              <w:t>Lünnemann</w:t>
            </w:r>
            <w:proofErr w:type="spellEnd"/>
            <w:r>
              <w:rPr>
                <w:rFonts w:ascii="Times New Roman" w:hAnsi="Times New Roman" w:cs="Times New Roman"/>
                <w:sz w:val="20"/>
              </w:rPr>
              <w:t xml:space="preserve"> y L. </w:t>
            </w:r>
            <w:proofErr w:type="spellStart"/>
            <w:r>
              <w:rPr>
                <w:rFonts w:ascii="Times New Roman" w:hAnsi="Times New Roman" w:cs="Times New Roman"/>
                <w:sz w:val="20"/>
              </w:rPr>
              <w:t>Wintr</w:t>
            </w:r>
            <w:proofErr w:type="spellEnd"/>
            <w:r>
              <w:rPr>
                <w:rFonts w:ascii="Times New Roman" w:hAnsi="Times New Roman" w:cs="Times New Roman"/>
                <w:sz w:val="20"/>
              </w:rPr>
              <w:t xml:space="preserve"> </w:t>
            </w:r>
            <w:r>
              <w:rPr>
                <w:rFonts w:ascii="Times New Roman" w:hAnsi="Times New Roman" w:cs="Times New Roman"/>
                <w:i/>
                <w:sz w:val="20"/>
              </w:rPr>
              <w:t xml:space="preserve">Are internet </w:t>
            </w:r>
            <w:proofErr w:type="spellStart"/>
            <w:r>
              <w:rPr>
                <w:rFonts w:ascii="Times New Roman" w:hAnsi="Times New Roman" w:cs="Times New Roman"/>
                <w:i/>
                <w:sz w:val="20"/>
              </w:rPr>
              <w:t>prices</w:t>
            </w:r>
            <w:proofErr w:type="spellEnd"/>
            <w:r>
              <w:rPr>
                <w:rFonts w:ascii="Times New Roman" w:hAnsi="Times New Roman" w:cs="Times New Roman"/>
                <w:i/>
                <w:sz w:val="20"/>
              </w:rPr>
              <w:t xml:space="preserve"> </w:t>
            </w:r>
            <w:proofErr w:type="spellStart"/>
            <w:r>
              <w:rPr>
                <w:rFonts w:ascii="Times New Roman" w:hAnsi="Times New Roman" w:cs="Times New Roman"/>
                <w:i/>
                <w:sz w:val="20"/>
              </w:rPr>
              <w:t>sticky</w:t>
            </w:r>
            <w:proofErr w:type="spellEnd"/>
            <w:r>
              <w:rPr>
                <w:rFonts w:ascii="Times New Roman" w:hAnsi="Times New Roman" w:cs="Times New Roman"/>
                <w:i/>
                <w:sz w:val="20"/>
              </w:rPr>
              <w:t>?</w:t>
            </w:r>
            <w:r w:rsidR="007D69FB" w:rsidRPr="00D52820">
              <w:rPr>
                <w:rFonts w:ascii="Times New Roman" w:hAnsi="Times New Roman" w:cs="Times New Roman"/>
                <w:sz w:val="20"/>
              </w:rPr>
              <w:t xml:space="preserve">, </w:t>
            </w:r>
            <w:proofErr w:type="spellStart"/>
            <w:r w:rsidR="007D69FB" w:rsidRPr="006F4589">
              <w:rPr>
                <w:rFonts w:ascii="Times New Roman" w:hAnsi="Times New Roman" w:cs="Times New Roman"/>
                <w:i/>
                <w:sz w:val="20"/>
              </w:rPr>
              <w:t>Working</w:t>
            </w:r>
            <w:proofErr w:type="spellEnd"/>
            <w:r w:rsidR="007D69FB" w:rsidRPr="006F4589">
              <w:rPr>
                <w:rFonts w:ascii="Times New Roman" w:hAnsi="Times New Roman" w:cs="Times New Roman"/>
                <w:i/>
                <w:sz w:val="20"/>
              </w:rPr>
              <w:t xml:space="preserve"> </w:t>
            </w:r>
            <w:proofErr w:type="spellStart"/>
            <w:r w:rsidR="007D69FB" w:rsidRPr="006F4589">
              <w:rPr>
                <w:rFonts w:ascii="Times New Roman" w:hAnsi="Times New Roman" w:cs="Times New Roman"/>
                <w:i/>
                <w:sz w:val="20"/>
              </w:rPr>
              <w:t>Paper</w:t>
            </w:r>
            <w:proofErr w:type="spellEnd"/>
            <w:r w:rsidR="007D69FB" w:rsidRPr="006F4589">
              <w:rPr>
                <w:rFonts w:ascii="Times New Roman" w:hAnsi="Times New Roman" w:cs="Times New Roman"/>
                <w:i/>
                <w:sz w:val="20"/>
              </w:rPr>
              <w:t xml:space="preserve"> Series</w:t>
            </w:r>
            <w:r w:rsidR="007D69FB" w:rsidRPr="00D52820">
              <w:rPr>
                <w:rFonts w:ascii="Times New Roman" w:hAnsi="Times New Roman" w:cs="Times New Roman"/>
                <w:sz w:val="20"/>
              </w:rPr>
              <w:t>, No 645, BCE, junio de 2006.</w:t>
            </w:r>
          </w:p>
          <w:p w:rsidR="007D69FB" w:rsidRPr="00D52820" w:rsidRDefault="007D69FB"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sidRPr="00D52820">
              <w:rPr>
                <w:rFonts w:ascii="Times New Roman" w:hAnsi="Times New Roman" w:cs="Times New Roman"/>
                <w:sz w:val="20"/>
              </w:rPr>
              <w:t xml:space="preserve">Y. </w:t>
            </w:r>
            <w:proofErr w:type="spellStart"/>
            <w:r w:rsidRPr="00D52820">
              <w:rPr>
                <w:rFonts w:ascii="Times New Roman" w:hAnsi="Times New Roman" w:cs="Times New Roman"/>
                <w:sz w:val="20"/>
              </w:rPr>
              <w:t>Gorodnichenko</w:t>
            </w:r>
            <w:proofErr w:type="spellEnd"/>
            <w:r w:rsidRPr="00D52820">
              <w:rPr>
                <w:rFonts w:ascii="Times New Roman" w:hAnsi="Times New Roman" w:cs="Times New Roman"/>
                <w:sz w:val="20"/>
              </w:rPr>
              <w:t xml:space="preserve">, V. </w:t>
            </w:r>
            <w:proofErr w:type="spellStart"/>
            <w:r w:rsidRPr="00D52820">
              <w:rPr>
                <w:rFonts w:ascii="Times New Roman" w:hAnsi="Times New Roman" w:cs="Times New Roman"/>
                <w:sz w:val="20"/>
              </w:rPr>
              <w:t>Sheremirov</w:t>
            </w:r>
            <w:proofErr w:type="spellEnd"/>
            <w:r w:rsidRPr="00D52820">
              <w:rPr>
                <w:rFonts w:ascii="Times New Roman" w:hAnsi="Times New Roman" w:cs="Times New Roman"/>
                <w:sz w:val="20"/>
              </w:rPr>
              <w:t xml:space="preserve"> y O. Talavera, </w:t>
            </w:r>
            <w:r w:rsidRPr="00CB621A">
              <w:rPr>
                <w:rFonts w:ascii="Times New Roman" w:hAnsi="Times New Roman" w:cs="Times New Roman"/>
                <w:i/>
                <w:sz w:val="20"/>
              </w:rPr>
              <w:t xml:space="preserve">Price </w:t>
            </w:r>
            <w:proofErr w:type="spellStart"/>
            <w:r w:rsidRPr="00CB621A">
              <w:rPr>
                <w:rFonts w:ascii="Times New Roman" w:hAnsi="Times New Roman" w:cs="Times New Roman"/>
                <w:i/>
                <w:sz w:val="20"/>
              </w:rPr>
              <w:t>setting</w:t>
            </w:r>
            <w:proofErr w:type="spellEnd"/>
            <w:r w:rsidRPr="00CB621A">
              <w:rPr>
                <w:rFonts w:ascii="Times New Roman" w:hAnsi="Times New Roman" w:cs="Times New Roman"/>
                <w:i/>
                <w:sz w:val="20"/>
              </w:rPr>
              <w:t xml:space="preserve"> in online </w:t>
            </w:r>
            <w:proofErr w:type="spellStart"/>
            <w:r w:rsidRPr="00CB621A">
              <w:rPr>
                <w:rFonts w:ascii="Times New Roman" w:hAnsi="Times New Roman" w:cs="Times New Roman"/>
                <w:i/>
                <w:sz w:val="20"/>
              </w:rPr>
              <w:t>markets</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does</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it</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click</w:t>
            </w:r>
            <w:proofErr w:type="spellEnd"/>
            <w:r w:rsidRPr="00D52820">
              <w:rPr>
                <w:rFonts w:ascii="Times New Roman" w:hAnsi="Times New Roman" w:cs="Times New Roman"/>
                <w:sz w:val="20"/>
              </w:rPr>
              <w:t xml:space="preserve">? NBER </w:t>
            </w:r>
            <w:proofErr w:type="spellStart"/>
            <w:r w:rsidRPr="006F4589">
              <w:rPr>
                <w:rFonts w:ascii="Times New Roman" w:hAnsi="Times New Roman" w:cs="Times New Roman"/>
                <w:i/>
                <w:sz w:val="20"/>
              </w:rPr>
              <w:t>Working</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Papers</w:t>
            </w:r>
            <w:proofErr w:type="spellEnd"/>
            <w:r w:rsidRPr="00D52820">
              <w:rPr>
                <w:rFonts w:ascii="Times New Roman" w:hAnsi="Times New Roman" w:cs="Times New Roman"/>
                <w:sz w:val="20"/>
              </w:rPr>
              <w:t>, nº 20819, agosto de 2014.</w:t>
            </w:r>
          </w:p>
          <w:p w:rsidR="007D69FB" w:rsidRPr="00D52820" w:rsidRDefault="007D69FB"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sidRPr="00D52820">
              <w:rPr>
                <w:rFonts w:ascii="Times New Roman" w:hAnsi="Times New Roman" w:cs="Times New Roman"/>
                <w:sz w:val="20"/>
              </w:rPr>
              <w:t xml:space="preserve">M.H. </w:t>
            </w:r>
            <w:proofErr w:type="spellStart"/>
            <w:r w:rsidRPr="00D52820">
              <w:rPr>
                <w:rFonts w:ascii="Times New Roman" w:hAnsi="Times New Roman" w:cs="Times New Roman"/>
                <w:sz w:val="20"/>
              </w:rPr>
              <w:t>Yi</w:t>
            </w:r>
            <w:proofErr w:type="spellEnd"/>
            <w:r w:rsidRPr="00D52820">
              <w:rPr>
                <w:rFonts w:ascii="Times New Roman" w:hAnsi="Times New Roman" w:cs="Times New Roman"/>
                <w:sz w:val="20"/>
              </w:rPr>
              <w:t xml:space="preserve"> y C. </w:t>
            </w:r>
            <w:proofErr w:type="spellStart"/>
            <w:r w:rsidRPr="00D52820">
              <w:rPr>
                <w:rFonts w:ascii="Times New Roman" w:hAnsi="Times New Roman" w:cs="Times New Roman"/>
                <w:sz w:val="20"/>
              </w:rPr>
              <w:t>Choi</w:t>
            </w:r>
            <w:proofErr w:type="spellEnd"/>
            <w:r w:rsidRPr="00D52820">
              <w:rPr>
                <w:rFonts w:ascii="Times New Roman" w:hAnsi="Times New Roman" w:cs="Times New Roman"/>
                <w:sz w:val="20"/>
              </w:rPr>
              <w:t xml:space="preserve">,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effect</w:t>
            </w:r>
            <w:proofErr w:type="spellEnd"/>
            <w:r w:rsidRPr="00CB621A">
              <w:rPr>
                <w:rFonts w:ascii="Times New Roman" w:hAnsi="Times New Roman" w:cs="Times New Roman"/>
                <w:i/>
                <w:sz w:val="20"/>
              </w:rPr>
              <w:t xml:space="preserve"> of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internet </w:t>
            </w:r>
            <w:proofErr w:type="spellStart"/>
            <w:r w:rsidRPr="00CB621A">
              <w:rPr>
                <w:rFonts w:ascii="Times New Roman" w:hAnsi="Times New Roman" w:cs="Times New Roman"/>
                <w:i/>
                <w:sz w:val="20"/>
              </w:rPr>
              <w:t>on</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inflation</w:t>
            </w:r>
            <w:proofErr w:type="spellEnd"/>
            <w:r w:rsidRPr="00CB621A">
              <w:rPr>
                <w:rFonts w:ascii="Times New Roman" w:hAnsi="Times New Roman" w:cs="Times New Roman"/>
                <w:i/>
                <w:sz w:val="20"/>
              </w:rPr>
              <w:t xml:space="preserve">: Panel data </w:t>
            </w:r>
            <w:proofErr w:type="spellStart"/>
            <w:r w:rsidRPr="00CB621A">
              <w:rPr>
                <w:rFonts w:ascii="Times New Roman" w:hAnsi="Times New Roman" w:cs="Times New Roman"/>
                <w:i/>
                <w:sz w:val="20"/>
              </w:rPr>
              <w:t>evidence</w:t>
            </w:r>
            <w:proofErr w:type="spellEnd"/>
            <w:r w:rsidRPr="00D52820">
              <w:rPr>
                <w:rFonts w:ascii="Times New Roman" w:hAnsi="Times New Roman" w:cs="Times New Roman"/>
                <w:sz w:val="20"/>
              </w:rPr>
              <w:t xml:space="preserve">, </w:t>
            </w:r>
            <w:proofErr w:type="spellStart"/>
            <w:r w:rsidRPr="006F4589">
              <w:rPr>
                <w:rFonts w:ascii="Times New Roman" w:hAnsi="Times New Roman" w:cs="Times New Roman"/>
                <w:i/>
                <w:sz w:val="20"/>
              </w:rPr>
              <w:t>Journal</w:t>
            </w:r>
            <w:proofErr w:type="spellEnd"/>
            <w:r w:rsidRPr="006F4589">
              <w:rPr>
                <w:rFonts w:ascii="Times New Roman" w:hAnsi="Times New Roman" w:cs="Times New Roman"/>
                <w:i/>
                <w:sz w:val="20"/>
              </w:rPr>
              <w:t xml:space="preserve"> of </w:t>
            </w:r>
            <w:proofErr w:type="spellStart"/>
            <w:r w:rsidRPr="006F4589">
              <w:rPr>
                <w:rFonts w:ascii="Times New Roman" w:hAnsi="Times New Roman" w:cs="Times New Roman"/>
                <w:i/>
                <w:sz w:val="20"/>
              </w:rPr>
              <w:t>Policy</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Modeling</w:t>
            </w:r>
            <w:proofErr w:type="spellEnd"/>
            <w:r w:rsidRPr="00D52820">
              <w:rPr>
                <w:rFonts w:ascii="Times New Roman" w:hAnsi="Times New Roman" w:cs="Times New Roman"/>
                <w:sz w:val="20"/>
              </w:rPr>
              <w:t>, vol. 27, 2005, pp. 885-889.</w:t>
            </w:r>
          </w:p>
          <w:p w:rsidR="007D69FB" w:rsidRPr="00D52820" w:rsidRDefault="007D69FB" w:rsidP="00D52820">
            <w:pPr>
              <w:pStyle w:val="Prrafodelista"/>
              <w:numPr>
                <w:ilvl w:val="0"/>
                <w:numId w:val="46"/>
              </w:numPr>
              <w:spacing w:before="120" w:after="120" w:line="276" w:lineRule="auto"/>
              <w:ind w:left="313" w:hanging="284"/>
              <w:jc w:val="both"/>
              <w:rPr>
                <w:rFonts w:ascii="Times New Roman" w:hAnsi="Times New Roman" w:cs="Times New Roman"/>
                <w:sz w:val="20"/>
              </w:rPr>
            </w:pPr>
            <w:r w:rsidRPr="00D52820">
              <w:rPr>
                <w:rFonts w:ascii="Times New Roman" w:hAnsi="Times New Roman" w:cs="Times New Roman"/>
                <w:sz w:val="20"/>
              </w:rPr>
              <w:t xml:space="preserve">D. </w:t>
            </w:r>
            <w:proofErr w:type="spellStart"/>
            <w:r w:rsidRPr="00D52820">
              <w:rPr>
                <w:rFonts w:ascii="Times New Roman" w:hAnsi="Times New Roman" w:cs="Times New Roman"/>
                <w:sz w:val="20"/>
              </w:rPr>
              <w:t>Lorenzani</w:t>
            </w:r>
            <w:proofErr w:type="spellEnd"/>
            <w:r w:rsidRPr="00D52820">
              <w:rPr>
                <w:rFonts w:ascii="Times New Roman" w:hAnsi="Times New Roman" w:cs="Times New Roman"/>
                <w:sz w:val="20"/>
              </w:rPr>
              <w:t xml:space="preserve">, y J. Varga,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Economic</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Impact</w:t>
            </w:r>
            <w:proofErr w:type="spellEnd"/>
            <w:r w:rsidRPr="00CB621A">
              <w:rPr>
                <w:rFonts w:ascii="Times New Roman" w:hAnsi="Times New Roman" w:cs="Times New Roman"/>
                <w:i/>
                <w:sz w:val="20"/>
              </w:rPr>
              <w:t xml:space="preserve"> of Digital </w:t>
            </w:r>
            <w:proofErr w:type="spellStart"/>
            <w:r w:rsidRPr="00CB621A">
              <w:rPr>
                <w:rFonts w:ascii="Times New Roman" w:hAnsi="Times New Roman" w:cs="Times New Roman"/>
                <w:i/>
                <w:sz w:val="20"/>
              </w:rPr>
              <w:t>Structural</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Reforms</w:t>
            </w:r>
            <w:proofErr w:type="spellEnd"/>
            <w:r w:rsidRPr="00D52820">
              <w:rPr>
                <w:rFonts w:ascii="Times New Roman" w:hAnsi="Times New Roman" w:cs="Times New Roman"/>
                <w:sz w:val="20"/>
              </w:rPr>
              <w:t xml:space="preserve">, </w:t>
            </w:r>
            <w:proofErr w:type="spellStart"/>
            <w:r w:rsidRPr="00D52820">
              <w:rPr>
                <w:rFonts w:ascii="Times New Roman" w:hAnsi="Times New Roman" w:cs="Times New Roman"/>
                <w:sz w:val="20"/>
              </w:rPr>
              <w:t>E</w:t>
            </w:r>
            <w:r w:rsidRPr="006F4589">
              <w:rPr>
                <w:rFonts w:ascii="Times New Roman" w:hAnsi="Times New Roman" w:cs="Times New Roman"/>
                <w:i/>
                <w:sz w:val="20"/>
              </w:rPr>
              <w:t>uropean</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Commission</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Economic</w:t>
            </w:r>
            <w:proofErr w:type="spellEnd"/>
            <w:r w:rsidRPr="006F4589">
              <w:rPr>
                <w:rFonts w:ascii="Times New Roman" w:hAnsi="Times New Roman" w:cs="Times New Roman"/>
                <w:i/>
                <w:sz w:val="20"/>
              </w:rPr>
              <w:t xml:space="preserve"> </w:t>
            </w:r>
            <w:proofErr w:type="spellStart"/>
            <w:r w:rsidRPr="006F4589">
              <w:rPr>
                <w:rFonts w:ascii="Times New Roman" w:hAnsi="Times New Roman" w:cs="Times New Roman"/>
                <w:i/>
                <w:sz w:val="20"/>
              </w:rPr>
              <w:t>Papers</w:t>
            </w:r>
            <w:proofErr w:type="spellEnd"/>
            <w:r w:rsidRPr="00D52820">
              <w:rPr>
                <w:rFonts w:ascii="Times New Roman" w:hAnsi="Times New Roman" w:cs="Times New Roman"/>
                <w:sz w:val="20"/>
              </w:rPr>
              <w:t xml:space="preserve">, </w:t>
            </w:r>
            <w:r w:rsidRPr="006F4589">
              <w:rPr>
                <w:rFonts w:ascii="Times New Roman" w:hAnsi="Times New Roman" w:cs="Times New Roman"/>
                <w:i/>
                <w:sz w:val="20"/>
              </w:rPr>
              <w:t>n</w:t>
            </w:r>
            <w:proofErr w:type="gramStart"/>
            <w:r w:rsidRPr="006F4589">
              <w:rPr>
                <w:rFonts w:ascii="Times New Roman" w:hAnsi="Times New Roman" w:cs="Times New Roman"/>
                <w:i/>
                <w:sz w:val="20"/>
              </w:rPr>
              <w:t>.º</w:t>
            </w:r>
            <w:proofErr w:type="gramEnd"/>
            <w:r w:rsidRPr="006F4589">
              <w:rPr>
                <w:rFonts w:ascii="Times New Roman" w:hAnsi="Times New Roman" w:cs="Times New Roman"/>
                <w:i/>
                <w:sz w:val="20"/>
              </w:rPr>
              <w:t xml:space="preserve"> 529</w:t>
            </w:r>
            <w:r w:rsidRPr="00D52820">
              <w:rPr>
                <w:rFonts w:ascii="Times New Roman" w:hAnsi="Times New Roman" w:cs="Times New Roman"/>
                <w:sz w:val="20"/>
              </w:rPr>
              <w:t xml:space="preserve"> septiembre de 2014.</w:t>
            </w:r>
          </w:p>
          <w:p w:rsidR="007D69FB" w:rsidRPr="00B901DC" w:rsidRDefault="007D69FB" w:rsidP="00CB621A">
            <w:pPr>
              <w:pStyle w:val="Prrafodelista"/>
              <w:numPr>
                <w:ilvl w:val="0"/>
                <w:numId w:val="46"/>
              </w:numPr>
              <w:spacing w:before="120" w:after="120" w:line="276" w:lineRule="auto"/>
              <w:ind w:left="313" w:hanging="284"/>
              <w:jc w:val="both"/>
              <w:rPr>
                <w:sz w:val="20"/>
              </w:rPr>
            </w:pPr>
            <w:r w:rsidRPr="00D52820">
              <w:rPr>
                <w:rFonts w:ascii="Times New Roman" w:hAnsi="Times New Roman" w:cs="Times New Roman"/>
                <w:sz w:val="20"/>
              </w:rPr>
              <w:t xml:space="preserve">Véase el sitio web de </w:t>
            </w:r>
            <w:proofErr w:type="spellStart"/>
            <w:r w:rsidRPr="00CB621A">
              <w:rPr>
                <w:rFonts w:ascii="Times New Roman" w:hAnsi="Times New Roman" w:cs="Times New Roman"/>
                <w:i/>
                <w:sz w:val="20"/>
              </w:rPr>
              <w:t>The</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Billion</w:t>
            </w:r>
            <w:proofErr w:type="spellEnd"/>
            <w:r w:rsidRPr="00CB621A">
              <w:rPr>
                <w:rFonts w:ascii="Times New Roman" w:hAnsi="Times New Roman" w:cs="Times New Roman"/>
                <w:i/>
                <w:sz w:val="20"/>
              </w:rPr>
              <w:t xml:space="preserve"> </w:t>
            </w:r>
            <w:proofErr w:type="spellStart"/>
            <w:r w:rsidRPr="00CB621A">
              <w:rPr>
                <w:rFonts w:ascii="Times New Roman" w:hAnsi="Times New Roman" w:cs="Times New Roman"/>
                <w:i/>
                <w:sz w:val="20"/>
              </w:rPr>
              <w:t>Prices</w:t>
            </w:r>
            <w:proofErr w:type="spellEnd"/>
            <w:r w:rsidRPr="00CB621A">
              <w:rPr>
                <w:rFonts w:ascii="Times New Roman" w:hAnsi="Times New Roman" w:cs="Times New Roman"/>
                <w:i/>
                <w:sz w:val="20"/>
              </w:rPr>
              <w:t xml:space="preserve"> Project</w:t>
            </w:r>
            <w:r w:rsidRPr="00D52820">
              <w:rPr>
                <w:rFonts w:ascii="Times New Roman" w:hAnsi="Times New Roman" w:cs="Times New Roman"/>
                <w:sz w:val="20"/>
              </w:rPr>
              <w:t xml:space="preserve"> en http://bpp.</w:t>
            </w:r>
            <w:r w:rsidRPr="00B15828">
              <w:rPr>
                <w:rFonts w:ascii="Times New Roman" w:hAnsi="Times New Roman" w:cs="Times New Roman"/>
                <w:sz w:val="20"/>
              </w:rPr>
              <w:t>mit.edu/usa/</w:t>
            </w:r>
          </w:p>
        </w:tc>
      </w:tr>
    </w:tbl>
    <w:p w:rsidR="00B901DC" w:rsidRDefault="00B901DC" w:rsidP="00B901DC">
      <w:pPr>
        <w:spacing w:line="360" w:lineRule="auto"/>
        <w:jc w:val="both"/>
        <w:rPr>
          <w:sz w:val="20"/>
          <w:szCs w:val="20"/>
        </w:rPr>
      </w:pPr>
    </w:p>
    <w:p w:rsidR="007D69FB" w:rsidRPr="00B901DC" w:rsidRDefault="00B901DC" w:rsidP="00B901DC">
      <w:pPr>
        <w:spacing w:line="360" w:lineRule="auto"/>
        <w:jc w:val="both"/>
        <w:rPr>
          <w:b/>
          <w:sz w:val="20"/>
          <w:szCs w:val="20"/>
        </w:rPr>
      </w:pPr>
      <w:r w:rsidRPr="00B901DC">
        <w:rPr>
          <w:b/>
          <w:sz w:val="20"/>
          <w:szCs w:val="20"/>
        </w:rPr>
        <w:t>Fuente de información:</w:t>
      </w:r>
    </w:p>
    <w:p w:rsidR="00B901DC" w:rsidRPr="00B901DC" w:rsidRDefault="00935135" w:rsidP="00B901DC">
      <w:pPr>
        <w:jc w:val="both"/>
        <w:rPr>
          <w:sz w:val="20"/>
          <w:szCs w:val="20"/>
        </w:rPr>
      </w:pPr>
      <w:hyperlink r:id="rId66" w:history="1">
        <w:r w:rsidR="00B901DC" w:rsidRPr="00B901DC">
          <w:rPr>
            <w:rStyle w:val="Hipervnculo"/>
            <w:sz w:val="20"/>
            <w:szCs w:val="20"/>
          </w:rPr>
          <w:t>http://www.bde.es/f/webbde/SES/Secciones/Publicaciones/PublicacionesBCE/BoletinEconomicoBCE/02/Fich/bebce1502-1.pdf</w:t>
        </w:r>
      </w:hyperlink>
      <w:r w:rsidR="00B901DC" w:rsidRPr="00B901DC">
        <w:rPr>
          <w:sz w:val="20"/>
          <w:szCs w:val="20"/>
        </w:rPr>
        <w:t xml:space="preserve"> </w:t>
      </w:r>
    </w:p>
    <w:sectPr w:rsidR="00B901DC" w:rsidRPr="00B901DC" w:rsidSect="00C879FD">
      <w:headerReference w:type="even" r:id="rId67"/>
      <w:headerReference w:type="default" r:id="rId68"/>
      <w:footerReference w:type="even" r:id="rId69"/>
      <w:footerReference w:type="default" r:id="rId70"/>
      <w:pgSz w:w="12242" w:h="15842" w:code="1"/>
      <w:pgMar w:top="1247" w:right="1701" w:bottom="1426" w:left="1701" w:header="720" w:footer="720" w:gutter="0"/>
      <w:pgNumType w:start="167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5135" w:rsidRDefault="00935135" w:rsidP="00364D4D">
      <w:r>
        <w:separator/>
      </w:r>
    </w:p>
  </w:endnote>
  <w:endnote w:type="continuationSeparator" w:id="0">
    <w:p w:rsidR="00935135" w:rsidRDefault="00935135" w:rsidP="00364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4B35" w:rsidRDefault="00A14B35" w:rsidP="00B17B53">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4B35" w:rsidRDefault="00A14B35" w:rsidP="00B17B53">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5135" w:rsidRDefault="00935135" w:rsidP="00364D4D">
      <w:r>
        <w:separator/>
      </w:r>
    </w:p>
  </w:footnote>
  <w:footnote w:type="continuationSeparator" w:id="0">
    <w:p w:rsidR="00935135" w:rsidRDefault="00935135" w:rsidP="00364D4D">
      <w:r>
        <w:continuationSeparator/>
      </w:r>
    </w:p>
  </w:footnote>
  <w:footnote w:id="1">
    <w:p w:rsidR="00A14B35" w:rsidRPr="008A1BBA" w:rsidRDefault="00A14B35" w:rsidP="00364D4D">
      <w:pPr>
        <w:pStyle w:val="Default"/>
        <w:ind w:left="126" w:hanging="126"/>
        <w:jc w:val="both"/>
        <w:rPr>
          <w:rFonts w:ascii="Times New Roman" w:hAnsi="Times New Roman" w:cs="Times New Roman"/>
          <w:sz w:val="20"/>
          <w:szCs w:val="20"/>
        </w:rPr>
      </w:pPr>
      <w:r w:rsidRPr="00F91BD1">
        <w:rPr>
          <w:rStyle w:val="Refdenotaalpie"/>
          <w:rFonts w:ascii="Times New Roman" w:hAnsi="Times New Roman" w:cs="Times New Roman"/>
          <w:sz w:val="20"/>
          <w:szCs w:val="20"/>
        </w:rPr>
        <w:footnoteRef/>
      </w:r>
      <w:r w:rsidRPr="00F91BD1">
        <w:rPr>
          <w:sz w:val="20"/>
          <w:szCs w:val="20"/>
        </w:rPr>
        <w:t xml:space="preserve"> </w:t>
      </w:r>
      <w:r w:rsidRPr="008A1BBA">
        <w:rPr>
          <w:rFonts w:ascii="Times New Roman" w:hAnsi="Times New Roman" w:cs="Times New Roman"/>
          <w:sz w:val="20"/>
          <w:szCs w:val="20"/>
        </w:rPr>
        <w:t>La incidencia se refiere a la contribución en puntos porcentuales, de cada componente del INPC a la inflación general</w:t>
      </w:r>
      <w:r>
        <w:rPr>
          <w:rFonts w:ascii="Times New Roman" w:hAnsi="Times New Roman" w:cs="Times New Roman"/>
          <w:sz w:val="20"/>
          <w:szCs w:val="20"/>
        </w:rPr>
        <w:t>, en término de puntos porcentuales</w:t>
      </w:r>
      <w:r w:rsidRPr="008A1BBA">
        <w:rPr>
          <w:rFonts w:ascii="Times New Roman" w:hAnsi="Times New Roman" w:cs="Times New Roman"/>
          <w:sz w:val="20"/>
          <w:szCs w:val="20"/>
        </w:rPr>
        <w:t xml:space="preserve">. Ésta se calcula utilizando los ponderadores de cada subíndice, así como los precios relativos y sus respectivas variaciones. </w:t>
      </w:r>
    </w:p>
    <w:p w:rsidR="00A14B35" w:rsidRPr="008A1BBA" w:rsidRDefault="00A14B35" w:rsidP="00364D4D">
      <w:pPr>
        <w:pStyle w:val="Textonotapie"/>
      </w:pPr>
    </w:p>
  </w:footnote>
  <w:footnote w:id="2">
    <w:p w:rsidR="00A14B35" w:rsidRDefault="00A14B35" w:rsidP="00364D4D">
      <w:pPr>
        <w:pStyle w:val="Textonotapie"/>
        <w:ind w:left="142" w:right="51" w:hanging="142"/>
      </w:pPr>
      <w:r>
        <w:rPr>
          <w:rStyle w:val="Refdenotaalpie"/>
        </w:rPr>
        <w:footnoteRef/>
      </w:r>
      <w:r>
        <w:t xml:space="preserve"> </w:t>
      </w:r>
      <w:r>
        <w:rPr>
          <w:color w:val="000000"/>
          <w:kern w:val="24"/>
        </w:rPr>
        <w:t>Datos calculados a partir de la Encuesta Nacional de Ingresos y Gastos de los Hogares (ENIGH) realizada en 2010.</w:t>
      </w:r>
    </w:p>
  </w:footnote>
  <w:footnote w:id="3">
    <w:p w:rsidR="00A14B35" w:rsidRDefault="00A14B35" w:rsidP="00364D4D">
      <w:pPr>
        <w:pStyle w:val="NormalWeb"/>
        <w:tabs>
          <w:tab w:val="left" w:pos="0"/>
        </w:tabs>
        <w:spacing w:before="0" w:beforeAutospacing="0" w:after="0" w:afterAutospacing="0"/>
        <w:ind w:left="153" w:hanging="153"/>
        <w:jc w:val="both"/>
        <w:rPr>
          <w:color w:val="000000"/>
          <w:kern w:val="24"/>
          <w:sz w:val="20"/>
          <w:szCs w:val="20"/>
        </w:rPr>
      </w:pPr>
      <w:r>
        <w:rPr>
          <w:rStyle w:val="Refdenotaalpie"/>
        </w:rPr>
        <w:footnoteRef/>
      </w:r>
      <w:r>
        <w:t xml:space="preserve"> </w:t>
      </w:r>
      <w:r>
        <w:rPr>
          <w:color w:val="000000"/>
          <w:kern w:val="24"/>
          <w:sz w:val="20"/>
          <w:szCs w:val="20"/>
        </w:rPr>
        <w:t>Datos calculados a partir de la Encuesta Nacional de Ingresos y Gastos de los Hogares (ENIGH) realizada en 2010.</w:t>
      </w:r>
    </w:p>
    <w:p w:rsidR="00A14B35" w:rsidRPr="00CE7765" w:rsidRDefault="00A14B35" w:rsidP="00364D4D">
      <w:pPr>
        <w:pStyle w:val="Textonotapie"/>
      </w:pPr>
    </w:p>
  </w:footnote>
  <w:footnote w:id="4">
    <w:p w:rsidR="00A14B35" w:rsidRDefault="00A14B35" w:rsidP="00364D4D">
      <w:pPr>
        <w:pStyle w:val="NormalWeb"/>
        <w:tabs>
          <w:tab w:val="left" w:pos="0"/>
        </w:tabs>
        <w:spacing w:before="0" w:beforeAutospacing="0" w:after="0" w:afterAutospacing="0"/>
        <w:ind w:left="153" w:hanging="153"/>
        <w:jc w:val="both"/>
        <w:rPr>
          <w:color w:val="000000"/>
          <w:kern w:val="24"/>
          <w:sz w:val="20"/>
          <w:szCs w:val="20"/>
        </w:rPr>
      </w:pPr>
      <w:r>
        <w:rPr>
          <w:rStyle w:val="Refdenotaalpie"/>
        </w:rPr>
        <w:footnoteRef/>
      </w:r>
      <w:r>
        <w:t xml:space="preserve"> </w:t>
      </w:r>
      <w:r>
        <w:rPr>
          <w:color w:val="000000"/>
          <w:kern w:val="24"/>
          <w:sz w:val="20"/>
          <w:szCs w:val="20"/>
        </w:rPr>
        <w:t>Datos calculados a partir de la Encuesta Nacional de Ingresos y Gastos de los Hogares (ENIGH) realizada en 2010.</w:t>
      </w:r>
    </w:p>
    <w:p w:rsidR="00A14B35" w:rsidRPr="00CE7765" w:rsidRDefault="00A14B35" w:rsidP="00364D4D">
      <w:pPr>
        <w:pStyle w:val="Textonotapie"/>
      </w:pPr>
    </w:p>
  </w:footnote>
  <w:footnote w:id="5">
    <w:p w:rsidR="00A14B35" w:rsidRDefault="00A14B35" w:rsidP="00364D4D">
      <w:pPr>
        <w:pStyle w:val="NormalWeb"/>
        <w:tabs>
          <w:tab w:val="left" w:pos="0"/>
        </w:tabs>
        <w:spacing w:before="0" w:beforeAutospacing="0" w:after="0" w:afterAutospacing="0"/>
        <w:ind w:left="154" w:hanging="154"/>
        <w:jc w:val="both"/>
        <w:rPr>
          <w:color w:val="000000"/>
          <w:kern w:val="24"/>
          <w:sz w:val="20"/>
          <w:szCs w:val="20"/>
        </w:rPr>
      </w:pPr>
      <w:r>
        <w:rPr>
          <w:rStyle w:val="Refdenotaalpie"/>
        </w:rPr>
        <w:footnoteRef/>
      </w:r>
      <w:r>
        <w:t xml:space="preserve"> </w:t>
      </w:r>
      <w:r>
        <w:rPr>
          <w:color w:val="000000"/>
          <w:kern w:val="24"/>
          <w:sz w:val="20"/>
          <w:szCs w:val="20"/>
        </w:rPr>
        <w:t>Datos calculados a partir de la Encuesta Nacional de Ingresos y Gastos de los Hogares (ENIGH) realizada en 2010.</w:t>
      </w:r>
    </w:p>
    <w:p w:rsidR="00A14B35" w:rsidRPr="00CE7765" w:rsidRDefault="00A14B35" w:rsidP="00364D4D">
      <w:pPr>
        <w:pStyle w:val="Textonotapie"/>
      </w:pPr>
    </w:p>
  </w:footnote>
  <w:footnote w:id="6">
    <w:p w:rsidR="00A14B35" w:rsidRPr="00173346" w:rsidRDefault="00A14B35" w:rsidP="00173346">
      <w:pPr>
        <w:pStyle w:val="Textonotapie"/>
        <w:ind w:left="168" w:hanging="168"/>
        <w:jc w:val="both"/>
        <w:rPr>
          <w:lang w:val="es-MX"/>
        </w:rPr>
      </w:pPr>
      <w:r>
        <w:rPr>
          <w:rStyle w:val="Refdenotaalpie"/>
        </w:rPr>
        <w:footnoteRef/>
      </w:r>
      <w:r>
        <w:t xml:space="preserve">  Para un análisis más detallado de los efectos indirectos, véase el recuadro titulado </w:t>
      </w:r>
      <w:r w:rsidRPr="00BE5A0D">
        <w:rPr>
          <w:i/>
        </w:rPr>
        <w:t>Efectos indirectos de la evolución de los precios del petróleo sobre la inflación de la zona del euro</w:t>
      </w:r>
      <w:r>
        <w:t xml:space="preserve">, Boletín Mensual, BCE, Frankfurt am </w:t>
      </w:r>
      <w:proofErr w:type="spellStart"/>
      <w:r>
        <w:t>Main</w:t>
      </w:r>
      <w:proofErr w:type="spellEnd"/>
      <w:r>
        <w:t>, diciembre de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4B35" w:rsidRPr="00E313B7" w:rsidRDefault="00A14B35" w:rsidP="00E313B7">
    <w:pPr>
      <w:pStyle w:val="Encabezado"/>
      <w:pBdr>
        <w:bottom w:val="single" w:sz="4" w:space="1" w:color="660033"/>
      </w:pBdr>
      <w:tabs>
        <w:tab w:val="clear" w:pos="8504"/>
        <w:tab w:val="left" w:pos="4545"/>
        <w:tab w:val="right" w:pos="8820"/>
      </w:tabs>
      <w:ind w:right="-159"/>
      <w:rPr>
        <w:i/>
        <w:color w:val="660033"/>
        <w:sz w:val="22"/>
        <w:szCs w:val="22"/>
      </w:rPr>
    </w:pPr>
    <w:r w:rsidRPr="00E313B7">
      <w:rPr>
        <w:rStyle w:val="Nmerodepgina"/>
        <w:i/>
        <w:color w:val="660033"/>
        <w:sz w:val="22"/>
        <w:szCs w:val="22"/>
      </w:rPr>
      <w:fldChar w:fldCharType="begin"/>
    </w:r>
    <w:r w:rsidRPr="00E313B7">
      <w:rPr>
        <w:rStyle w:val="Nmerodepgina"/>
        <w:i/>
        <w:color w:val="660033"/>
        <w:sz w:val="22"/>
        <w:szCs w:val="22"/>
      </w:rPr>
      <w:instrText xml:space="preserve"> PAGE </w:instrText>
    </w:r>
    <w:r w:rsidRPr="00E313B7">
      <w:rPr>
        <w:rStyle w:val="Nmerodepgina"/>
        <w:i/>
        <w:color w:val="660033"/>
        <w:sz w:val="22"/>
        <w:szCs w:val="22"/>
      </w:rPr>
      <w:fldChar w:fldCharType="separate"/>
    </w:r>
    <w:r w:rsidR="00E313B7">
      <w:rPr>
        <w:rStyle w:val="Nmerodepgina"/>
        <w:i/>
        <w:noProof/>
        <w:color w:val="660033"/>
        <w:sz w:val="22"/>
        <w:szCs w:val="22"/>
      </w:rPr>
      <w:t>1752</w:t>
    </w:r>
    <w:r w:rsidRPr="00E313B7">
      <w:rPr>
        <w:rStyle w:val="Nmerodepgina"/>
        <w:i/>
        <w:color w:val="660033"/>
        <w:sz w:val="22"/>
        <w:szCs w:val="22"/>
      </w:rPr>
      <w:fldChar w:fldCharType="end"/>
    </w:r>
    <w:r w:rsidRPr="00E313B7">
      <w:rPr>
        <w:rStyle w:val="Nmerodepgina"/>
        <w:i/>
        <w:color w:val="660033"/>
        <w:sz w:val="22"/>
        <w:szCs w:val="22"/>
      </w:rPr>
      <w:tab/>
    </w:r>
    <w:r w:rsidRPr="00E313B7">
      <w:rPr>
        <w:rStyle w:val="Nmerodepgina"/>
        <w:i/>
        <w:color w:val="660033"/>
        <w:sz w:val="22"/>
        <w:szCs w:val="22"/>
      </w:rPr>
      <w:tab/>
    </w:r>
    <w:r w:rsidRPr="00E313B7">
      <w:rPr>
        <w:rStyle w:val="Nmerodepgina"/>
        <w:i/>
        <w:color w:val="660033"/>
        <w:sz w:val="22"/>
        <w:szCs w:val="22"/>
      </w:rPr>
      <w:tab/>
    </w:r>
    <w:r w:rsidR="00C879FD" w:rsidRPr="00E313B7">
      <w:rPr>
        <w:rStyle w:val="Nmerodepgina"/>
        <w:i/>
        <w:color w:val="660033"/>
        <w:sz w:val="22"/>
        <w:szCs w:val="22"/>
      </w:rPr>
      <w:t xml:space="preserve"> </w:t>
    </w:r>
    <w:r w:rsidRPr="00E313B7">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14B35" w:rsidRPr="00E313B7" w:rsidRDefault="00A14B35" w:rsidP="00E313B7">
    <w:pPr>
      <w:pStyle w:val="Encabezado"/>
      <w:pBdr>
        <w:bottom w:val="single" w:sz="4" w:space="1" w:color="660033"/>
      </w:pBdr>
      <w:tabs>
        <w:tab w:val="clear" w:pos="8504"/>
        <w:tab w:val="right" w:pos="9000"/>
      </w:tabs>
      <w:ind w:right="-159"/>
      <w:rPr>
        <w:i/>
        <w:color w:val="660033"/>
        <w:sz w:val="22"/>
        <w:szCs w:val="22"/>
      </w:rPr>
    </w:pPr>
    <w:r w:rsidRPr="00E313B7">
      <w:rPr>
        <w:i/>
        <w:color w:val="660033"/>
        <w:sz w:val="22"/>
        <w:szCs w:val="22"/>
      </w:rPr>
      <w:t>Evolución de los Precios</w:t>
    </w:r>
    <w:r w:rsidRPr="00E313B7">
      <w:rPr>
        <w:i/>
        <w:color w:val="660033"/>
        <w:sz w:val="22"/>
        <w:szCs w:val="22"/>
      </w:rPr>
      <w:tab/>
    </w:r>
    <w:r w:rsidRPr="00E313B7">
      <w:rPr>
        <w:i/>
        <w:color w:val="660033"/>
        <w:sz w:val="22"/>
        <w:szCs w:val="22"/>
      </w:rPr>
      <w:tab/>
      <w:t xml:space="preserve">    </w:t>
    </w:r>
    <w:r w:rsidRPr="00E313B7">
      <w:rPr>
        <w:rStyle w:val="Nmerodepgina"/>
        <w:i/>
        <w:color w:val="660033"/>
        <w:sz w:val="22"/>
        <w:szCs w:val="22"/>
      </w:rPr>
      <w:fldChar w:fldCharType="begin"/>
    </w:r>
    <w:r w:rsidRPr="00E313B7">
      <w:rPr>
        <w:rStyle w:val="Nmerodepgina"/>
        <w:i/>
        <w:color w:val="660033"/>
        <w:sz w:val="22"/>
        <w:szCs w:val="22"/>
      </w:rPr>
      <w:instrText xml:space="preserve"> PAGE </w:instrText>
    </w:r>
    <w:r w:rsidRPr="00E313B7">
      <w:rPr>
        <w:rStyle w:val="Nmerodepgina"/>
        <w:i/>
        <w:color w:val="660033"/>
        <w:sz w:val="22"/>
        <w:szCs w:val="22"/>
      </w:rPr>
      <w:fldChar w:fldCharType="separate"/>
    </w:r>
    <w:r w:rsidR="00E313B7">
      <w:rPr>
        <w:rStyle w:val="Nmerodepgina"/>
        <w:i/>
        <w:noProof/>
        <w:color w:val="660033"/>
        <w:sz w:val="22"/>
        <w:szCs w:val="22"/>
      </w:rPr>
      <w:t>1753</w:t>
    </w:r>
    <w:r w:rsidRPr="00E313B7">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5.55pt;height:.6pt;visibility:visible;mso-wrap-style:square" o:bullet="t">
        <v:imagedata r:id="rId1" o:title=""/>
      </v:shape>
    </w:pict>
  </w:numPicBullet>
  <w:abstractNum w:abstractNumId="0">
    <w:nsid w:val="FFFFFF83"/>
    <w:multiLevelType w:val="singleLevel"/>
    <w:tmpl w:val="A2028E78"/>
    <w:lvl w:ilvl="0">
      <w:start w:val="1"/>
      <w:numFmt w:val="bullet"/>
      <w:pStyle w:val="Listaconvietas2"/>
      <w:lvlText w:val=""/>
      <w:lvlJc w:val="left"/>
      <w:pPr>
        <w:tabs>
          <w:tab w:val="num" w:pos="720"/>
        </w:tabs>
        <w:ind w:left="720" w:hanging="360"/>
      </w:pPr>
      <w:rPr>
        <w:rFonts w:ascii="Symbol" w:hAnsi="Symbol" w:hint="default"/>
      </w:rPr>
    </w:lvl>
  </w:abstractNum>
  <w:abstractNum w:abstractNumId="1">
    <w:nsid w:val="038C32C9"/>
    <w:multiLevelType w:val="hybridMultilevel"/>
    <w:tmpl w:val="FD8C97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8E13E6A"/>
    <w:multiLevelType w:val="hybridMultilevel"/>
    <w:tmpl w:val="776276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AA57A2F"/>
    <w:multiLevelType w:val="hybridMultilevel"/>
    <w:tmpl w:val="A38017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16D3858"/>
    <w:multiLevelType w:val="hybridMultilevel"/>
    <w:tmpl w:val="74AC5AAE"/>
    <w:lvl w:ilvl="0" w:tplc="F5FC843C">
      <w:numFmt w:val="bullet"/>
      <w:lvlText w:val="-"/>
      <w:lvlJc w:val="left"/>
      <w:pPr>
        <w:ind w:left="1240" w:hanging="360"/>
      </w:pPr>
      <w:rPr>
        <w:rFonts w:ascii="Times New Roman" w:eastAsia="Times New Roman" w:hAnsi="Times New Roman" w:cs="Times New Roman" w:hint="default"/>
      </w:rPr>
    </w:lvl>
    <w:lvl w:ilvl="1" w:tplc="080A0003" w:tentative="1">
      <w:start w:val="1"/>
      <w:numFmt w:val="bullet"/>
      <w:lvlText w:val="o"/>
      <w:lvlJc w:val="left"/>
      <w:pPr>
        <w:ind w:left="1960" w:hanging="360"/>
      </w:pPr>
      <w:rPr>
        <w:rFonts w:ascii="Courier New" w:hAnsi="Courier New" w:cs="Courier New" w:hint="default"/>
      </w:rPr>
    </w:lvl>
    <w:lvl w:ilvl="2" w:tplc="080A0005" w:tentative="1">
      <w:start w:val="1"/>
      <w:numFmt w:val="bullet"/>
      <w:lvlText w:val=""/>
      <w:lvlJc w:val="left"/>
      <w:pPr>
        <w:ind w:left="2680" w:hanging="360"/>
      </w:pPr>
      <w:rPr>
        <w:rFonts w:ascii="Wingdings" w:hAnsi="Wingdings" w:hint="default"/>
      </w:rPr>
    </w:lvl>
    <w:lvl w:ilvl="3" w:tplc="080A0001" w:tentative="1">
      <w:start w:val="1"/>
      <w:numFmt w:val="bullet"/>
      <w:lvlText w:val=""/>
      <w:lvlJc w:val="left"/>
      <w:pPr>
        <w:ind w:left="3400" w:hanging="360"/>
      </w:pPr>
      <w:rPr>
        <w:rFonts w:ascii="Symbol" w:hAnsi="Symbol" w:hint="default"/>
      </w:rPr>
    </w:lvl>
    <w:lvl w:ilvl="4" w:tplc="080A0003" w:tentative="1">
      <w:start w:val="1"/>
      <w:numFmt w:val="bullet"/>
      <w:lvlText w:val="o"/>
      <w:lvlJc w:val="left"/>
      <w:pPr>
        <w:ind w:left="4120" w:hanging="360"/>
      </w:pPr>
      <w:rPr>
        <w:rFonts w:ascii="Courier New" w:hAnsi="Courier New" w:cs="Courier New" w:hint="default"/>
      </w:rPr>
    </w:lvl>
    <w:lvl w:ilvl="5" w:tplc="080A0005" w:tentative="1">
      <w:start w:val="1"/>
      <w:numFmt w:val="bullet"/>
      <w:lvlText w:val=""/>
      <w:lvlJc w:val="left"/>
      <w:pPr>
        <w:ind w:left="4840" w:hanging="360"/>
      </w:pPr>
      <w:rPr>
        <w:rFonts w:ascii="Wingdings" w:hAnsi="Wingdings" w:hint="default"/>
      </w:rPr>
    </w:lvl>
    <w:lvl w:ilvl="6" w:tplc="080A0001" w:tentative="1">
      <w:start w:val="1"/>
      <w:numFmt w:val="bullet"/>
      <w:lvlText w:val=""/>
      <w:lvlJc w:val="left"/>
      <w:pPr>
        <w:ind w:left="5560" w:hanging="360"/>
      </w:pPr>
      <w:rPr>
        <w:rFonts w:ascii="Symbol" w:hAnsi="Symbol" w:hint="default"/>
      </w:rPr>
    </w:lvl>
    <w:lvl w:ilvl="7" w:tplc="080A0003" w:tentative="1">
      <w:start w:val="1"/>
      <w:numFmt w:val="bullet"/>
      <w:lvlText w:val="o"/>
      <w:lvlJc w:val="left"/>
      <w:pPr>
        <w:ind w:left="6280" w:hanging="360"/>
      </w:pPr>
      <w:rPr>
        <w:rFonts w:ascii="Courier New" w:hAnsi="Courier New" w:cs="Courier New" w:hint="default"/>
      </w:rPr>
    </w:lvl>
    <w:lvl w:ilvl="8" w:tplc="080A0005" w:tentative="1">
      <w:start w:val="1"/>
      <w:numFmt w:val="bullet"/>
      <w:lvlText w:val=""/>
      <w:lvlJc w:val="left"/>
      <w:pPr>
        <w:ind w:left="7000" w:hanging="360"/>
      </w:pPr>
      <w:rPr>
        <w:rFonts w:ascii="Wingdings" w:hAnsi="Wingdings" w:hint="default"/>
      </w:rPr>
    </w:lvl>
  </w:abstractNum>
  <w:abstractNum w:abstractNumId="5">
    <w:nsid w:val="12E45650"/>
    <w:multiLevelType w:val="hybridMultilevel"/>
    <w:tmpl w:val="36C47C3A"/>
    <w:lvl w:ilvl="0" w:tplc="18A272A8">
      <w:start w:val="2012"/>
      <w:numFmt w:val="bullet"/>
      <w:lvlText w:val="-"/>
      <w:lvlJc w:val="left"/>
      <w:pPr>
        <w:ind w:left="720" w:hanging="360"/>
      </w:pPr>
      <w:rPr>
        <w:rFonts w:ascii="Times New Roman" w:eastAsia="Times New Roman" w:hAnsi="Times New Roman" w:cs="Times New Roman" w:hint="default"/>
        <w:b/>
        <w:color w:val="00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46A6057"/>
    <w:multiLevelType w:val="hybridMultilevel"/>
    <w:tmpl w:val="44A26658"/>
    <w:lvl w:ilvl="0" w:tplc="43126CB2">
      <w:start w:val="1"/>
      <w:numFmt w:val="bullet"/>
      <w:lvlText w:val=""/>
      <w:lvlJc w:val="left"/>
      <w:pPr>
        <w:ind w:left="390" w:hanging="360"/>
      </w:pPr>
      <w:rPr>
        <w:rFonts w:ascii="Symbol" w:eastAsia="Times New Roman" w:hAnsi="Symbol" w:cs="Times New Roman" w:hint="default"/>
        <w:u w:val="single"/>
      </w:rPr>
    </w:lvl>
    <w:lvl w:ilvl="1" w:tplc="080A0003" w:tentative="1">
      <w:start w:val="1"/>
      <w:numFmt w:val="bullet"/>
      <w:lvlText w:val="o"/>
      <w:lvlJc w:val="left"/>
      <w:pPr>
        <w:ind w:left="1110" w:hanging="360"/>
      </w:pPr>
      <w:rPr>
        <w:rFonts w:ascii="Courier New" w:hAnsi="Courier New" w:cs="Courier New" w:hint="default"/>
      </w:rPr>
    </w:lvl>
    <w:lvl w:ilvl="2" w:tplc="080A0005" w:tentative="1">
      <w:start w:val="1"/>
      <w:numFmt w:val="bullet"/>
      <w:lvlText w:val=""/>
      <w:lvlJc w:val="left"/>
      <w:pPr>
        <w:ind w:left="1830" w:hanging="360"/>
      </w:pPr>
      <w:rPr>
        <w:rFonts w:ascii="Wingdings" w:hAnsi="Wingdings" w:hint="default"/>
      </w:rPr>
    </w:lvl>
    <w:lvl w:ilvl="3" w:tplc="080A0001" w:tentative="1">
      <w:start w:val="1"/>
      <w:numFmt w:val="bullet"/>
      <w:lvlText w:val=""/>
      <w:lvlJc w:val="left"/>
      <w:pPr>
        <w:ind w:left="2550" w:hanging="360"/>
      </w:pPr>
      <w:rPr>
        <w:rFonts w:ascii="Symbol" w:hAnsi="Symbol" w:hint="default"/>
      </w:rPr>
    </w:lvl>
    <w:lvl w:ilvl="4" w:tplc="080A0003" w:tentative="1">
      <w:start w:val="1"/>
      <w:numFmt w:val="bullet"/>
      <w:lvlText w:val="o"/>
      <w:lvlJc w:val="left"/>
      <w:pPr>
        <w:ind w:left="3270" w:hanging="360"/>
      </w:pPr>
      <w:rPr>
        <w:rFonts w:ascii="Courier New" w:hAnsi="Courier New" w:cs="Courier New" w:hint="default"/>
      </w:rPr>
    </w:lvl>
    <w:lvl w:ilvl="5" w:tplc="080A0005" w:tentative="1">
      <w:start w:val="1"/>
      <w:numFmt w:val="bullet"/>
      <w:lvlText w:val=""/>
      <w:lvlJc w:val="left"/>
      <w:pPr>
        <w:ind w:left="3990" w:hanging="360"/>
      </w:pPr>
      <w:rPr>
        <w:rFonts w:ascii="Wingdings" w:hAnsi="Wingdings" w:hint="default"/>
      </w:rPr>
    </w:lvl>
    <w:lvl w:ilvl="6" w:tplc="080A0001" w:tentative="1">
      <w:start w:val="1"/>
      <w:numFmt w:val="bullet"/>
      <w:lvlText w:val=""/>
      <w:lvlJc w:val="left"/>
      <w:pPr>
        <w:ind w:left="4710" w:hanging="360"/>
      </w:pPr>
      <w:rPr>
        <w:rFonts w:ascii="Symbol" w:hAnsi="Symbol" w:hint="default"/>
      </w:rPr>
    </w:lvl>
    <w:lvl w:ilvl="7" w:tplc="080A0003" w:tentative="1">
      <w:start w:val="1"/>
      <w:numFmt w:val="bullet"/>
      <w:lvlText w:val="o"/>
      <w:lvlJc w:val="left"/>
      <w:pPr>
        <w:ind w:left="5430" w:hanging="360"/>
      </w:pPr>
      <w:rPr>
        <w:rFonts w:ascii="Courier New" w:hAnsi="Courier New" w:cs="Courier New" w:hint="default"/>
      </w:rPr>
    </w:lvl>
    <w:lvl w:ilvl="8" w:tplc="080A0005" w:tentative="1">
      <w:start w:val="1"/>
      <w:numFmt w:val="bullet"/>
      <w:lvlText w:val=""/>
      <w:lvlJc w:val="left"/>
      <w:pPr>
        <w:ind w:left="6150" w:hanging="360"/>
      </w:pPr>
      <w:rPr>
        <w:rFonts w:ascii="Wingdings" w:hAnsi="Wingdings" w:hint="default"/>
      </w:rPr>
    </w:lvl>
  </w:abstractNum>
  <w:abstractNum w:abstractNumId="7">
    <w:nsid w:val="16852718"/>
    <w:multiLevelType w:val="hybridMultilevel"/>
    <w:tmpl w:val="F1607F2E"/>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6FC78E9"/>
    <w:multiLevelType w:val="hybridMultilevel"/>
    <w:tmpl w:val="9D0EB226"/>
    <w:lvl w:ilvl="0" w:tplc="BFE43C66">
      <w:start w:val="1"/>
      <w:numFmt w:val="bullet"/>
      <w:lvlText w:val="-"/>
      <w:lvlJc w:val="left"/>
      <w:pPr>
        <w:ind w:left="1850" w:hanging="360"/>
      </w:pPr>
      <w:rPr>
        <w:rFonts w:ascii="Times New Roman" w:eastAsia="Times New Roman" w:hAnsi="Times New Roman" w:cs="Times New Roman" w:hint="default"/>
      </w:rPr>
    </w:lvl>
    <w:lvl w:ilvl="1" w:tplc="080A0003" w:tentative="1">
      <w:start w:val="1"/>
      <w:numFmt w:val="bullet"/>
      <w:lvlText w:val="o"/>
      <w:lvlJc w:val="left"/>
      <w:pPr>
        <w:ind w:left="2570" w:hanging="360"/>
      </w:pPr>
      <w:rPr>
        <w:rFonts w:ascii="Courier New" w:hAnsi="Courier New" w:cs="Courier New" w:hint="default"/>
      </w:rPr>
    </w:lvl>
    <w:lvl w:ilvl="2" w:tplc="080A0005" w:tentative="1">
      <w:start w:val="1"/>
      <w:numFmt w:val="bullet"/>
      <w:lvlText w:val=""/>
      <w:lvlJc w:val="left"/>
      <w:pPr>
        <w:ind w:left="3290" w:hanging="360"/>
      </w:pPr>
      <w:rPr>
        <w:rFonts w:ascii="Wingdings" w:hAnsi="Wingdings" w:hint="default"/>
      </w:rPr>
    </w:lvl>
    <w:lvl w:ilvl="3" w:tplc="080A0001" w:tentative="1">
      <w:start w:val="1"/>
      <w:numFmt w:val="bullet"/>
      <w:lvlText w:val=""/>
      <w:lvlJc w:val="left"/>
      <w:pPr>
        <w:ind w:left="4010" w:hanging="360"/>
      </w:pPr>
      <w:rPr>
        <w:rFonts w:ascii="Symbol" w:hAnsi="Symbol" w:hint="default"/>
      </w:rPr>
    </w:lvl>
    <w:lvl w:ilvl="4" w:tplc="080A0003" w:tentative="1">
      <w:start w:val="1"/>
      <w:numFmt w:val="bullet"/>
      <w:lvlText w:val="o"/>
      <w:lvlJc w:val="left"/>
      <w:pPr>
        <w:ind w:left="4730" w:hanging="360"/>
      </w:pPr>
      <w:rPr>
        <w:rFonts w:ascii="Courier New" w:hAnsi="Courier New" w:cs="Courier New" w:hint="default"/>
      </w:rPr>
    </w:lvl>
    <w:lvl w:ilvl="5" w:tplc="080A0005" w:tentative="1">
      <w:start w:val="1"/>
      <w:numFmt w:val="bullet"/>
      <w:lvlText w:val=""/>
      <w:lvlJc w:val="left"/>
      <w:pPr>
        <w:ind w:left="5450" w:hanging="360"/>
      </w:pPr>
      <w:rPr>
        <w:rFonts w:ascii="Wingdings" w:hAnsi="Wingdings" w:hint="default"/>
      </w:rPr>
    </w:lvl>
    <w:lvl w:ilvl="6" w:tplc="080A0001" w:tentative="1">
      <w:start w:val="1"/>
      <w:numFmt w:val="bullet"/>
      <w:lvlText w:val=""/>
      <w:lvlJc w:val="left"/>
      <w:pPr>
        <w:ind w:left="6170" w:hanging="360"/>
      </w:pPr>
      <w:rPr>
        <w:rFonts w:ascii="Symbol" w:hAnsi="Symbol" w:hint="default"/>
      </w:rPr>
    </w:lvl>
    <w:lvl w:ilvl="7" w:tplc="080A0003" w:tentative="1">
      <w:start w:val="1"/>
      <w:numFmt w:val="bullet"/>
      <w:lvlText w:val="o"/>
      <w:lvlJc w:val="left"/>
      <w:pPr>
        <w:ind w:left="6890" w:hanging="360"/>
      </w:pPr>
      <w:rPr>
        <w:rFonts w:ascii="Courier New" w:hAnsi="Courier New" w:cs="Courier New" w:hint="default"/>
      </w:rPr>
    </w:lvl>
    <w:lvl w:ilvl="8" w:tplc="080A0005" w:tentative="1">
      <w:start w:val="1"/>
      <w:numFmt w:val="bullet"/>
      <w:lvlText w:val=""/>
      <w:lvlJc w:val="left"/>
      <w:pPr>
        <w:ind w:left="7610" w:hanging="360"/>
      </w:pPr>
      <w:rPr>
        <w:rFonts w:ascii="Wingdings" w:hAnsi="Wingdings" w:hint="default"/>
      </w:rPr>
    </w:lvl>
  </w:abstractNum>
  <w:abstractNum w:abstractNumId="9">
    <w:nsid w:val="19161E7A"/>
    <w:multiLevelType w:val="hybridMultilevel"/>
    <w:tmpl w:val="CD1679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00A4C54"/>
    <w:multiLevelType w:val="hybridMultilevel"/>
    <w:tmpl w:val="50D8F414"/>
    <w:lvl w:ilvl="0" w:tplc="64B61176">
      <w:start w:val="2013"/>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0B506A5"/>
    <w:multiLevelType w:val="hybridMultilevel"/>
    <w:tmpl w:val="194AAB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51978AE"/>
    <w:multiLevelType w:val="hybridMultilevel"/>
    <w:tmpl w:val="E03CEDDE"/>
    <w:lvl w:ilvl="0" w:tplc="355210B2">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6AD6FCB"/>
    <w:multiLevelType w:val="hybridMultilevel"/>
    <w:tmpl w:val="3C6C87EE"/>
    <w:lvl w:ilvl="0" w:tplc="1ED65716">
      <w:start w:val="1"/>
      <w:numFmt w:val="bullet"/>
      <w:lvlText w:val=""/>
      <w:lvlJc w:val="left"/>
      <w:pPr>
        <w:ind w:left="720" w:hanging="360"/>
      </w:pPr>
      <w:rPr>
        <w:rFonts w:ascii="Symbol" w:eastAsia="Times New Roman" w:hAnsi="Symbol" w:cs="Times New Roman" w:hint="default"/>
        <w:u w:val="singl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2D3C2413"/>
    <w:multiLevelType w:val="hybridMultilevel"/>
    <w:tmpl w:val="6C30C5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4B014A2"/>
    <w:multiLevelType w:val="hybridMultilevel"/>
    <w:tmpl w:val="A46AFB4C"/>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3A53361C"/>
    <w:multiLevelType w:val="hybridMultilevel"/>
    <w:tmpl w:val="3B9057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CEF4DB2"/>
    <w:multiLevelType w:val="hybridMultilevel"/>
    <w:tmpl w:val="E7A650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3EC0168F"/>
    <w:multiLevelType w:val="hybridMultilevel"/>
    <w:tmpl w:val="4FCA6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41C4427B"/>
    <w:multiLevelType w:val="hybridMultilevel"/>
    <w:tmpl w:val="98405E08"/>
    <w:lvl w:ilvl="0" w:tplc="5352EB76">
      <w:start w:val="1"/>
      <w:numFmt w:val="lowerLetter"/>
      <w:lvlText w:val="%1)"/>
      <w:lvlJc w:val="left"/>
      <w:pPr>
        <w:ind w:left="766" w:hanging="360"/>
      </w:pPr>
      <w:rPr>
        <w:rFonts w:hint="default"/>
      </w:rPr>
    </w:lvl>
    <w:lvl w:ilvl="1" w:tplc="080A0019" w:tentative="1">
      <w:start w:val="1"/>
      <w:numFmt w:val="lowerLetter"/>
      <w:lvlText w:val="%2."/>
      <w:lvlJc w:val="left"/>
      <w:pPr>
        <w:ind w:left="1486" w:hanging="360"/>
      </w:pPr>
    </w:lvl>
    <w:lvl w:ilvl="2" w:tplc="080A001B" w:tentative="1">
      <w:start w:val="1"/>
      <w:numFmt w:val="lowerRoman"/>
      <w:lvlText w:val="%3."/>
      <w:lvlJc w:val="right"/>
      <w:pPr>
        <w:ind w:left="2206" w:hanging="180"/>
      </w:pPr>
    </w:lvl>
    <w:lvl w:ilvl="3" w:tplc="080A000F" w:tentative="1">
      <w:start w:val="1"/>
      <w:numFmt w:val="decimal"/>
      <w:lvlText w:val="%4."/>
      <w:lvlJc w:val="left"/>
      <w:pPr>
        <w:ind w:left="2926" w:hanging="360"/>
      </w:pPr>
    </w:lvl>
    <w:lvl w:ilvl="4" w:tplc="080A0019" w:tentative="1">
      <w:start w:val="1"/>
      <w:numFmt w:val="lowerLetter"/>
      <w:lvlText w:val="%5."/>
      <w:lvlJc w:val="left"/>
      <w:pPr>
        <w:ind w:left="3646" w:hanging="360"/>
      </w:pPr>
    </w:lvl>
    <w:lvl w:ilvl="5" w:tplc="080A001B" w:tentative="1">
      <w:start w:val="1"/>
      <w:numFmt w:val="lowerRoman"/>
      <w:lvlText w:val="%6."/>
      <w:lvlJc w:val="right"/>
      <w:pPr>
        <w:ind w:left="4366" w:hanging="180"/>
      </w:pPr>
    </w:lvl>
    <w:lvl w:ilvl="6" w:tplc="080A000F" w:tentative="1">
      <w:start w:val="1"/>
      <w:numFmt w:val="decimal"/>
      <w:lvlText w:val="%7."/>
      <w:lvlJc w:val="left"/>
      <w:pPr>
        <w:ind w:left="5086" w:hanging="360"/>
      </w:pPr>
    </w:lvl>
    <w:lvl w:ilvl="7" w:tplc="080A0019" w:tentative="1">
      <w:start w:val="1"/>
      <w:numFmt w:val="lowerLetter"/>
      <w:lvlText w:val="%8."/>
      <w:lvlJc w:val="left"/>
      <w:pPr>
        <w:ind w:left="5806" w:hanging="360"/>
      </w:pPr>
    </w:lvl>
    <w:lvl w:ilvl="8" w:tplc="080A001B" w:tentative="1">
      <w:start w:val="1"/>
      <w:numFmt w:val="lowerRoman"/>
      <w:lvlText w:val="%9."/>
      <w:lvlJc w:val="right"/>
      <w:pPr>
        <w:ind w:left="6526" w:hanging="180"/>
      </w:pPr>
    </w:lvl>
  </w:abstractNum>
  <w:abstractNum w:abstractNumId="20">
    <w:nsid w:val="43677ABD"/>
    <w:multiLevelType w:val="hybridMultilevel"/>
    <w:tmpl w:val="6898FA72"/>
    <w:lvl w:ilvl="0" w:tplc="3EDE3AA6">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49C41A7B"/>
    <w:multiLevelType w:val="hybridMultilevel"/>
    <w:tmpl w:val="3E5818A6"/>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4E0E363F"/>
    <w:multiLevelType w:val="hybridMultilevel"/>
    <w:tmpl w:val="7C5EB920"/>
    <w:lvl w:ilvl="0" w:tplc="AD5C52DC">
      <w:start w:val="1"/>
      <w:numFmt w:val="low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3">
    <w:nsid w:val="52C931B5"/>
    <w:multiLevelType w:val="hybridMultilevel"/>
    <w:tmpl w:val="32B006F8"/>
    <w:lvl w:ilvl="0" w:tplc="220A648E">
      <w:start w:val="7"/>
      <w:numFmt w:val="bullet"/>
      <w:lvlText w:val="-"/>
      <w:lvlJc w:val="left"/>
      <w:pPr>
        <w:ind w:left="720" w:hanging="360"/>
      </w:pPr>
      <w:rPr>
        <w:rFonts w:ascii="Times New Roman" w:eastAsia="Times New Roman" w:hAnsi="Times New Roman" w:cs="Times New Roman" w:hint="default"/>
        <w:sz w:val="2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55DC303E"/>
    <w:multiLevelType w:val="hybridMultilevel"/>
    <w:tmpl w:val="3C4EF2F6"/>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5751092D"/>
    <w:multiLevelType w:val="hybridMultilevel"/>
    <w:tmpl w:val="6DBE8B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5B785438"/>
    <w:multiLevelType w:val="hybridMultilevel"/>
    <w:tmpl w:val="33E06D94"/>
    <w:lvl w:ilvl="0" w:tplc="6308C35C">
      <w:numFmt w:val="bullet"/>
      <w:lvlText w:val="-"/>
      <w:lvlJc w:val="left"/>
      <w:pPr>
        <w:ind w:left="1300" w:hanging="360"/>
      </w:pPr>
      <w:rPr>
        <w:rFonts w:ascii="Times New Roman" w:eastAsia="Times New Roman" w:hAnsi="Times New Roman" w:cs="Times New Roman" w:hint="default"/>
      </w:rPr>
    </w:lvl>
    <w:lvl w:ilvl="1" w:tplc="080A0003" w:tentative="1">
      <w:start w:val="1"/>
      <w:numFmt w:val="bullet"/>
      <w:lvlText w:val="o"/>
      <w:lvlJc w:val="left"/>
      <w:pPr>
        <w:ind w:left="2020" w:hanging="360"/>
      </w:pPr>
      <w:rPr>
        <w:rFonts w:ascii="Courier New" w:hAnsi="Courier New" w:cs="Courier New" w:hint="default"/>
      </w:rPr>
    </w:lvl>
    <w:lvl w:ilvl="2" w:tplc="080A0005" w:tentative="1">
      <w:start w:val="1"/>
      <w:numFmt w:val="bullet"/>
      <w:lvlText w:val=""/>
      <w:lvlJc w:val="left"/>
      <w:pPr>
        <w:ind w:left="2740" w:hanging="360"/>
      </w:pPr>
      <w:rPr>
        <w:rFonts w:ascii="Wingdings" w:hAnsi="Wingdings" w:hint="default"/>
      </w:rPr>
    </w:lvl>
    <w:lvl w:ilvl="3" w:tplc="080A0001" w:tentative="1">
      <w:start w:val="1"/>
      <w:numFmt w:val="bullet"/>
      <w:lvlText w:val=""/>
      <w:lvlJc w:val="left"/>
      <w:pPr>
        <w:ind w:left="3460" w:hanging="360"/>
      </w:pPr>
      <w:rPr>
        <w:rFonts w:ascii="Symbol" w:hAnsi="Symbol" w:hint="default"/>
      </w:rPr>
    </w:lvl>
    <w:lvl w:ilvl="4" w:tplc="080A0003" w:tentative="1">
      <w:start w:val="1"/>
      <w:numFmt w:val="bullet"/>
      <w:lvlText w:val="o"/>
      <w:lvlJc w:val="left"/>
      <w:pPr>
        <w:ind w:left="4180" w:hanging="360"/>
      </w:pPr>
      <w:rPr>
        <w:rFonts w:ascii="Courier New" w:hAnsi="Courier New" w:cs="Courier New" w:hint="default"/>
      </w:rPr>
    </w:lvl>
    <w:lvl w:ilvl="5" w:tplc="080A0005" w:tentative="1">
      <w:start w:val="1"/>
      <w:numFmt w:val="bullet"/>
      <w:lvlText w:val=""/>
      <w:lvlJc w:val="left"/>
      <w:pPr>
        <w:ind w:left="4900" w:hanging="360"/>
      </w:pPr>
      <w:rPr>
        <w:rFonts w:ascii="Wingdings" w:hAnsi="Wingdings" w:hint="default"/>
      </w:rPr>
    </w:lvl>
    <w:lvl w:ilvl="6" w:tplc="080A0001" w:tentative="1">
      <w:start w:val="1"/>
      <w:numFmt w:val="bullet"/>
      <w:lvlText w:val=""/>
      <w:lvlJc w:val="left"/>
      <w:pPr>
        <w:ind w:left="5620" w:hanging="360"/>
      </w:pPr>
      <w:rPr>
        <w:rFonts w:ascii="Symbol" w:hAnsi="Symbol" w:hint="default"/>
      </w:rPr>
    </w:lvl>
    <w:lvl w:ilvl="7" w:tplc="080A0003" w:tentative="1">
      <w:start w:val="1"/>
      <w:numFmt w:val="bullet"/>
      <w:lvlText w:val="o"/>
      <w:lvlJc w:val="left"/>
      <w:pPr>
        <w:ind w:left="6340" w:hanging="360"/>
      </w:pPr>
      <w:rPr>
        <w:rFonts w:ascii="Courier New" w:hAnsi="Courier New" w:cs="Courier New" w:hint="default"/>
      </w:rPr>
    </w:lvl>
    <w:lvl w:ilvl="8" w:tplc="080A0005" w:tentative="1">
      <w:start w:val="1"/>
      <w:numFmt w:val="bullet"/>
      <w:lvlText w:val=""/>
      <w:lvlJc w:val="left"/>
      <w:pPr>
        <w:ind w:left="7060" w:hanging="360"/>
      </w:pPr>
      <w:rPr>
        <w:rFonts w:ascii="Wingdings" w:hAnsi="Wingdings" w:hint="default"/>
      </w:rPr>
    </w:lvl>
  </w:abstractNum>
  <w:abstractNum w:abstractNumId="27">
    <w:nsid w:val="5D62437E"/>
    <w:multiLevelType w:val="hybridMultilevel"/>
    <w:tmpl w:val="C4881A28"/>
    <w:lvl w:ilvl="0" w:tplc="755A5B88">
      <w:start w:val="24"/>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5E995F72"/>
    <w:multiLevelType w:val="hybridMultilevel"/>
    <w:tmpl w:val="7276B0B4"/>
    <w:lvl w:ilvl="0" w:tplc="3B547942">
      <w:start w:val="1"/>
      <w:numFmt w:val="lowerLetter"/>
      <w:lvlText w:val="%1)"/>
      <w:lvlJc w:val="left"/>
      <w:pPr>
        <w:ind w:left="930" w:hanging="57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603170C4"/>
    <w:multiLevelType w:val="hybridMultilevel"/>
    <w:tmpl w:val="AA3EAD06"/>
    <w:lvl w:ilvl="0" w:tplc="080A0001">
      <w:start w:val="1"/>
      <w:numFmt w:val="bullet"/>
      <w:lvlText w:val=""/>
      <w:lvlJc w:val="left"/>
      <w:pPr>
        <w:ind w:left="899" w:hanging="360"/>
      </w:pPr>
      <w:rPr>
        <w:rFonts w:ascii="Symbol" w:hAnsi="Symbol" w:hint="default"/>
      </w:rPr>
    </w:lvl>
    <w:lvl w:ilvl="1" w:tplc="080A0003" w:tentative="1">
      <w:start w:val="1"/>
      <w:numFmt w:val="bullet"/>
      <w:lvlText w:val="o"/>
      <w:lvlJc w:val="left"/>
      <w:pPr>
        <w:ind w:left="1619" w:hanging="360"/>
      </w:pPr>
      <w:rPr>
        <w:rFonts w:ascii="Courier New" w:hAnsi="Courier New" w:cs="Courier New" w:hint="default"/>
      </w:rPr>
    </w:lvl>
    <w:lvl w:ilvl="2" w:tplc="080A0005" w:tentative="1">
      <w:start w:val="1"/>
      <w:numFmt w:val="bullet"/>
      <w:lvlText w:val=""/>
      <w:lvlJc w:val="left"/>
      <w:pPr>
        <w:ind w:left="2339" w:hanging="360"/>
      </w:pPr>
      <w:rPr>
        <w:rFonts w:ascii="Wingdings" w:hAnsi="Wingdings" w:hint="default"/>
      </w:rPr>
    </w:lvl>
    <w:lvl w:ilvl="3" w:tplc="080A0001" w:tentative="1">
      <w:start w:val="1"/>
      <w:numFmt w:val="bullet"/>
      <w:lvlText w:val=""/>
      <w:lvlJc w:val="left"/>
      <w:pPr>
        <w:ind w:left="3059" w:hanging="360"/>
      </w:pPr>
      <w:rPr>
        <w:rFonts w:ascii="Symbol" w:hAnsi="Symbol" w:hint="default"/>
      </w:rPr>
    </w:lvl>
    <w:lvl w:ilvl="4" w:tplc="080A0003" w:tentative="1">
      <w:start w:val="1"/>
      <w:numFmt w:val="bullet"/>
      <w:lvlText w:val="o"/>
      <w:lvlJc w:val="left"/>
      <w:pPr>
        <w:ind w:left="3779" w:hanging="360"/>
      </w:pPr>
      <w:rPr>
        <w:rFonts w:ascii="Courier New" w:hAnsi="Courier New" w:cs="Courier New" w:hint="default"/>
      </w:rPr>
    </w:lvl>
    <w:lvl w:ilvl="5" w:tplc="080A0005" w:tentative="1">
      <w:start w:val="1"/>
      <w:numFmt w:val="bullet"/>
      <w:lvlText w:val=""/>
      <w:lvlJc w:val="left"/>
      <w:pPr>
        <w:ind w:left="4499" w:hanging="360"/>
      </w:pPr>
      <w:rPr>
        <w:rFonts w:ascii="Wingdings" w:hAnsi="Wingdings" w:hint="default"/>
      </w:rPr>
    </w:lvl>
    <w:lvl w:ilvl="6" w:tplc="080A0001" w:tentative="1">
      <w:start w:val="1"/>
      <w:numFmt w:val="bullet"/>
      <w:lvlText w:val=""/>
      <w:lvlJc w:val="left"/>
      <w:pPr>
        <w:ind w:left="5219" w:hanging="360"/>
      </w:pPr>
      <w:rPr>
        <w:rFonts w:ascii="Symbol" w:hAnsi="Symbol" w:hint="default"/>
      </w:rPr>
    </w:lvl>
    <w:lvl w:ilvl="7" w:tplc="080A0003" w:tentative="1">
      <w:start w:val="1"/>
      <w:numFmt w:val="bullet"/>
      <w:lvlText w:val="o"/>
      <w:lvlJc w:val="left"/>
      <w:pPr>
        <w:ind w:left="5939" w:hanging="360"/>
      </w:pPr>
      <w:rPr>
        <w:rFonts w:ascii="Courier New" w:hAnsi="Courier New" w:cs="Courier New" w:hint="default"/>
      </w:rPr>
    </w:lvl>
    <w:lvl w:ilvl="8" w:tplc="080A0005" w:tentative="1">
      <w:start w:val="1"/>
      <w:numFmt w:val="bullet"/>
      <w:lvlText w:val=""/>
      <w:lvlJc w:val="left"/>
      <w:pPr>
        <w:ind w:left="6659" w:hanging="360"/>
      </w:pPr>
      <w:rPr>
        <w:rFonts w:ascii="Wingdings" w:hAnsi="Wingdings" w:hint="default"/>
      </w:rPr>
    </w:lvl>
  </w:abstractNum>
  <w:abstractNum w:abstractNumId="30">
    <w:nsid w:val="60AD1F00"/>
    <w:multiLevelType w:val="hybridMultilevel"/>
    <w:tmpl w:val="058E7B12"/>
    <w:lvl w:ilvl="0" w:tplc="BDD04DC4">
      <w:start w:val="1"/>
      <w:numFmt w:val="lowerLetter"/>
      <w:lvlText w:val="%1)"/>
      <w:lvlJc w:val="left"/>
      <w:pPr>
        <w:ind w:left="1353" w:hanging="360"/>
      </w:pPr>
      <w:rPr>
        <w:rFonts w:ascii="Times New Roman" w:hAnsi="Times New Roman" w:cs="Times New Roman" w:hint="default"/>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31">
    <w:nsid w:val="62466408"/>
    <w:multiLevelType w:val="hybridMultilevel"/>
    <w:tmpl w:val="97007A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66CD08DE"/>
    <w:multiLevelType w:val="hybridMultilevel"/>
    <w:tmpl w:val="9BA0F15E"/>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6B846A7F"/>
    <w:multiLevelType w:val="hybridMultilevel"/>
    <w:tmpl w:val="D44881F4"/>
    <w:lvl w:ilvl="0" w:tplc="080A001B">
      <w:start w:val="1"/>
      <w:numFmt w:val="lowerRoman"/>
      <w:lvlText w:val="%1."/>
      <w:lvlJc w:val="right"/>
      <w:pPr>
        <w:ind w:left="652" w:hanging="360"/>
      </w:pPr>
    </w:lvl>
    <w:lvl w:ilvl="1" w:tplc="080A0019" w:tentative="1">
      <w:start w:val="1"/>
      <w:numFmt w:val="lowerLetter"/>
      <w:lvlText w:val="%2."/>
      <w:lvlJc w:val="left"/>
      <w:pPr>
        <w:ind w:left="1372" w:hanging="360"/>
      </w:pPr>
    </w:lvl>
    <w:lvl w:ilvl="2" w:tplc="080A001B" w:tentative="1">
      <w:start w:val="1"/>
      <w:numFmt w:val="lowerRoman"/>
      <w:lvlText w:val="%3."/>
      <w:lvlJc w:val="right"/>
      <w:pPr>
        <w:ind w:left="2092" w:hanging="180"/>
      </w:pPr>
    </w:lvl>
    <w:lvl w:ilvl="3" w:tplc="080A000F" w:tentative="1">
      <w:start w:val="1"/>
      <w:numFmt w:val="decimal"/>
      <w:lvlText w:val="%4."/>
      <w:lvlJc w:val="left"/>
      <w:pPr>
        <w:ind w:left="2812" w:hanging="360"/>
      </w:pPr>
    </w:lvl>
    <w:lvl w:ilvl="4" w:tplc="080A0019" w:tentative="1">
      <w:start w:val="1"/>
      <w:numFmt w:val="lowerLetter"/>
      <w:lvlText w:val="%5."/>
      <w:lvlJc w:val="left"/>
      <w:pPr>
        <w:ind w:left="3532" w:hanging="360"/>
      </w:pPr>
    </w:lvl>
    <w:lvl w:ilvl="5" w:tplc="080A001B" w:tentative="1">
      <w:start w:val="1"/>
      <w:numFmt w:val="lowerRoman"/>
      <w:lvlText w:val="%6."/>
      <w:lvlJc w:val="right"/>
      <w:pPr>
        <w:ind w:left="4252" w:hanging="180"/>
      </w:pPr>
    </w:lvl>
    <w:lvl w:ilvl="6" w:tplc="080A000F" w:tentative="1">
      <w:start w:val="1"/>
      <w:numFmt w:val="decimal"/>
      <w:lvlText w:val="%7."/>
      <w:lvlJc w:val="left"/>
      <w:pPr>
        <w:ind w:left="4972" w:hanging="360"/>
      </w:pPr>
    </w:lvl>
    <w:lvl w:ilvl="7" w:tplc="080A0019" w:tentative="1">
      <w:start w:val="1"/>
      <w:numFmt w:val="lowerLetter"/>
      <w:lvlText w:val="%8."/>
      <w:lvlJc w:val="left"/>
      <w:pPr>
        <w:ind w:left="5692" w:hanging="360"/>
      </w:pPr>
    </w:lvl>
    <w:lvl w:ilvl="8" w:tplc="080A001B" w:tentative="1">
      <w:start w:val="1"/>
      <w:numFmt w:val="lowerRoman"/>
      <w:lvlText w:val="%9."/>
      <w:lvlJc w:val="right"/>
      <w:pPr>
        <w:ind w:left="6412" w:hanging="180"/>
      </w:pPr>
    </w:lvl>
  </w:abstractNum>
  <w:abstractNum w:abstractNumId="34">
    <w:nsid w:val="6ED0711D"/>
    <w:multiLevelType w:val="hybridMultilevel"/>
    <w:tmpl w:val="4D2E6C26"/>
    <w:lvl w:ilvl="0" w:tplc="6A4A2B14">
      <w:start w:val="1"/>
      <w:numFmt w:val="bullet"/>
      <w:lvlText w:val=""/>
      <w:lvlPicBulletId w:val="0"/>
      <w:lvlJc w:val="left"/>
      <w:pPr>
        <w:tabs>
          <w:tab w:val="num" w:pos="720"/>
        </w:tabs>
        <w:ind w:left="720" w:hanging="360"/>
      </w:pPr>
      <w:rPr>
        <w:rFonts w:ascii="Symbol" w:hAnsi="Symbol" w:hint="default"/>
      </w:rPr>
    </w:lvl>
    <w:lvl w:ilvl="1" w:tplc="081A104E" w:tentative="1">
      <w:start w:val="1"/>
      <w:numFmt w:val="bullet"/>
      <w:lvlText w:val=""/>
      <w:lvlJc w:val="left"/>
      <w:pPr>
        <w:tabs>
          <w:tab w:val="num" w:pos="1440"/>
        </w:tabs>
        <w:ind w:left="1440" w:hanging="360"/>
      </w:pPr>
      <w:rPr>
        <w:rFonts w:ascii="Symbol" w:hAnsi="Symbol" w:hint="default"/>
      </w:rPr>
    </w:lvl>
    <w:lvl w:ilvl="2" w:tplc="C2B2BF78" w:tentative="1">
      <w:start w:val="1"/>
      <w:numFmt w:val="bullet"/>
      <w:lvlText w:val=""/>
      <w:lvlJc w:val="left"/>
      <w:pPr>
        <w:tabs>
          <w:tab w:val="num" w:pos="2160"/>
        </w:tabs>
        <w:ind w:left="2160" w:hanging="360"/>
      </w:pPr>
      <w:rPr>
        <w:rFonts w:ascii="Symbol" w:hAnsi="Symbol" w:hint="default"/>
      </w:rPr>
    </w:lvl>
    <w:lvl w:ilvl="3" w:tplc="0276ABEA" w:tentative="1">
      <w:start w:val="1"/>
      <w:numFmt w:val="bullet"/>
      <w:lvlText w:val=""/>
      <w:lvlJc w:val="left"/>
      <w:pPr>
        <w:tabs>
          <w:tab w:val="num" w:pos="2880"/>
        </w:tabs>
        <w:ind w:left="2880" w:hanging="360"/>
      </w:pPr>
      <w:rPr>
        <w:rFonts w:ascii="Symbol" w:hAnsi="Symbol" w:hint="default"/>
      </w:rPr>
    </w:lvl>
    <w:lvl w:ilvl="4" w:tplc="AFF00B4C" w:tentative="1">
      <w:start w:val="1"/>
      <w:numFmt w:val="bullet"/>
      <w:lvlText w:val=""/>
      <w:lvlJc w:val="left"/>
      <w:pPr>
        <w:tabs>
          <w:tab w:val="num" w:pos="3600"/>
        </w:tabs>
        <w:ind w:left="3600" w:hanging="360"/>
      </w:pPr>
      <w:rPr>
        <w:rFonts w:ascii="Symbol" w:hAnsi="Symbol" w:hint="default"/>
      </w:rPr>
    </w:lvl>
    <w:lvl w:ilvl="5" w:tplc="E0C8F534" w:tentative="1">
      <w:start w:val="1"/>
      <w:numFmt w:val="bullet"/>
      <w:lvlText w:val=""/>
      <w:lvlJc w:val="left"/>
      <w:pPr>
        <w:tabs>
          <w:tab w:val="num" w:pos="4320"/>
        </w:tabs>
        <w:ind w:left="4320" w:hanging="360"/>
      </w:pPr>
      <w:rPr>
        <w:rFonts w:ascii="Symbol" w:hAnsi="Symbol" w:hint="default"/>
      </w:rPr>
    </w:lvl>
    <w:lvl w:ilvl="6" w:tplc="885A66A6" w:tentative="1">
      <w:start w:val="1"/>
      <w:numFmt w:val="bullet"/>
      <w:lvlText w:val=""/>
      <w:lvlJc w:val="left"/>
      <w:pPr>
        <w:tabs>
          <w:tab w:val="num" w:pos="5040"/>
        </w:tabs>
        <w:ind w:left="5040" w:hanging="360"/>
      </w:pPr>
      <w:rPr>
        <w:rFonts w:ascii="Symbol" w:hAnsi="Symbol" w:hint="default"/>
      </w:rPr>
    </w:lvl>
    <w:lvl w:ilvl="7" w:tplc="5D20FC76" w:tentative="1">
      <w:start w:val="1"/>
      <w:numFmt w:val="bullet"/>
      <w:lvlText w:val=""/>
      <w:lvlJc w:val="left"/>
      <w:pPr>
        <w:tabs>
          <w:tab w:val="num" w:pos="5760"/>
        </w:tabs>
        <w:ind w:left="5760" w:hanging="360"/>
      </w:pPr>
      <w:rPr>
        <w:rFonts w:ascii="Symbol" w:hAnsi="Symbol" w:hint="default"/>
      </w:rPr>
    </w:lvl>
    <w:lvl w:ilvl="8" w:tplc="DBD4EBC0" w:tentative="1">
      <w:start w:val="1"/>
      <w:numFmt w:val="bullet"/>
      <w:lvlText w:val=""/>
      <w:lvlJc w:val="left"/>
      <w:pPr>
        <w:tabs>
          <w:tab w:val="num" w:pos="6480"/>
        </w:tabs>
        <w:ind w:left="6480" w:hanging="360"/>
      </w:pPr>
      <w:rPr>
        <w:rFonts w:ascii="Symbol" w:hAnsi="Symbol" w:hint="default"/>
      </w:rPr>
    </w:lvl>
  </w:abstractNum>
  <w:abstractNum w:abstractNumId="35">
    <w:nsid w:val="6FC772C2"/>
    <w:multiLevelType w:val="hybridMultilevel"/>
    <w:tmpl w:val="B70E458E"/>
    <w:lvl w:ilvl="0" w:tplc="080A0001">
      <w:start w:val="1"/>
      <w:numFmt w:val="bullet"/>
      <w:lvlText w:val=""/>
      <w:lvlJc w:val="left"/>
      <w:pPr>
        <w:ind w:left="1259" w:hanging="360"/>
      </w:pPr>
      <w:rPr>
        <w:rFonts w:ascii="Symbol" w:hAnsi="Symbol" w:hint="default"/>
      </w:rPr>
    </w:lvl>
    <w:lvl w:ilvl="1" w:tplc="080A0003" w:tentative="1">
      <w:start w:val="1"/>
      <w:numFmt w:val="bullet"/>
      <w:lvlText w:val="o"/>
      <w:lvlJc w:val="left"/>
      <w:pPr>
        <w:ind w:left="1979" w:hanging="360"/>
      </w:pPr>
      <w:rPr>
        <w:rFonts w:ascii="Courier New" w:hAnsi="Courier New" w:cs="Courier New" w:hint="default"/>
      </w:rPr>
    </w:lvl>
    <w:lvl w:ilvl="2" w:tplc="080A0005" w:tentative="1">
      <w:start w:val="1"/>
      <w:numFmt w:val="bullet"/>
      <w:lvlText w:val=""/>
      <w:lvlJc w:val="left"/>
      <w:pPr>
        <w:ind w:left="2699" w:hanging="360"/>
      </w:pPr>
      <w:rPr>
        <w:rFonts w:ascii="Wingdings" w:hAnsi="Wingdings" w:hint="default"/>
      </w:rPr>
    </w:lvl>
    <w:lvl w:ilvl="3" w:tplc="080A0001" w:tentative="1">
      <w:start w:val="1"/>
      <w:numFmt w:val="bullet"/>
      <w:lvlText w:val=""/>
      <w:lvlJc w:val="left"/>
      <w:pPr>
        <w:ind w:left="3419" w:hanging="360"/>
      </w:pPr>
      <w:rPr>
        <w:rFonts w:ascii="Symbol" w:hAnsi="Symbol" w:hint="default"/>
      </w:rPr>
    </w:lvl>
    <w:lvl w:ilvl="4" w:tplc="080A0003" w:tentative="1">
      <w:start w:val="1"/>
      <w:numFmt w:val="bullet"/>
      <w:lvlText w:val="o"/>
      <w:lvlJc w:val="left"/>
      <w:pPr>
        <w:ind w:left="4139" w:hanging="360"/>
      </w:pPr>
      <w:rPr>
        <w:rFonts w:ascii="Courier New" w:hAnsi="Courier New" w:cs="Courier New" w:hint="default"/>
      </w:rPr>
    </w:lvl>
    <w:lvl w:ilvl="5" w:tplc="080A0005" w:tentative="1">
      <w:start w:val="1"/>
      <w:numFmt w:val="bullet"/>
      <w:lvlText w:val=""/>
      <w:lvlJc w:val="left"/>
      <w:pPr>
        <w:ind w:left="4859" w:hanging="360"/>
      </w:pPr>
      <w:rPr>
        <w:rFonts w:ascii="Wingdings" w:hAnsi="Wingdings" w:hint="default"/>
      </w:rPr>
    </w:lvl>
    <w:lvl w:ilvl="6" w:tplc="080A0001" w:tentative="1">
      <w:start w:val="1"/>
      <w:numFmt w:val="bullet"/>
      <w:lvlText w:val=""/>
      <w:lvlJc w:val="left"/>
      <w:pPr>
        <w:ind w:left="5579" w:hanging="360"/>
      </w:pPr>
      <w:rPr>
        <w:rFonts w:ascii="Symbol" w:hAnsi="Symbol" w:hint="default"/>
      </w:rPr>
    </w:lvl>
    <w:lvl w:ilvl="7" w:tplc="080A0003" w:tentative="1">
      <w:start w:val="1"/>
      <w:numFmt w:val="bullet"/>
      <w:lvlText w:val="o"/>
      <w:lvlJc w:val="left"/>
      <w:pPr>
        <w:ind w:left="6299" w:hanging="360"/>
      </w:pPr>
      <w:rPr>
        <w:rFonts w:ascii="Courier New" w:hAnsi="Courier New" w:cs="Courier New" w:hint="default"/>
      </w:rPr>
    </w:lvl>
    <w:lvl w:ilvl="8" w:tplc="080A0005" w:tentative="1">
      <w:start w:val="1"/>
      <w:numFmt w:val="bullet"/>
      <w:lvlText w:val=""/>
      <w:lvlJc w:val="left"/>
      <w:pPr>
        <w:ind w:left="7019" w:hanging="360"/>
      </w:pPr>
      <w:rPr>
        <w:rFonts w:ascii="Wingdings" w:hAnsi="Wingdings" w:hint="default"/>
      </w:rPr>
    </w:lvl>
  </w:abstractNum>
  <w:abstractNum w:abstractNumId="36">
    <w:nsid w:val="6FD34136"/>
    <w:multiLevelType w:val="hybridMultilevel"/>
    <w:tmpl w:val="09928D90"/>
    <w:lvl w:ilvl="0" w:tplc="080A0003">
      <w:start w:val="1"/>
      <w:numFmt w:val="bullet"/>
      <w:lvlText w:val="o"/>
      <w:lvlJc w:val="left"/>
      <w:pPr>
        <w:ind w:left="1259" w:hanging="360"/>
      </w:pPr>
      <w:rPr>
        <w:rFonts w:ascii="Courier New" w:hAnsi="Courier New" w:cs="Courier New" w:hint="default"/>
      </w:rPr>
    </w:lvl>
    <w:lvl w:ilvl="1" w:tplc="080A0003" w:tentative="1">
      <w:start w:val="1"/>
      <w:numFmt w:val="bullet"/>
      <w:lvlText w:val="o"/>
      <w:lvlJc w:val="left"/>
      <w:pPr>
        <w:ind w:left="1979" w:hanging="360"/>
      </w:pPr>
      <w:rPr>
        <w:rFonts w:ascii="Courier New" w:hAnsi="Courier New" w:cs="Courier New" w:hint="default"/>
      </w:rPr>
    </w:lvl>
    <w:lvl w:ilvl="2" w:tplc="080A0005" w:tentative="1">
      <w:start w:val="1"/>
      <w:numFmt w:val="bullet"/>
      <w:lvlText w:val=""/>
      <w:lvlJc w:val="left"/>
      <w:pPr>
        <w:ind w:left="2699" w:hanging="360"/>
      </w:pPr>
      <w:rPr>
        <w:rFonts w:ascii="Wingdings" w:hAnsi="Wingdings" w:hint="default"/>
      </w:rPr>
    </w:lvl>
    <w:lvl w:ilvl="3" w:tplc="080A0001" w:tentative="1">
      <w:start w:val="1"/>
      <w:numFmt w:val="bullet"/>
      <w:lvlText w:val=""/>
      <w:lvlJc w:val="left"/>
      <w:pPr>
        <w:ind w:left="3419" w:hanging="360"/>
      </w:pPr>
      <w:rPr>
        <w:rFonts w:ascii="Symbol" w:hAnsi="Symbol" w:hint="default"/>
      </w:rPr>
    </w:lvl>
    <w:lvl w:ilvl="4" w:tplc="080A0003" w:tentative="1">
      <w:start w:val="1"/>
      <w:numFmt w:val="bullet"/>
      <w:lvlText w:val="o"/>
      <w:lvlJc w:val="left"/>
      <w:pPr>
        <w:ind w:left="4139" w:hanging="360"/>
      </w:pPr>
      <w:rPr>
        <w:rFonts w:ascii="Courier New" w:hAnsi="Courier New" w:cs="Courier New" w:hint="default"/>
      </w:rPr>
    </w:lvl>
    <w:lvl w:ilvl="5" w:tplc="080A0005" w:tentative="1">
      <w:start w:val="1"/>
      <w:numFmt w:val="bullet"/>
      <w:lvlText w:val=""/>
      <w:lvlJc w:val="left"/>
      <w:pPr>
        <w:ind w:left="4859" w:hanging="360"/>
      </w:pPr>
      <w:rPr>
        <w:rFonts w:ascii="Wingdings" w:hAnsi="Wingdings" w:hint="default"/>
      </w:rPr>
    </w:lvl>
    <w:lvl w:ilvl="6" w:tplc="080A0001" w:tentative="1">
      <w:start w:val="1"/>
      <w:numFmt w:val="bullet"/>
      <w:lvlText w:val=""/>
      <w:lvlJc w:val="left"/>
      <w:pPr>
        <w:ind w:left="5579" w:hanging="360"/>
      </w:pPr>
      <w:rPr>
        <w:rFonts w:ascii="Symbol" w:hAnsi="Symbol" w:hint="default"/>
      </w:rPr>
    </w:lvl>
    <w:lvl w:ilvl="7" w:tplc="080A0003" w:tentative="1">
      <w:start w:val="1"/>
      <w:numFmt w:val="bullet"/>
      <w:lvlText w:val="o"/>
      <w:lvlJc w:val="left"/>
      <w:pPr>
        <w:ind w:left="6299" w:hanging="360"/>
      </w:pPr>
      <w:rPr>
        <w:rFonts w:ascii="Courier New" w:hAnsi="Courier New" w:cs="Courier New" w:hint="default"/>
      </w:rPr>
    </w:lvl>
    <w:lvl w:ilvl="8" w:tplc="080A0005" w:tentative="1">
      <w:start w:val="1"/>
      <w:numFmt w:val="bullet"/>
      <w:lvlText w:val=""/>
      <w:lvlJc w:val="left"/>
      <w:pPr>
        <w:ind w:left="7019" w:hanging="360"/>
      </w:pPr>
      <w:rPr>
        <w:rFonts w:ascii="Wingdings" w:hAnsi="Wingdings" w:hint="default"/>
      </w:rPr>
    </w:lvl>
  </w:abstractNum>
  <w:abstractNum w:abstractNumId="37">
    <w:nsid w:val="7076315B"/>
    <w:multiLevelType w:val="hybridMultilevel"/>
    <w:tmpl w:val="669AAFB2"/>
    <w:lvl w:ilvl="0" w:tplc="662C1734">
      <w:start w:val="1"/>
      <w:numFmt w:val="lowerLetter"/>
      <w:lvlText w:val="%1)"/>
      <w:lvlJc w:val="left"/>
      <w:pPr>
        <w:ind w:left="644" w:hanging="360"/>
      </w:pPr>
      <w:rPr>
        <w:rFonts w:hint="default"/>
        <w:w w:val="10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8">
    <w:nsid w:val="7284713D"/>
    <w:multiLevelType w:val="hybridMultilevel"/>
    <w:tmpl w:val="5096FCA0"/>
    <w:lvl w:ilvl="0" w:tplc="EC60BB3A">
      <w:start w:val="1"/>
      <w:numFmt w:val="bullet"/>
      <w:lvlText w:val=""/>
      <w:lvlJc w:val="left"/>
      <w:pPr>
        <w:ind w:left="513" w:hanging="360"/>
      </w:pPr>
      <w:rPr>
        <w:rFonts w:ascii="Symbol" w:eastAsia="Times New Roman" w:hAnsi="Symbol" w:cs="Times New Roman" w:hint="default"/>
      </w:rPr>
    </w:lvl>
    <w:lvl w:ilvl="1" w:tplc="080A0003" w:tentative="1">
      <w:start w:val="1"/>
      <w:numFmt w:val="bullet"/>
      <w:lvlText w:val="o"/>
      <w:lvlJc w:val="left"/>
      <w:pPr>
        <w:ind w:left="1233" w:hanging="360"/>
      </w:pPr>
      <w:rPr>
        <w:rFonts w:ascii="Courier New" w:hAnsi="Courier New" w:cs="Courier New" w:hint="default"/>
      </w:rPr>
    </w:lvl>
    <w:lvl w:ilvl="2" w:tplc="080A0005" w:tentative="1">
      <w:start w:val="1"/>
      <w:numFmt w:val="bullet"/>
      <w:lvlText w:val=""/>
      <w:lvlJc w:val="left"/>
      <w:pPr>
        <w:ind w:left="1953" w:hanging="360"/>
      </w:pPr>
      <w:rPr>
        <w:rFonts w:ascii="Wingdings" w:hAnsi="Wingdings" w:hint="default"/>
      </w:rPr>
    </w:lvl>
    <w:lvl w:ilvl="3" w:tplc="080A0001" w:tentative="1">
      <w:start w:val="1"/>
      <w:numFmt w:val="bullet"/>
      <w:lvlText w:val=""/>
      <w:lvlJc w:val="left"/>
      <w:pPr>
        <w:ind w:left="2673" w:hanging="360"/>
      </w:pPr>
      <w:rPr>
        <w:rFonts w:ascii="Symbol" w:hAnsi="Symbol" w:hint="default"/>
      </w:rPr>
    </w:lvl>
    <w:lvl w:ilvl="4" w:tplc="080A0003" w:tentative="1">
      <w:start w:val="1"/>
      <w:numFmt w:val="bullet"/>
      <w:lvlText w:val="o"/>
      <w:lvlJc w:val="left"/>
      <w:pPr>
        <w:ind w:left="3393" w:hanging="360"/>
      </w:pPr>
      <w:rPr>
        <w:rFonts w:ascii="Courier New" w:hAnsi="Courier New" w:cs="Courier New" w:hint="default"/>
      </w:rPr>
    </w:lvl>
    <w:lvl w:ilvl="5" w:tplc="080A0005" w:tentative="1">
      <w:start w:val="1"/>
      <w:numFmt w:val="bullet"/>
      <w:lvlText w:val=""/>
      <w:lvlJc w:val="left"/>
      <w:pPr>
        <w:ind w:left="4113" w:hanging="360"/>
      </w:pPr>
      <w:rPr>
        <w:rFonts w:ascii="Wingdings" w:hAnsi="Wingdings" w:hint="default"/>
      </w:rPr>
    </w:lvl>
    <w:lvl w:ilvl="6" w:tplc="080A0001" w:tentative="1">
      <w:start w:val="1"/>
      <w:numFmt w:val="bullet"/>
      <w:lvlText w:val=""/>
      <w:lvlJc w:val="left"/>
      <w:pPr>
        <w:ind w:left="4833" w:hanging="360"/>
      </w:pPr>
      <w:rPr>
        <w:rFonts w:ascii="Symbol" w:hAnsi="Symbol" w:hint="default"/>
      </w:rPr>
    </w:lvl>
    <w:lvl w:ilvl="7" w:tplc="080A0003" w:tentative="1">
      <w:start w:val="1"/>
      <w:numFmt w:val="bullet"/>
      <w:lvlText w:val="o"/>
      <w:lvlJc w:val="left"/>
      <w:pPr>
        <w:ind w:left="5553" w:hanging="360"/>
      </w:pPr>
      <w:rPr>
        <w:rFonts w:ascii="Courier New" w:hAnsi="Courier New" w:cs="Courier New" w:hint="default"/>
      </w:rPr>
    </w:lvl>
    <w:lvl w:ilvl="8" w:tplc="080A0005" w:tentative="1">
      <w:start w:val="1"/>
      <w:numFmt w:val="bullet"/>
      <w:lvlText w:val=""/>
      <w:lvlJc w:val="left"/>
      <w:pPr>
        <w:ind w:left="6273" w:hanging="360"/>
      </w:pPr>
      <w:rPr>
        <w:rFonts w:ascii="Wingdings" w:hAnsi="Wingdings" w:hint="default"/>
      </w:rPr>
    </w:lvl>
  </w:abstractNum>
  <w:abstractNum w:abstractNumId="39">
    <w:nsid w:val="72E64432"/>
    <w:multiLevelType w:val="hybridMultilevel"/>
    <w:tmpl w:val="E23228FC"/>
    <w:lvl w:ilvl="0" w:tplc="080A0001">
      <w:start w:val="1"/>
      <w:numFmt w:val="bullet"/>
      <w:lvlText w:val=""/>
      <w:lvlJc w:val="left"/>
      <w:pPr>
        <w:ind w:left="737" w:hanging="360"/>
      </w:pPr>
      <w:rPr>
        <w:rFonts w:ascii="Symbol" w:hAnsi="Symbol" w:hint="default"/>
      </w:rPr>
    </w:lvl>
    <w:lvl w:ilvl="1" w:tplc="080A0003" w:tentative="1">
      <w:start w:val="1"/>
      <w:numFmt w:val="bullet"/>
      <w:lvlText w:val="o"/>
      <w:lvlJc w:val="left"/>
      <w:pPr>
        <w:ind w:left="1457" w:hanging="360"/>
      </w:pPr>
      <w:rPr>
        <w:rFonts w:ascii="Courier New" w:hAnsi="Courier New" w:cs="Courier New" w:hint="default"/>
      </w:rPr>
    </w:lvl>
    <w:lvl w:ilvl="2" w:tplc="080A0005" w:tentative="1">
      <w:start w:val="1"/>
      <w:numFmt w:val="bullet"/>
      <w:lvlText w:val=""/>
      <w:lvlJc w:val="left"/>
      <w:pPr>
        <w:ind w:left="2177" w:hanging="360"/>
      </w:pPr>
      <w:rPr>
        <w:rFonts w:ascii="Wingdings" w:hAnsi="Wingdings" w:hint="default"/>
      </w:rPr>
    </w:lvl>
    <w:lvl w:ilvl="3" w:tplc="080A0001" w:tentative="1">
      <w:start w:val="1"/>
      <w:numFmt w:val="bullet"/>
      <w:lvlText w:val=""/>
      <w:lvlJc w:val="left"/>
      <w:pPr>
        <w:ind w:left="2897" w:hanging="360"/>
      </w:pPr>
      <w:rPr>
        <w:rFonts w:ascii="Symbol" w:hAnsi="Symbol" w:hint="default"/>
      </w:rPr>
    </w:lvl>
    <w:lvl w:ilvl="4" w:tplc="080A0003" w:tentative="1">
      <w:start w:val="1"/>
      <w:numFmt w:val="bullet"/>
      <w:lvlText w:val="o"/>
      <w:lvlJc w:val="left"/>
      <w:pPr>
        <w:ind w:left="3617" w:hanging="360"/>
      </w:pPr>
      <w:rPr>
        <w:rFonts w:ascii="Courier New" w:hAnsi="Courier New" w:cs="Courier New" w:hint="default"/>
      </w:rPr>
    </w:lvl>
    <w:lvl w:ilvl="5" w:tplc="080A0005" w:tentative="1">
      <w:start w:val="1"/>
      <w:numFmt w:val="bullet"/>
      <w:lvlText w:val=""/>
      <w:lvlJc w:val="left"/>
      <w:pPr>
        <w:ind w:left="4337" w:hanging="360"/>
      </w:pPr>
      <w:rPr>
        <w:rFonts w:ascii="Wingdings" w:hAnsi="Wingdings" w:hint="default"/>
      </w:rPr>
    </w:lvl>
    <w:lvl w:ilvl="6" w:tplc="080A0001" w:tentative="1">
      <w:start w:val="1"/>
      <w:numFmt w:val="bullet"/>
      <w:lvlText w:val=""/>
      <w:lvlJc w:val="left"/>
      <w:pPr>
        <w:ind w:left="5057" w:hanging="360"/>
      </w:pPr>
      <w:rPr>
        <w:rFonts w:ascii="Symbol" w:hAnsi="Symbol" w:hint="default"/>
      </w:rPr>
    </w:lvl>
    <w:lvl w:ilvl="7" w:tplc="080A0003" w:tentative="1">
      <w:start w:val="1"/>
      <w:numFmt w:val="bullet"/>
      <w:lvlText w:val="o"/>
      <w:lvlJc w:val="left"/>
      <w:pPr>
        <w:ind w:left="5777" w:hanging="360"/>
      </w:pPr>
      <w:rPr>
        <w:rFonts w:ascii="Courier New" w:hAnsi="Courier New" w:cs="Courier New" w:hint="default"/>
      </w:rPr>
    </w:lvl>
    <w:lvl w:ilvl="8" w:tplc="080A0005" w:tentative="1">
      <w:start w:val="1"/>
      <w:numFmt w:val="bullet"/>
      <w:lvlText w:val=""/>
      <w:lvlJc w:val="left"/>
      <w:pPr>
        <w:ind w:left="6497" w:hanging="360"/>
      </w:pPr>
      <w:rPr>
        <w:rFonts w:ascii="Wingdings" w:hAnsi="Wingdings" w:hint="default"/>
      </w:rPr>
    </w:lvl>
  </w:abstractNum>
  <w:abstractNum w:abstractNumId="40">
    <w:nsid w:val="75614B01"/>
    <w:multiLevelType w:val="hybridMultilevel"/>
    <w:tmpl w:val="C28E37EA"/>
    <w:lvl w:ilvl="0" w:tplc="4FFCFE12">
      <w:numFmt w:val="bullet"/>
      <w:lvlText w:val=""/>
      <w:lvlJc w:val="left"/>
      <w:pPr>
        <w:ind w:left="899" w:hanging="360"/>
      </w:pPr>
      <w:rPr>
        <w:rFonts w:ascii="Times New Roman" w:eastAsia="Times New Roman" w:hAnsi="Times New Roman" w:cs="Times New Roman" w:hint="default"/>
      </w:rPr>
    </w:lvl>
    <w:lvl w:ilvl="1" w:tplc="080A0003" w:tentative="1">
      <w:start w:val="1"/>
      <w:numFmt w:val="bullet"/>
      <w:lvlText w:val="o"/>
      <w:lvlJc w:val="left"/>
      <w:pPr>
        <w:ind w:left="1619" w:hanging="360"/>
      </w:pPr>
      <w:rPr>
        <w:rFonts w:ascii="Courier New" w:hAnsi="Courier New" w:cs="Courier New" w:hint="default"/>
      </w:rPr>
    </w:lvl>
    <w:lvl w:ilvl="2" w:tplc="080A0005" w:tentative="1">
      <w:start w:val="1"/>
      <w:numFmt w:val="bullet"/>
      <w:lvlText w:val=""/>
      <w:lvlJc w:val="left"/>
      <w:pPr>
        <w:ind w:left="2339" w:hanging="360"/>
      </w:pPr>
      <w:rPr>
        <w:rFonts w:ascii="Wingdings" w:hAnsi="Wingdings" w:hint="default"/>
      </w:rPr>
    </w:lvl>
    <w:lvl w:ilvl="3" w:tplc="080A0001" w:tentative="1">
      <w:start w:val="1"/>
      <w:numFmt w:val="bullet"/>
      <w:lvlText w:val=""/>
      <w:lvlJc w:val="left"/>
      <w:pPr>
        <w:ind w:left="3059" w:hanging="360"/>
      </w:pPr>
      <w:rPr>
        <w:rFonts w:ascii="Symbol" w:hAnsi="Symbol" w:hint="default"/>
      </w:rPr>
    </w:lvl>
    <w:lvl w:ilvl="4" w:tplc="080A0003" w:tentative="1">
      <w:start w:val="1"/>
      <w:numFmt w:val="bullet"/>
      <w:lvlText w:val="o"/>
      <w:lvlJc w:val="left"/>
      <w:pPr>
        <w:ind w:left="3779" w:hanging="360"/>
      </w:pPr>
      <w:rPr>
        <w:rFonts w:ascii="Courier New" w:hAnsi="Courier New" w:cs="Courier New" w:hint="default"/>
      </w:rPr>
    </w:lvl>
    <w:lvl w:ilvl="5" w:tplc="080A0005" w:tentative="1">
      <w:start w:val="1"/>
      <w:numFmt w:val="bullet"/>
      <w:lvlText w:val=""/>
      <w:lvlJc w:val="left"/>
      <w:pPr>
        <w:ind w:left="4499" w:hanging="360"/>
      </w:pPr>
      <w:rPr>
        <w:rFonts w:ascii="Wingdings" w:hAnsi="Wingdings" w:hint="default"/>
      </w:rPr>
    </w:lvl>
    <w:lvl w:ilvl="6" w:tplc="080A0001" w:tentative="1">
      <w:start w:val="1"/>
      <w:numFmt w:val="bullet"/>
      <w:lvlText w:val=""/>
      <w:lvlJc w:val="left"/>
      <w:pPr>
        <w:ind w:left="5219" w:hanging="360"/>
      </w:pPr>
      <w:rPr>
        <w:rFonts w:ascii="Symbol" w:hAnsi="Symbol" w:hint="default"/>
      </w:rPr>
    </w:lvl>
    <w:lvl w:ilvl="7" w:tplc="080A0003" w:tentative="1">
      <w:start w:val="1"/>
      <w:numFmt w:val="bullet"/>
      <w:lvlText w:val="o"/>
      <w:lvlJc w:val="left"/>
      <w:pPr>
        <w:ind w:left="5939" w:hanging="360"/>
      </w:pPr>
      <w:rPr>
        <w:rFonts w:ascii="Courier New" w:hAnsi="Courier New" w:cs="Courier New" w:hint="default"/>
      </w:rPr>
    </w:lvl>
    <w:lvl w:ilvl="8" w:tplc="080A0005" w:tentative="1">
      <w:start w:val="1"/>
      <w:numFmt w:val="bullet"/>
      <w:lvlText w:val=""/>
      <w:lvlJc w:val="left"/>
      <w:pPr>
        <w:ind w:left="6659" w:hanging="360"/>
      </w:pPr>
      <w:rPr>
        <w:rFonts w:ascii="Wingdings" w:hAnsi="Wingdings" w:hint="default"/>
      </w:rPr>
    </w:lvl>
  </w:abstractNum>
  <w:abstractNum w:abstractNumId="41">
    <w:nsid w:val="78715682"/>
    <w:multiLevelType w:val="hybridMultilevel"/>
    <w:tmpl w:val="90A475B0"/>
    <w:lvl w:ilvl="0" w:tplc="893EABE8">
      <w:start w:val="3"/>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42">
    <w:nsid w:val="7ADF113C"/>
    <w:multiLevelType w:val="hybridMultilevel"/>
    <w:tmpl w:val="722A4C54"/>
    <w:lvl w:ilvl="0" w:tplc="1FA6A702">
      <w:start w:val="1"/>
      <w:numFmt w:val="lowerLetter"/>
      <w:lvlText w:val="%1."/>
      <w:lvlJc w:val="left"/>
      <w:pPr>
        <w:ind w:left="976" w:hanging="360"/>
      </w:pPr>
      <w:rPr>
        <w:rFonts w:hint="default"/>
      </w:rPr>
    </w:lvl>
    <w:lvl w:ilvl="1" w:tplc="080A0019" w:tentative="1">
      <w:start w:val="1"/>
      <w:numFmt w:val="lowerLetter"/>
      <w:lvlText w:val="%2."/>
      <w:lvlJc w:val="left"/>
      <w:pPr>
        <w:ind w:left="1696" w:hanging="360"/>
      </w:pPr>
    </w:lvl>
    <w:lvl w:ilvl="2" w:tplc="080A001B" w:tentative="1">
      <w:start w:val="1"/>
      <w:numFmt w:val="lowerRoman"/>
      <w:lvlText w:val="%3."/>
      <w:lvlJc w:val="right"/>
      <w:pPr>
        <w:ind w:left="2416" w:hanging="180"/>
      </w:pPr>
    </w:lvl>
    <w:lvl w:ilvl="3" w:tplc="080A000F" w:tentative="1">
      <w:start w:val="1"/>
      <w:numFmt w:val="decimal"/>
      <w:lvlText w:val="%4."/>
      <w:lvlJc w:val="left"/>
      <w:pPr>
        <w:ind w:left="3136" w:hanging="360"/>
      </w:pPr>
    </w:lvl>
    <w:lvl w:ilvl="4" w:tplc="080A0019" w:tentative="1">
      <w:start w:val="1"/>
      <w:numFmt w:val="lowerLetter"/>
      <w:lvlText w:val="%5."/>
      <w:lvlJc w:val="left"/>
      <w:pPr>
        <w:ind w:left="3856" w:hanging="360"/>
      </w:pPr>
    </w:lvl>
    <w:lvl w:ilvl="5" w:tplc="080A001B" w:tentative="1">
      <w:start w:val="1"/>
      <w:numFmt w:val="lowerRoman"/>
      <w:lvlText w:val="%6."/>
      <w:lvlJc w:val="right"/>
      <w:pPr>
        <w:ind w:left="4576" w:hanging="180"/>
      </w:pPr>
    </w:lvl>
    <w:lvl w:ilvl="6" w:tplc="080A000F" w:tentative="1">
      <w:start w:val="1"/>
      <w:numFmt w:val="decimal"/>
      <w:lvlText w:val="%7."/>
      <w:lvlJc w:val="left"/>
      <w:pPr>
        <w:ind w:left="5296" w:hanging="360"/>
      </w:pPr>
    </w:lvl>
    <w:lvl w:ilvl="7" w:tplc="080A0019" w:tentative="1">
      <w:start w:val="1"/>
      <w:numFmt w:val="lowerLetter"/>
      <w:lvlText w:val="%8."/>
      <w:lvlJc w:val="left"/>
      <w:pPr>
        <w:ind w:left="6016" w:hanging="360"/>
      </w:pPr>
    </w:lvl>
    <w:lvl w:ilvl="8" w:tplc="080A001B" w:tentative="1">
      <w:start w:val="1"/>
      <w:numFmt w:val="lowerRoman"/>
      <w:lvlText w:val="%9."/>
      <w:lvlJc w:val="right"/>
      <w:pPr>
        <w:ind w:left="6736" w:hanging="180"/>
      </w:pPr>
    </w:lvl>
  </w:abstractNum>
  <w:abstractNum w:abstractNumId="43">
    <w:nsid w:val="7AFB3603"/>
    <w:multiLevelType w:val="hybridMultilevel"/>
    <w:tmpl w:val="C40A4582"/>
    <w:lvl w:ilvl="0" w:tplc="0FCA0000">
      <w:start w:val="1"/>
      <w:numFmt w:val="decimal"/>
      <w:lvlText w:val="%1."/>
      <w:lvlJc w:val="left"/>
      <w:pPr>
        <w:ind w:left="720" w:hanging="360"/>
      </w:pPr>
      <w:rPr>
        <w:rFonts w:ascii="Times New Roman" w:hAnsi="Times New Roman"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7DFB6AD3"/>
    <w:multiLevelType w:val="hybridMultilevel"/>
    <w:tmpl w:val="6E146C7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7E5E36CB"/>
    <w:multiLevelType w:val="hybridMultilevel"/>
    <w:tmpl w:val="848A04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31"/>
  </w:num>
  <w:num w:numId="3">
    <w:abstractNumId w:val="19"/>
  </w:num>
  <w:num w:numId="4">
    <w:abstractNumId w:val="5"/>
  </w:num>
  <w:num w:numId="5">
    <w:abstractNumId w:val="27"/>
  </w:num>
  <w:num w:numId="6">
    <w:abstractNumId w:val="38"/>
  </w:num>
  <w:num w:numId="7">
    <w:abstractNumId w:val="13"/>
  </w:num>
  <w:num w:numId="8">
    <w:abstractNumId w:val="6"/>
  </w:num>
  <w:num w:numId="9">
    <w:abstractNumId w:val="28"/>
  </w:num>
  <w:num w:numId="10">
    <w:abstractNumId w:val="34"/>
  </w:num>
  <w:num w:numId="11">
    <w:abstractNumId w:val="41"/>
  </w:num>
  <w:num w:numId="12">
    <w:abstractNumId w:val="35"/>
  </w:num>
  <w:num w:numId="13">
    <w:abstractNumId w:val="40"/>
  </w:num>
  <w:num w:numId="14">
    <w:abstractNumId w:val="29"/>
  </w:num>
  <w:num w:numId="15">
    <w:abstractNumId w:val="36"/>
  </w:num>
  <w:num w:numId="16">
    <w:abstractNumId w:val="16"/>
  </w:num>
  <w:num w:numId="17">
    <w:abstractNumId w:val="23"/>
  </w:num>
  <w:num w:numId="18">
    <w:abstractNumId w:val="10"/>
  </w:num>
  <w:num w:numId="19">
    <w:abstractNumId w:val="20"/>
  </w:num>
  <w:num w:numId="20">
    <w:abstractNumId w:val="39"/>
  </w:num>
  <w:num w:numId="21">
    <w:abstractNumId w:val="2"/>
  </w:num>
  <w:num w:numId="22">
    <w:abstractNumId w:val="1"/>
  </w:num>
  <w:num w:numId="23">
    <w:abstractNumId w:val="17"/>
  </w:num>
  <w:num w:numId="24">
    <w:abstractNumId w:val="11"/>
  </w:num>
  <w:num w:numId="25">
    <w:abstractNumId w:val="45"/>
  </w:num>
  <w:num w:numId="26">
    <w:abstractNumId w:val="14"/>
  </w:num>
  <w:num w:numId="27">
    <w:abstractNumId w:val="18"/>
  </w:num>
  <w:num w:numId="28">
    <w:abstractNumId w:val="25"/>
  </w:num>
  <w:num w:numId="29">
    <w:abstractNumId w:val="12"/>
  </w:num>
  <w:num w:numId="30">
    <w:abstractNumId w:val="44"/>
  </w:num>
  <w:num w:numId="31">
    <w:abstractNumId w:val="37"/>
  </w:num>
  <w:num w:numId="32">
    <w:abstractNumId w:val="3"/>
  </w:num>
  <w:num w:numId="33">
    <w:abstractNumId w:val="8"/>
  </w:num>
  <w:num w:numId="34">
    <w:abstractNumId w:val="32"/>
  </w:num>
  <w:num w:numId="35">
    <w:abstractNumId w:val="9"/>
  </w:num>
  <w:num w:numId="36">
    <w:abstractNumId w:val="30"/>
  </w:num>
  <w:num w:numId="37">
    <w:abstractNumId w:val="33"/>
  </w:num>
  <w:num w:numId="38">
    <w:abstractNumId w:val="42"/>
  </w:num>
  <w:num w:numId="39">
    <w:abstractNumId w:val="15"/>
  </w:num>
  <w:num w:numId="40">
    <w:abstractNumId w:val="24"/>
  </w:num>
  <w:num w:numId="41">
    <w:abstractNumId w:val="22"/>
  </w:num>
  <w:num w:numId="42">
    <w:abstractNumId w:val="7"/>
  </w:num>
  <w:num w:numId="43">
    <w:abstractNumId w:val="21"/>
  </w:num>
  <w:num w:numId="44">
    <w:abstractNumId w:val="26"/>
  </w:num>
  <w:num w:numId="45">
    <w:abstractNumId w:val="4"/>
  </w:num>
  <w:num w:numId="46">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6"/>
  <w:proofState w:spelling="clean" w:grammar="clean"/>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D4D"/>
    <w:rsid w:val="000073FE"/>
    <w:rsid w:val="00052493"/>
    <w:rsid w:val="000B00C6"/>
    <w:rsid w:val="000B0429"/>
    <w:rsid w:val="000C1901"/>
    <w:rsid w:val="000C4A9F"/>
    <w:rsid w:val="000D3B0D"/>
    <w:rsid w:val="000F7918"/>
    <w:rsid w:val="00100C59"/>
    <w:rsid w:val="00112061"/>
    <w:rsid w:val="001244B5"/>
    <w:rsid w:val="00125856"/>
    <w:rsid w:val="0014751B"/>
    <w:rsid w:val="0015402A"/>
    <w:rsid w:val="001670BC"/>
    <w:rsid w:val="00173346"/>
    <w:rsid w:val="0019794F"/>
    <w:rsid w:val="001A3AE1"/>
    <w:rsid w:val="001A6CFA"/>
    <w:rsid w:val="001B2BFD"/>
    <w:rsid w:val="001B78FB"/>
    <w:rsid w:val="001D205D"/>
    <w:rsid w:val="001D38AE"/>
    <w:rsid w:val="001F129F"/>
    <w:rsid w:val="0021131C"/>
    <w:rsid w:val="00211B51"/>
    <w:rsid w:val="00211BC9"/>
    <w:rsid w:val="00223202"/>
    <w:rsid w:val="0023171E"/>
    <w:rsid w:val="002334F1"/>
    <w:rsid w:val="00233825"/>
    <w:rsid w:val="00235A48"/>
    <w:rsid w:val="00237C24"/>
    <w:rsid w:val="00252A06"/>
    <w:rsid w:val="00260BBD"/>
    <w:rsid w:val="00264201"/>
    <w:rsid w:val="0027090A"/>
    <w:rsid w:val="00275575"/>
    <w:rsid w:val="00282E68"/>
    <w:rsid w:val="00295EF5"/>
    <w:rsid w:val="002C1FB6"/>
    <w:rsid w:val="002D39E4"/>
    <w:rsid w:val="002E7305"/>
    <w:rsid w:val="002E7DA1"/>
    <w:rsid w:val="002E7FE1"/>
    <w:rsid w:val="002F0C5B"/>
    <w:rsid w:val="0032169B"/>
    <w:rsid w:val="003259A8"/>
    <w:rsid w:val="00335025"/>
    <w:rsid w:val="00337A5C"/>
    <w:rsid w:val="0036003F"/>
    <w:rsid w:val="00361E75"/>
    <w:rsid w:val="00364D4D"/>
    <w:rsid w:val="003670B5"/>
    <w:rsid w:val="003718B6"/>
    <w:rsid w:val="00372AA7"/>
    <w:rsid w:val="0037453E"/>
    <w:rsid w:val="003757E4"/>
    <w:rsid w:val="00382600"/>
    <w:rsid w:val="00383791"/>
    <w:rsid w:val="003B4690"/>
    <w:rsid w:val="003B52EB"/>
    <w:rsid w:val="003B62E5"/>
    <w:rsid w:val="003F24A1"/>
    <w:rsid w:val="003F5AA9"/>
    <w:rsid w:val="003F5D0D"/>
    <w:rsid w:val="0041668D"/>
    <w:rsid w:val="00416912"/>
    <w:rsid w:val="0043079F"/>
    <w:rsid w:val="004358F4"/>
    <w:rsid w:val="004363D4"/>
    <w:rsid w:val="00443237"/>
    <w:rsid w:val="00455CA8"/>
    <w:rsid w:val="00460569"/>
    <w:rsid w:val="00472B46"/>
    <w:rsid w:val="0048153E"/>
    <w:rsid w:val="00491440"/>
    <w:rsid w:val="00493B22"/>
    <w:rsid w:val="004A0A61"/>
    <w:rsid w:val="004A3AEC"/>
    <w:rsid w:val="004A57E3"/>
    <w:rsid w:val="004B0F9C"/>
    <w:rsid w:val="004B3C2F"/>
    <w:rsid w:val="004D00FD"/>
    <w:rsid w:val="004E051A"/>
    <w:rsid w:val="004E3721"/>
    <w:rsid w:val="004E552F"/>
    <w:rsid w:val="004F67F7"/>
    <w:rsid w:val="005017D7"/>
    <w:rsid w:val="00506331"/>
    <w:rsid w:val="00515113"/>
    <w:rsid w:val="005156C8"/>
    <w:rsid w:val="00520166"/>
    <w:rsid w:val="005279C4"/>
    <w:rsid w:val="005312C8"/>
    <w:rsid w:val="00534273"/>
    <w:rsid w:val="0057096D"/>
    <w:rsid w:val="00574C8D"/>
    <w:rsid w:val="005968DE"/>
    <w:rsid w:val="00597D91"/>
    <w:rsid w:val="005C7C8B"/>
    <w:rsid w:val="005D0BD7"/>
    <w:rsid w:val="005F06E2"/>
    <w:rsid w:val="00601452"/>
    <w:rsid w:val="00623414"/>
    <w:rsid w:val="00636F82"/>
    <w:rsid w:val="00637FAC"/>
    <w:rsid w:val="00641893"/>
    <w:rsid w:val="00685822"/>
    <w:rsid w:val="00693147"/>
    <w:rsid w:val="006A21DE"/>
    <w:rsid w:val="006C5396"/>
    <w:rsid w:val="006F4589"/>
    <w:rsid w:val="0071184C"/>
    <w:rsid w:val="007239F9"/>
    <w:rsid w:val="00747DC2"/>
    <w:rsid w:val="0076103C"/>
    <w:rsid w:val="00762E11"/>
    <w:rsid w:val="0079234F"/>
    <w:rsid w:val="007957D3"/>
    <w:rsid w:val="007A78AA"/>
    <w:rsid w:val="007B5DA7"/>
    <w:rsid w:val="007B77AE"/>
    <w:rsid w:val="007C0A1B"/>
    <w:rsid w:val="007D229E"/>
    <w:rsid w:val="007D69FB"/>
    <w:rsid w:val="007E0460"/>
    <w:rsid w:val="007E443A"/>
    <w:rsid w:val="007F302F"/>
    <w:rsid w:val="007F7670"/>
    <w:rsid w:val="00804601"/>
    <w:rsid w:val="00811BC0"/>
    <w:rsid w:val="00825A8D"/>
    <w:rsid w:val="00876C02"/>
    <w:rsid w:val="008A3C4D"/>
    <w:rsid w:val="008A78E5"/>
    <w:rsid w:val="008B7390"/>
    <w:rsid w:val="008C3B0E"/>
    <w:rsid w:val="008C683E"/>
    <w:rsid w:val="008C6A58"/>
    <w:rsid w:val="008E5F27"/>
    <w:rsid w:val="008F0B80"/>
    <w:rsid w:val="00901565"/>
    <w:rsid w:val="0091140E"/>
    <w:rsid w:val="00935135"/>
    <w:rsid w:val="00943EFA"/>
    <w:rsid w:val="009771CF"/>
    <w:rsid w:val="00994DBD"/>
    <w:rsid w:val="009A0B81"/>
    <w:rsid w:val="009C69E3"/>
    <w:rsid w:val="009F68F0"/>
    <w:rsid w:val="00A14B35"/>
    <w:rsid w:val="00A209C7"/>
    <w:rsid w:val="00A21957"/>
    <w:rsid w:val="00A23D19"/>
    <w:rsid w:val="00A24B78"/>
    <w:rsid w:val="00A55423"/>
    <w:rsid w:val="00A64369"/>
    <w:rsid w:val="00A66401"/>
    <w:rsid w:val="00A7243E"/>
    <w:rsid w:val="00A85345"/>
    <w:rsid w:val="00A9057B"/>
    <w:rsid w:val="00A93A8F"/>
    <w:rsid w:val="00AA4475"/>
    <w:rsid w:val="00AB4AB7"/>
    <w:rsid w:val="00AF0D95"/>
    <w:rsid w:val="00AF4B8D"/>
    <w:rsid w:val="00B15828"/>
    <w:rsid w:val="00B17B53"/>
    <w:rsid w:val="00B20283"/>
    <w:rsid w:val="00B21044"/>
    <w:rsid w:val="00B45DDF"/>
    <w:rsid w:val="00B47710"/>
    <w:rsid w:val="00B51BE7"/>
    <w:rsid w:val="00B53012"/>
    <w:rsid w:val="00B539F1"/>
    <w:rsid w:val="00B62C65"/>
    <w:rsid w:val="00B77E36"/>
    <w:rsid w:val="00B83F9C"/>
    <w:rsid w:val="00B849DE"/>
    <w:rsid w:val="00B901DC"/>
    <w:rsid w:val="00B91F37"/>
    <w:rsid w:val="00B97BB5"/>
    <w:rsid w:val="00BA75F7"/>
    <w:rsid w:val="00BB4A27"/>
    <w:rsid w:val="00BE5A0D"/>
    <w:rsid w:val="00BE67C5"/>
    <w:rsid w:val="00C058EC"/>
    <w:rsid w:val="00C2268A"/>
    <w:rsid w:val="00C47851"/>
    <w:rsid w:val="00C61940"/>
    <w:rsid w:val="00C663C1"/>
    <w:rsid w:val="00C879FD"/>
    <w:rsid w:val="00CB621A"/>
    <w:rsid w:val="00CC675B"/>
    <w:rsid w:val="00CD6BD2"/>
    <w:rsid w:val="00CE1324"/>
    <w:rsid w:val="00CE18CF"/>
    <w:rsid w:val="00CF1FB5"/>
    <w:rsid w:val="00D032BB"/>
    <w:rsid w:val="00D146D1"/>
    <w:rsid w:val="00D17590"/>
    <w:rsid w:val="00D35879"/>
    <w:rsid w:val="00D45ACE"/>
    <w:rsid w:val="00D52820"/>
    <w:rsid w:val="00D63275"/>
    <w:rsid w:val="00D74FE6"/>
    <w:rsid w:val="00D777AB"/>
    <w:rsid w:val="00D92561"/>
    <w:rsid w:val="00DA49E1"/>
    <w:rsid w:val="00DC0703"/>
    <w:rsid w:val="00DC2B7F"/>
    <w:rsid w:val="00DF19A7"/>
    <w:rsid w:val="00E01F06"/>
    <w:rsid w:val="00E03DEE"/>
    <w:rsid w:val="00E122AC"/>
    <w:rsid w:val="00E2738C"/>
    <w:rsid w:val="00E313B7"/>
    <w:rsid w:val="00E36108"/>
    <w:rsid w:val="00E5288E"/>
    <w:rsid w:val="00E90480"/>
    <w:rsid w:val="00EB17B0"/>
    <w:rsid w:val="00ED062D"/>
    <w:rsid w:val="00EE1299"/>
    <w:rsid w:val="00EE13CA"/>
    <w:rsid w:val="00F1327B"/>
    <w:rsid w:val="00F1721A"/>
    <w:rsid w:val="00F57754"/>
    <w:rsid w:val="00F66455"/>
    <w:rsid w:val="00F86AC4"/>
    <w:rsid w:val="00F97F64"/>
    <w:rsid w:val="00FB589A"/>
    <w:rsid w:val="00FC0B48"/>
    <w:rsid w:val="00FD347A"/>
    <w:rsid w:val="00FD3B80"/>
    <w:rsid w:val="00FE1D6E"/>
    <w:rsid w:val="00FF4BD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728224B-F4A0-47A2-83D0-3DFB73A4A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0C6"/>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364D4D"/>
    <w:pPr>
      <w:keepNext/>
      <w:ind w:right="23"/>
      <w:jc w:val="center"/>
      <w:outlineLvl w:val="0"/>
    </w:pPr>
    <w:rPr>
      <w:b/>
    </w:rPr>
  </w:style>
  <w:style w:type="paragraph" w:styleId="Ttulo2">
    <w:name w:val="heading 2"/>
    <w:basedOn w:val="Normal"/>
    <w:next w:val="Normal"/>
    <w:link w:val="Ttulo2Car"/>
    <w:qFormat/>
    <w:rsid w:val="00364D4D"/>
    <w:pPr>
      <w:keepNext/>
      <w:spacing w:before="240" w:after="60"/>
      <w:outlineLvl w:val="1"/>
    </w:pPr>
    <w:rPr>
      <w:rFonts w:ascii="Arial" w:hAnsi="Arial" w:cs="Arial"/>
      <w:b/>
      <w:bCs/>
      <w:i/>
      <w:iCs/>
      <w:sz w:val="28"/>
      <w:szCs w:val="28"/>
    </w:rPr>
  </w:style>
  <w:style w:type="paragraph" w:styleId="Ttulo3">
    <w:name w:val="heading 3"/>
    <w:basedOn w:val="Normal"/>
    <w:next w:val="Normal"/>
    <w:link w:val="Ttulo3Car"/>
    <w:qFormat/>
    <w:rsid w:val="00364D4D"/>
    <w:pPr>
      <w:keepNext/>
      <w:spacing w:before="240" w:after="60"/>
      <w:outlineLvl w:val="2"/>
    </w:pPr>
    <w:rPr>
      <w:rFonts w:ascii="Arial" w:hAnsi="Arial" w:cs="Arial"/>
      <w:b/>
      <w:bCs/>
      <w:sz w:val="26"/>
      <w:szCs w:val="26"/>
    </w:rPr>
  </w:style>
  <w:style w:type="paragraph" w:styleId="Ttulo4">
    <w:name w:val="heading 4"/>
    <w:basedOn w:val="Normal"/>
    <w:next w:val="Normal"/>
    <w:link w:val="Ttulo4Car"/>
    <w:qFormat/>
    <w:rsid w:val="00364D4D"/>
    <w:pPr>
      <w:keepNext/>
      <w:spacing w:before="240" w:after="60"/>
      <w:outlineLvl w:val="3"/>
    </w:pPr>
    <w:rPr>
      <w:b/>
      <w:bCs/>
      <w:sz w:val="28"/>
      <w:szCs w:val="28"/>
    </w:rPr>
  </w:style>
  <w:style w:type="paragraph" w:styleId="Ttulo5">
    <w:name w:val="heading 5"/>
    <w:basedOn w:val="Normal"/>
    <w:next w:val="Normal"/>
    <w:link w:val="Ttulo5Car"/>
    <w:qFormat/>
    <w:rsid w:val="00364D4D"/>
    <w:pPr>
      <w:spacing w:before="240" w:after="60"/>
      <w:outlineLvl w:val="4"/>
    </w:pPr>
    <w:rPr>
      <w:b/>
      <w:bCs/>
      <w:i/>
      <w:iCs/>
      <w:sz w:val="26"/>
      <w:szCs w:val="26"/>
    </w:rPr>
  </w:style>
  <w:style w:type="paragraph" w:styleId="Ttulo6">
    <w:name w:val="heading 6"/>
    <w:basedOn w:val="Normal"/>
    <w:next w:val="Normal"/>
    <w:link w:val="Ttulo6Car"/>
    <w:qFormat/>
    <w:rsid w:val="00364D4D"/>
    <w:pPr>
      <w:spacing w:before="240" w:after="60"/>
      <w:outlineLvl w:val="5"/>
    </w:pPr>
    <w:rPr>
      <w:b/>
      <w:bCs/>
      <w:sz w:val="22"/>
      <w:szCs w:val="22"/>
    </w:rPr>
  </w:style>
  <w:style w:type="paragraph" w:styleId="Ttulo7">
    <w:name w:val="heading 7"/>
    <w:basedOn w:val="Normal"/>
    <w:next w:val="Normal"/>
    <w:link w:val="Ttulo7Car"/>
    <w:qFormat/>
    <w:rsid w:val="00364D4D"/>
    <w:pPr>
      <w:spacing w:before="240" w:after="60"/>
      <w:outlineLvl w:val="6"/>
    </w:pPr>
  </w:style>
  <w:style w:type="paragraph" w:styleId="Ttulo8">
    <w:name w:val="heading 8"/>
    <w:basedOn w:val="Normal"/>
    <w:next w:val="Normal"/>
    <w:link w:val="Ttulo8Car"/>
    <w:qFormat/>
    <w:rsid w:val="00364D4D"/>
    <w:pPr>
      <w:tabs>
        <w:tab w:val="num" w:pos="1440"/>
      </w:tabs>
      <w:spacing w:before="240" w:after="60"/>
      <w:ind w:left="1440" w:hanging="1440"/>
      <w:outlineLvl w:val="7"/>
    </w:pPr>
    <w:rPr>
      <w:i/>
      <w:iCs/>
      <w:lang w:val="es-MX"/>
    </w:rPr>
  </w:style>
  <w:style w:type="paragraph" w:styleId="Ttulo9">
    <w:name w:val="heading 9"/>
    <w:basedOn w:val="Normal"/>
    <w:next w:val="Normal"/>
    <w:link w:val="Ttulo9Car"/>
    <w:qFormat/>
    <w:rsid w:val="00364D4D"/>
    <w:pPr>
      <w:tabs>
        <w:tab w:val="num" w:pos="1584"/>
      </w:tabs>
      <w:spacing w:before="240" w:after="60"/>
      <w:ind w:left="1584" w:hanging="1584"/>
      <w:outlineLvl w:val="8"/>
    </w:pPr>
    <w:rPr>
      <w:rFonts w:ascii="Arial" w:hAnsi="Arial"/>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D4D"/>
    <w:rPr>
      <w:rFonts w:ascii="Times New Roman" w:eastAsia="Times New Roman" w:hAnsi="Times New Roman" w:cs="Times New Roman"/>
      <w:b/>
      <w:sz w:val="24"/>
      <w:szCs w:val="24"/>
      <w:lang w:val="es-ES" w:eastAsia="es-ES"/>
    </w:rPr>
  </w:style>
  <w:style w:type="character" w:customStyle="1" w:styleId="Ttulo2Car">
    <w:name w:val="Título 2 Car"/>
    <w:basedOn w:val="Fuentedeprrafopredeter"/>
    <w:link w:val="Ttulo2"/>
    <w:rsid w:val="00364D4D"/>
    <w:rPr>
      <w:rFonts w:ascii="Arial" w:eastAsia="Times New Roman" w:hAnsi="Arial" w:cs="Arial"/>
      <w:b/>
      <w:bCs/>
      <w:i/>
      <w:iCs/>
      <w:sz w:val="28"/>
      <w:szCs w:val="28"/>
      <w:lang w:val="es-ES" w:eastAsia="es-ES"/>
    </w:rPr>
  </w:style>
  <w:style w:type="character" w:customStyle="1" w:styleId="Ttulo3Car">
    <w:name w:val="Título 3 Car"/>
    <w:basedOn w:val="Fuentedeprrafopredeter"/>
    <w:link w:val="Ttulo3"/>
    <w:rsid w:val="00364D4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364D4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364D4D"/>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rsid w:val="00364D4D"/>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364D4D"/>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364D4D"/>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364D4D"/>
    <w:rPr>
      <w:rFonts w:ascii="Arial" w:eastAsia="Times New Roman" w:hAnsi="Arial" w:cs="Times New Roman"/>
      <w:lang w:eastAsia="es-ES"/>
    </w:rPr>
  </w:style>
  <w:style w:type="table" w:styleId="Tablaconcuadrcula">
    <w:name w:val="Table Grid"/>
    <w:basedOn w:val="Tablanormal"/>
    <w:uiPriority w:val="59"/>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364D4D"/>
    <w:pPr>
      <w:tabs>
        <w:tab w:val="center" w:pos="4252"/>
        <w:tab w:val="right" w:pos="8504"/>
      </w:tabs>
    </w:pPr>
  </w:style>
  <w:style w:type="character" w:customStyle="1" w:styleId="EncabezadoCar">
    <w:name w:val="Encabezado Car"/>
    <w:basedOn w:val="Fuentedeprrafopredeter"/>
    <w:link w:val="Encabezado"/>
    <w:rsid w:val="00364D4D"/>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364D4D"/>
    <w:pPr>
      <w:tabs>
        <w:tab w:val="center" w:pos="4252"/>
        <w:tab w:val="right" w:pos="8504"/>
      </w:tabs>
    </w:pPr>
  </w:style>
  <w:style w:type="character" w:customStyle="1" w:styleId="PiedepginaCar">
    <w:name w:val="Pie de página Car"/>
    <w:basedOn w:val="Fuentedeprrafopredeter"/>
    <w:link w:val="Piedepgina"/>
    <w:rsid w:val="00364D4D"/>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rsid w:val="00364D4D"/>
    <w:rPr>
      <w:rFonts w:ascii="Tahoma" w:hAnsi="Tahoma" w:cs="Tahoma"/>
      <w:sz w:val="16"/>
      <w:szCs w:val="16"/>
    </w:rPr>
  </w:style>
  <w:style w:type="character" w:customStyle="1" w:styleId="TextodegloboCar">
    <w:name w:val="Texto de globo Car"/>
    <w:basedOn w:val="Fuentedeprrafopredeter"/>
    <w:link w:val="Textodeglobo"/>
    <w:rsid w:val="00364D4D"/>
    <w:rPr>
      <w:rFonts w:ascii="Tahoma" w:eastAsia="Times New Roman" w:hAnsi="Tahoma" w:cs="Tahoma"/>
      <w:sz w:val="16"/>
      <w:szCs w:val="16"/>
      <w:lang w:val="es-ES" w:eastAsia="es-ES"/>
    </w:rPr>
  </w:style>
  <w:style w:type="paragraph" w:styleId="Textoindependiente3">
    <w:name w:val="Body Text 3"/>
    <w:basedOn w:val="Normal"/>
    <w:link w:val="Textoindependiente3Car"/>
    <w:rsid w:val="00364D4D"/>
    <w:pPr>
      <w:jc w:val="both"/>
    </w:pPr>
    <w:rPr>
      <w:color w:val="000000"/>
      <w:sz w:val="26"/>
      <w:szCs w:val="14"/>
      <w:lang w:val="es-ES_tradnl"/>
    </w:rPr>
  </w:style>
  <w:style w:type="character" w:customStyle="1" w:styleId="Textoindependiente3Car">
    <w:name w:val="Texto independiente 3 Car"/>
    <w:basedOn w:val="Fuentedeprrafopredeter"/>
    <w:link w:val="Textoindependiente3"/>
    <w:rsid w:val="00364D4D"/>
    <w:rPr>
      <w:rFonts w:ascii="Times New Roman" w:eastAsia="Times New Roman" w:hAnsi="Times New Roman" w:cs="Times New Roman"/>
      <w:color w:val="000000"/>
      <w:sz w:val="26"/>
      <w:szCs w:val="14"/>
      <w:lang w:val="es-ES_tradnl" w:eastAsia="es-ES"/>
    </w:rPr>
  </w:style>
  <w:style w:type="character" w:styleId="Nmerodepgina">
    <w:name w:val="page number"/>
    <w:basedOn w:val="Fuentedeprrafopredeter"/>
    <w:rsid w:val="00364D4D"/>
  </w:style>
  <w:style w:type="paragraph" w:customStyle="1" w:styleId="subtit-1">
    <w:name w:val="subtit-1"/>
    <w:basedOn w:val="Normal"/>
    <w:rsid w:val="00364D4D"/>
    <w:pPr>
      <w:autoSpaceDE w:val="0"/>
      <w:autoSpaceDN w:val="0"/>
      <w:jc w:val="both"/>
    </w:pPr>
    <w:rPr>
      <w:bCs/>
      <w:spacing w:val="-4"/>
      <w:sz w:val="26"/>
      <w:szCs w:val="26"/>
      <w:lang w:val="es-ES_tradnl"/>
    </w:rPr>
  </w:style>
  <w:style w:type="paragraph" w:customStyle="1" w:styleId="texto">
    <w:name w:val="texto"/>
    <w:basedOn w:val="Normal"/>
    <w:rsid w:val="00364D4D"/>
    <w:pPr>
      <w:autoSpaceDE w:val="0"/>
      <w:autoSpaceDN w:val="0"/>
      <w:spacing w:line="360" w:lineRule="auto"/>
      <w:ind w:right="-232"/>
      <w:jc w:val="both"/>
    </w:pPr>
    <w:rPr>
      <w:sz w:val="26"/>
      <w:szCs w:val="26"/>
      <w:lang w:val="es-ES_tradnl"/>
    </w:rPr>
  </w:style>
  <w:style w:type="paragraph" w:customStyle="1" w:styleId="Subtit">
    <w:name w:val="Subtit"/>
    <w:basedOn w:val="Normal"/>
    <w:rsid w:val="00364D4D"/>
    <w:pPr>
      <w:tabs>
        <w:tab w:val="right" w:pos="851"/>
        <w:tab w:val="right" w:pos="3164"/>
      </w:tabs>
      <w:autoSpaceDE w:val="0"/>
      <w:autoSpaceDN w:val="0"/>
      <w:spacing w:after="120" w:line="260" w:lineRule="exact"/>
      <w:ind w:left="1134" w:right="51" w:hanging="992"/>
      <w:jc w:val="both"/>
    </w:pPr>
    <w:rPr>
      <w:sz w:val="18"/>
      <w:szCs w:val="26"/>
    </w:rPr>
  </w:style>
  <w:style w:type="character" w:styleId="Hipervnculo">
    <w:name w:val="Hyperlink"/>
    <w:rsid w:val="00364D4D"/>
    <w:rPr>
      <w:color w:val="0000FF"/>
      <w:u w:val="single"/>
    </w:rPr>
  </w:style>
  <w:style w:type="paragraph" w:styleId="Textoindependiente2">
    <w:name w:val="Body Text 2"/>
    <w:basedOn w:val="Normal"/>
    <w:link w:val="Textoindependiente2Car"/>
    <w:rsid w:val="00364D4D"/>
    <w:pPr>
      <w:spacing w:after="120" w:line="480" w:lineRule="auto"/>
    </w:pPr>
  </w:style>
  <w:style w:type="character" w:customStyle="1" w:styleId="Textoindependiente2Car">
    <w:name w:val="Texto independiente 2 Car"/>
    <w:basedOn w:val="Fuentedeprrafopredeter"/>
    <w:link w:val="Textoindependiente2"/>
    <w:rsid w:val="00364D4D"/>
    <w:rPr>
      <w:rFonts w:ascii="Times New Roman" w:eastAsia="Times New Roman" w:hAnsi="Times New Roman" w:cs="Times New Roman"/>
      <w:sz w:val="24"/>
      <w:szCs w:val="24"/>
      <w:lang w:val="es-ES" w:eastAsia="es-ES"/>
    </w:rPr>
  </w:style>
  <w:style w:type="character" w:styleId="Hipervnculovisitado">
    <w:name w:val="FollowedHyperlink"/>
    <w:rsid w:val="00364D4D"/>
    <w:rPr>
      <w:color w:val="800080"/>
      <w:u w:val="single"/>
    </w:rPr>
  </w:style>
  <w:style w:type="paragraph" w:styleId="Textoindependiente">
    <w:name w:val="Body Text"/>
    <w:basedOn w:val="Normal"/>
    <w:link w:val="TextoindependienteCar"/>
    <w:rsid w:val="00364D4D"/>
    <w:pPr>
      <w:spacing w:after="120"/>
    </w:pPr>
  </w:style>
  <w:style w:type="character" w:customStyle="1" w:styleId="TextoindependienteCar">
    <w:name w:val="Texto independiente Car"/>
    <w:basedOn w:val="Fuentedeprrafopredeter"/>
    <w:link w:val="Textoindependiente"/>
    <w:rsid w:val="00364D4D"/>
    <w:rPr>
      <w:rFonts w:ascii="Times New Roman" w:eastAsia="Times New Roman" w:hAnsi="Times New Roman" w:cs="Times New Roman"/>
      <w:sz w:val="24"/>
      <w:szCs w:val="24"/>
      <w:lang w:val="es-ES" w:eastAsia="es-ES"/>
    </w:rPr>
  </w:style>
  <w:style w:type="paragraph" w:customStyle="1" w:styleId="Default">
    <w:name w:val="Default"/>
    <w:rsid w:val="00364D4D"/>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styleId="Textonotapie">
    <w:name w:val="footnote text"/>
    <w:basedOn w:val="Normal"/>
    <w:link w:val="TextonotapieCar"/>
    <w:uiPriority w:val="99"/>
    <w:rsid w:val="00364D4D"/>
    <w:rPr>
      <w:sz w:val="20"/>
      <w:szCs w:val="20"/>
    </w:rPr>
  </w:style>
  <w:style w:type="character" w:customStyle="1" w:styleId="TextonotapieCar">
    <w:name w:val="Texto nota pie Car"/>
    <w:basedOn w:val="Fuentedeprrafopredeter"/>
    <w:link w:val="Textonotapie"/>
    <w:uiPriority w:val="99"/>
    <w:rsid w:val="00364D4D"/>
    <w:rPr>
      <w:rFonts w:ascii="Times New Roman" w:eastAsia="Times New Roman" w:hAnsi="Times New Roman" w:cs="Times New Roman"/>
      <w:sz w:val="20"/>
      <w:szCs w:val="20"/>
      <w:lang w:val="es-ES" w:eastAsia="es-ES"/>
    </w:rPr>
  </w:style>
  <w:style w:type="character" w:styleId="Refdenotaalpie">
    <w:name w:val="footnote reference"/>
    <w:aliases w:val="Ref,de nota al pie,註腳內容,de nota al pie + (Asian) MS Mincho,11 pt"/>
    <w:rsid w:val="00364D4D"/>
    <w:rPr>
      <w:vertAlign w:val="superscript"/>
    </w:rPr>
  </w:style>
  <w:style w:type="paragraph" w:styleId="NormalWeb">
    <w:name w:val="Normal (Web)"/>
    <w:basedOn w:val="Normal"/>
    <w:uiPriority w:val="99"/>
    <w:rsid w:val="00364D4D"/>
    <w:pPr>
      <w:spacing w:before="100" w:beforeAutospacing="1" w:after="100" w:afterAutospacing="1"/>
    </w:pPr>
  </w:style>
  <w:style w:type="character" w:styleId="Textoennegrita">
    <w:name w:val="Strong"/>
    <w:qFormat/>
    <w:rsid w:val="00364D4D"/>
    <w:rPr>
      <w:b/>
      <w:bCs/>
    </w:rPr>
  </w:style>
  <w:style w:type="paragraph" w:styleId="Textosinformato">
    <w:name w:val="Plain Text"/>
    <w:basedOn w:val="Normal"/>
    <w:link w:val="TextosinformatoCar"/>
    <w:rsid w:val="00364D4D"/>
    <w:rPr>
      <w:rFonts w:ascii="Courier New" w:hAnsi="Courier New" w:cs="Courier New"/>
      <w:sz w:val="20"/>
      <w:szCs w:val="20"/>
    </w:rPr>
  </w:style>
  <w:style w:type="character" w:customStyle="1" w:styleId="TextosinformatoCar">
    <w:name w:val="Texto sin formato Car"/>
    <w:basedOn w:val="Fuentedeprrafopredeter"/>
    <w:link w:val="Textosinformato"/>
    <w:rsid w:val="00364D4D"/>
    <w:rPr>
      <w:rFonts w:ascii="Courier New" w:eastAsia="Times New Roman" w:hAnsi="Courier New" w:cs="Courier New"/>
      <w:sz w:val="20"/>
      <w:szCs w:val="20"/>
      <w:lang w:val="es-ES" w:eastAsia="es-ES"/>
    </w:rPr>
  </w:style>
  <w:style w:type="paragraph" w:styleId="Textodebloque">
    <w:name w:val="Block Text"/>
    <w:basedOn w:val="Normal"/>
    <w:rsid w:val="00364D4D"/>
    <w:pPr>
      <w:ind w:left="540" w:right="-340" w:hanging="900"/>
      <w:jc w:val="both"/>
    </w:pPr>
    <w:rPr>
      <w:sz w:val="18"/>
      <w:szCs w:val="18"/>
    </w:rPr>
  </w:style>
  <w:style w:type="table" w:customStyle="1" w:styleId="Tablaconcuadrcula160">
    <w:name w:val="Tabla con cuadrícula160"/>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364D4D"/>
  </w:style>
  <w:style w:type="table" w:customStyle="1" w:styleId="Tablaconcuadrcula3">
    <w:name w:val="Tabla con cuadrícula3"/>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364D4D"/>
  </w:style>
  <w:style w:type="table" w:customStyle="1" w:styleId="Tablaconcuadrcula4">
    <w:name w:val="Tabla con cuadrícula4"/>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364D4D"/>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364D4D"/>
  </w:style>
  <w:style w:type="table" w:customStyle="1" w:styleId="Tablaconcuadrcula11">
    <w:name w:val="Tabla con cuadrícula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0">
    <w:name w:val="Table Grid 1"/>
    <w:basedOn w:val="Tablanormal"/>
    <w:rsid w:val="00364D4D"/>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rsid w:val="00364D4D"/>
    <w:pPr>
      <w:shd w:val="clear" w:color="auto" w:fill="000080"/>
    </w:pPr>
    <w:rPr>
      <w:rFonts w:ascii="Tahoma" w:hAnsi="Tahoma" w:cs="Tahoma"/>
      <w:sz w:val="20"/>
      <w:szCs w:val="20"/>
      <w:lang w:val="es-MX"/>
    </w:rPr>
  </w:style>
  <w:style w:type="character" w:customStyle="1" w:styleId="MapadeldocumentoCar">
    <w:name w:val="Mapa del documento Car"/>
    <w:basedOn w:val="Fuentedeprrafopredeter"/>
    <w:link w:val="Mapadeldocumento"/>
    <w:rsid w:val="00364D4D"/>
    <w:rPr>
      <w:rFonts w:ascii="Tahoma" w:eastAsia="Times New Roman" w:hAnsi="Tahoma" w:cs="Tahoma"/>
      <w:sz w:val="20"/>
      <w:szCs w:val="20"/>
      <w:shd w:val="clear" w:color="auto" w:fill="000080"/>
      <w:lang w:eastAsia="es-ES"/>
    </w:rPr>
  </w:style>
  <w:style w:type="table" w:customStyle="1" w:styleId="Tablaconcuadrcula190">
    <w:name w:val="Tabla con cuadrícula190"/>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
    <w:name w:val="Tabla con cuadrícula293"/>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rsid w:val="00364D4D"/>
    <w:rPr>
      <w:rFonts w:ascii="Verdana" w:hAnsi="Verdana"/>
      <w:b/>
      <w:bCs/>
      <w:color w:val="909179"/>
      <w:sz w:val="19"/>
      <w:szCs w:val="19"/>
    </w:rPr>
  </w:style>
  <w:style w:type="table" w:customStyle="1" w:styleId="Tablaconcuadrcula5">
    <w:name w:val="Tabla con cuadrícula5"/>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rsid w:val="00364D4D"/>
    <w:pPr>
      <w:spacing w:before="100" w:beforeAutospacing="1" w:after="100" w:afterAutospacing="1"/>
    </w:pPr>
  </w:style>
  <w:style w:type="paragraph" w:customStyle="1" w:styleId="Texto0">
    <w:name w:val="Texto"/>
    <w:basedOn w:val="Normal"/>
    <w:link w:val="TextoCar"/>
    <w:rsid w:val="00364D4D"/>
    <w:pPr>
      <w:spacing w:after="101" w:line="216" w:lineRule="exact"/>
      <w:ind w:firstLine="288"/>
      <w:jc w:val="both"/>
    </w:pPr>
    <w:rPr>
      <w:rFonts w:ascii="Arial" w:hAnsi="Arial" w:cs="Arial"/>
      <w:sz w:val="18"/>
      <w:szCs w:val="18"/>
      <w:lang w:val="es-MX" w:eastAsia="es-MX"/>
    </w:rPr>
  </w:style>
  <w:style w:type="character" w:customStyle="1" w:styleId="CarCar3">
    <w:name w:val="Car Car3"/>
    <w:rsid w:val="00364D4D"/>
    <w:rPr>
      <w:b/>
      <w:bCs/>
      <w:sz w:val="16"/>
      <w:szCs w:val="24"/>
      <w:lang w:eastAsia="es-ES"/>
    </w:rPr>
  </w:style>
  <w:style w:type="table" w:customStyle="1" w:styleId="Tablaconcuadrcula6">
    <w:name w:val="Tabla con cuadrícula6"/>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qFormat/>
    <w:rsid w:val="00364D4D"/>
    <w:rPr>
      <w:i/>
      <w:iCs/>
    </w:rPr>
  </w:style>
  <w:style w:type="numbering" w:customStyle="1" w:styleId="Sinlista3">
    <w:name w:val="Sin lista3"/>
    <w:next w:val="Sinlista"/>
    <w:semiHidden/>
    <w:unhideWhenUsed/>
    <w:rsid w:val="00364D4D"/>
  </w:style>
  <w:style w:type="table" w:customStyle="1" w:styleId="Tablaconcuadrcula7">
    <w:name w:val="Tabla con cuadrícula7"/>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364D4D"/>
  </w:style>
  <w:style w:type="character" w:customStyle="1" w:styleId="TextoCar">
    <w:name w:val="Texto Car"/>
    <w:link w:val="Texto0"/>
    <w:rsid w:val="00364D4D"/>
    <w:rPr>
      <w:rFonts w:ascii="Arial" w:eastAsia="Times New Roman" w:hAnsi="Arial" w:cs="Arial"/>
      <w:sz w:val="18"/>
      <w:szCs w:val="18"/>
      <w:lang w:eastAsia="es-MX"/>
    </w:rPr>
  </w:style>
  <w:style w:type="table" w:customStyle="1" w:styleId="Tablaconcuadrcula182">
    <w:name w:val="Tabla con cuadrícula18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364D4D"/>
  </w:style>
  <w:style w:type="table" w:customStyle="1" w:styleId="Tablaconcuadrcula1901">
    <w:name w:val="Tabla con cuadrícula190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rsid w:val="00364D4D"/>
    <w:rPr>
      <w:rFonts w:ascii="Verdana" w:hAnsi="Verdana" w:hint="default"/>
      <w:sz w:val="18"/>
      <w:szCs w:val="18"/>
    </w:rPr>
  </w:style>
  <w:style w:type="paragraph" w:styleId="Puesto">
    <w:name w:val="Title"/>
    <w:basedOn w:val="Normal"/>
    <w:link w:val="PuestoCar"/>
    <w:qFormat/>
    <w:rsid w:val="00364D4D"/>
    <w:pPr>
      <w:spacing w:before="240" w:after="60"/>
      <w:jc w:val="center"/>
      <w:outlineLvl w:val="0"/>
    </w:pPr>
    <w:rPr>
      <w:rFonts w:ascii="Arial" w:hAnsi="Arial" w:cs="Arial"/>
      <w:b/>
      <w:bCs/>
      <w:kern w:val="28"/>
      <w:sz w:val="32"/>
      <w:szCs w:val="32"/>
      <w:lang w:val="es-MX"/>
    </w:rPr>
  </w:style>
  <w:style w:type="character" w:customStyle="1" w:styleId="PuestoCar">
    <w:name w:val="Puesto Car"/>
    <w:basedOn w:val="Fuentedeprrafopredeter"/>
    <w:link w:val="Puesto"/>
    <w:rsid w:val="00364D4D"/>
    <w:rPr>
      <w:rFonts w:ascii="Arial" w:eastAsia="Times New Roman" w:hAnsi="Arial" w:cs="Arial"/>
      <w:b/>
      <w:bCs/>
      <w:kern w:val="28"/>
      <w:sz w:val="32"/>
      <w:szCs w:val="32"/>
      <w:lang w:eastAsia="es-ES"/>
    </w:rPr>
  </w:style>
  <w:style w:type="paragraph" w:styleId="Listaconvietas2">
    <w:name w:val="List Bullet 2"/>
    <w:basedOn w:val="Normal"/>
    <w:autoRedefine/>
    <w:rsid w:val="00364D4D"/>
    <w:pPr>
      <w:numPr>
        <w:numId w:val="1"/>
      </w:numPr>
    </w:pPr>
  </w:style>
  <w:style w:type="paragraph" w:styleId="Sangradetextonormal">
    <w:name w:val="Body Text Indent"/>
    <w:basedOn w:val="Normal"/>
    <w:link w:val="SangradetextonormalCar"/>
    <w:rsid w:val="00364D4D"/>
    <w:pPr>
      <w:spacing w:after="120"/>
      <w:ind w:left="360"/>
    </w:pPr>
  </w:style>
  <w:style w:type="character" w:customStyle="1" w:styleId="SangradetextonormalCar">
    <w:name w:val="Sangría de texto normal Car"/>
    <w:basedOn w:val="Fuentedeprrafopredeter"/>
    <w:link w:val="Sangradetextonormal"/>
    <w:rsid w:val="00364D4D"/>
    <w:rPr>
      <w:rFonts w:ascii="Times New Roman" w:eastAsia="Times New Roman" w:hAnsi="Times New Roman" w:cs="Times New Roman"/>
      <w:sz w:val="24"/>
      <w:szCs w:val="24"/>
      <w:lang w:val="es-ES" w:eastAsia="es-ES"/>
    </w:rPr>
  </w:style>
  <w:style w:type="paragraph" w:styleId="Sangranormal">
    <w:name w:val="Normal Indent"/>
    <w:basedOn w:val="Normal"/>
    <w:rsid w:val="00364D4D"/>
    <w:pPr>
      <w:ind w:left="708"/>
    </w:pPr>
  </w:style>
  <w:style w:type="paragraph" w:styleId="Sangra2detindependiente">
    <w:name w:val="Body Text Indent 2"/>
    <w:basedOn w:val="Normal"/>
    <w:link w:val="Sangra2detindependienteCar"/>
    <w:rsid w:val="00364D4D"/>
    <w:pPr>
      <w:spacing w:after="120" w:line="480" w:lineRule="auto"/>
      <w:ind w:left="360"/>
    </w:pPr>
  </w:style>
  <w:style w:type="character" w:customStyle="1" w:styleId="Sangra2detindependienteCar">
    <w:name w:val="Sangría 2 de t. independiente Car"/>
    <w:basedOn w:val="Fuentedeprrafopredeter"/>
    <w:link w:val="Sangra2detindependiente"/>
    <w:rsid w:val="00364D4D"/>
    <w:rPr>
      <w:rFonts w:ascii="Times New Roman" w:eastAsia="Times New Roman" w:hAnsi="Times New Roman" w:cs="Times New Roman"/>
      <w:sz w:val="24"/>
      <w:szCs w:val="24"/>
      <w:lang w:val="es-ES" w:eastAsia="es-ES"/>
    </w:rPr>
  </w:style>
  <w:style w:type="paragraph" w:customStyle="1" w:styleId="ROMANOS">
    <w:name w:val="ROMANOS"/>
    <w:basedOn w:val="Normal"/>
    <w:rsid w:val="00364D4D"/>
    <w:pPr>
      <w:tabs>
        <w:tab w:val="left" w:pos="720"/>
      </w:tabs>
      <w:spacing w:after="101" w:line="216" w:lineRule="exact"/>
      <w:ind w:left="720" w:hanging="432"/>
      <w:jc w:val="both"/>
    </w:pPr>
    <w:rPr>
      <w:rFonts w:ascii="Arial" w:hAnsi="Arial" w:cs="Arial"/>
      <w:sz w:val="18"/>
      <w:szCs w:val="18"/>
      <w:lang w:val="es-MX" w:eastAsia="es-MX"/>
    </w:rPr>
  </w:style>
  <w:style w:type="paragraph" w:customStyle="1" w:styleId="INCISO">
    <w:name w:val="INCISO"/>
    <w:basedOn w:val="Normal"/>
    <w:rsid w:val="00364D4D"/>
    <w:pPr>
      <w:tabs>
        <w:tab w:val="left" w:pos="1080"/>
      </w:tabs>
      <w:spacing w:after="101" w:line="216" w:lineRule="exact"/>
      <w:ind w:left="1080" w:hanging="360"/>
      <w:jc w:val="both"/>
    </w:pPr>
    <w:rPr>
      <w:rFonts w:ascii="Arial" w:hAnsi="Arial" w:cs="Arial"/>
      <w:sz w:val="18"/>
      <w:szCs w:val="18"/>
      <w:lang w:val="es-MX" w:eastAsia="es-MX"/>
    </w:rPr>
  </w:style>
  <w:style w:type="paragraph" w:customStyle="1" w:styleId="Titulo1">
    <w:name w:val="Titulo 1"/>
    <w:basedOn w:val="Normal"/>
    <w:rsid w:val="00364D4D"/>
    <w:pPr>
      <w:pBdr>
        <w:bottom w:val="single" w:sz="12" w:space="1" w:color="auto"/>
      </w:pBdr>
      <w:spacing w:before="120"/>
      <w:jc w:val="both"/>
      <w:outlineLvl w:val="0"/>
    </w:pPr>
    <w:rPr>
      <w:b/>
      <w:sz w:val="18"/>
      <w:szCs w:val="18"/>
      <w:lang w:val="es-MX" w:eastAsia="es-MX"/>
    </w:rPr>
  </w:style>
  <w:style w:type="paragraph" w:customStyle="1" w:styleId="Titulo2">
    <w:name w:val="Titulo 2"/>
    <w:basedOn w:val="Normal"/>
    <w:rsid w:val="00364D4D"/>
    <w:pPr>
      <w:pBdr>
        <w:top w:val="double" w:sz="6" w:space="1" w:color="auto"/>
      </w:pBdr>
      <w:spacing w:after="101"/>
      <w:jc w:val="both"/>
      <w:outlineLvl w:val="1"/>
    </w:pPr>
    <w:rPr>
      <w:rFonts w:ascii="Arial" w:hAnsi="Arial" w:cs="Arial"/>
      <w:sz w:val="18"/>
      <w:szCs w:val="18"/>
      <w:lang w:val="es-MX" w:eastAsia="es-MX"/>
    </w:rPr>
  </w:style>
  <w:style w:type="paragraph" w:customStyle="1" w:styleId="ANOTACION">
    <w:name w:val="ANOTACION"/>
    <w:basedOn w:val="Normal"/>
    <w:rsid w:val="00364D4D"/>
    <w:pPr>
      <w:spacing w:before="101" w:after="101"/>
      <w:jc w:val="center"/>
    </w:pPr>
    <w:rPr>
      <w:b/>
      <w:sz w:val="18"/>
      <w:szCs w:val="18"/>
      <w:lang w:val="es-MX" w:eastAsia="es-MX"/>
    </w:rPr>
  </w:style>
  <w:style w:type="paragraph" w:customStyle="1" w:styleId="Fechas">
    <w:name w:val="Fechas"/>
    <w:basedOn w:val="Normal"/>
    <w:rsid w:val="00364D4D"/>
    <w:pPr>
      <w:pBdr>
        <w:bottom w:val="double" w:sz="6" w:space="1" w:color="auto"/>
      </w:pBdr>
      <w:tabs>
        <w:tab w:val="center" w:pos="4464"/>
        <w:tab w:val="right" w:pos="8582"/>
      </w:tabs>
      <w:ind w:left="288" w:right="288"/>
      <w:jc w:val="both"/>
    </w:pPr>
    <w:rPr>
      <w:sz w:val="18"/>
      <w:szCs w:val="18"/>
      <w:lang w:val="es-MX" w:eastAsia="es-MX"/>
    </w:rPr>
  </w:style>
  <w:style w:type="paragraph" w:customStyle="1" w:styleId="CABEZA">
    <w:name w:val="CABEZA"/>
    <w:basedOn w:val="Normal"/>
    <w:rsid w:val="00364D4D"/>
    <w:pPr>
      <w:jc w:val="center"/>
    </w:pPr>
    <w:rPr>
      <w:b/>
      <w:sz w:val="28"/>
      <w:szCs w:val="28"/>
      <w:lang w:val="es-MX" w:eastAsia="es-MX"/>
    </w:rPr>
  </w:style>
  <w:style w:type="paragraph" w:customStyle="1" w:styleId="Textonormal">
    <w:name w:val="Texto normal"/>
    <w:basedOn w:val="Normal"/>
    <w:rsid w:val="00364D4D"/>
    <w:pPr>
      <w:jc w:val="both"/>
    </w:pPr>
    <w:rPr>
      <w:rFonts w:ascii="Arial" w:hAnsi="Arial" w:cs="Arial"/>
      <w:sz w:val="22"/>
      <w:szCs w:val="20"/>
      <w:lang w:val="es-ES_tradnl"/>
    </w:rPr>
  </w:style>
  <w:style w:type="paragraph" w:customStyle="1" w:styleId="Textoindependiente31">
    <w:name w:val="Texto independiente 31"/>
    <w:basedOn w:val="Normal"/>
    <w:rsid w:val="00364D4D"/>
    <w:pPr>
      <w:spacing w:after="480"/>
      <w:jc w:val="both"/>
    </w:pPr>
    <w:rPr>
      <w:rFonts w:ascii="Arial" w:hAnsi="Arial" w:cs="Arial"/>
      <w:color w:val="000000"/>
      <w:sz w:val="22"/>
      <w:szCs w:val="20"/>
      <w:lang w:val="es-ES_tradnl"/>
    </w:rPr>
  </w:style>
  <w:style w:type="paragraph" w:styleId="Prrafodelista">
    <w:name w:val="List Paragraph"/>
    <w:basedOn w:val="Normal"/>
    <w:qFormat/>
    <w:rsid w:val="00364D4D"/>
    <w:pPr>
      <w:ind w:left="708"/>
    </w:pPr>
    <w:rPr>
      <w:rFonts w:ascii="Century Gothic" w:hAnsi="Century Gothic" w:cs="Century Gothic"/>
      <w:szCs w:val="20"/>
      <w:lang w:val="es-ES_tradnl"/>
    </w:rPr>
  </w:style>
  <w:style w:type="paragraph" w:customStyle="1" w:styleId="SUBIN">
    <w:name w:val="SUBIN"/>
    <w:basedOn w:val="Texto0"/>
    <w:rsid w:val="00364D4D"/>
    <w:pPr>
      <w:ind w:left="1987" w:hanging="720"/>
    </w:pPr>
    <w:rPr>
      <w:szCs w:val="20"/>
      <w:lang w:eastAsia="es-ES"/>
    </w:rPr>
  </w:style>
  <w:style w:type="paragraph" w:customStyle="1" w:styleId="tt">
    <w:name w:val="tt"/>
    <w:basedOn w:val="Texto0"/>
    <w:rsid w:val="00364D4D"/>
    <w:pPr>
      <w:tabs>
        <w:tab w:val="left" w:pos="1320"/>
        <w:tab w:val="left" w:pos="1629"/>
      </w:tabs>
      <w:ind w:left="1647" w:hanging="1440"/>
    </w:pPr>
    <w:rPr>
      <w:szCs w:val="20"/>
      <w:lang w:val="es-ES_tradnl" w:eastAsia="es-ES"/>
    </w:rPr>
  </w:style>
  <w:style w:type="paragraph" w:customStyle="1" w:styleId="sum">
    <w:name w:val="sum"/>
    <w:basedOn w:val="Texto0"/>
    <w:rsid w:val="00364D4D"/>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rsid w:val="00364D4D"/>
    <w:pPr>
      <w:spacing w:after="101" w:line="216" w:lineRule="exact"/>
      <w:jc w:val="both"/>
    </w:pPr>
    <w:rPr>
      <w:rFonts w:ascii="Arial" w:hAnsi="Arial"/>
      <w:sz w:val="18"/>
      <w:szCs w:val="20"/>
      <w:lang w:val="es-MX" w:eastAsia="es-MX"/>
    </w:rPr>
  </w:style>
  <w:style w:type="paragraph" w:customStyle="1" w:styleId="xl28">
    <w:name w:val="xl28"/>
    <w:basedOn w:val="Normal"/>
    <w:rsid w:val="00364D4D"/>
    <w:pPr>
      <w:shd w:val="clear" w:color="auto" w:fill="FFFFFF"/>
      <w:spacing w:before="100" w:beforeAutospacing="1" w:after="100" w:afterAutospacing="1"/>
      <w:jc w:val="right"/>
    </w:pPr>
    <w:rPr>
      <w:rFonts w:ascii="Arial" w:eastAsia="Arial Unicode MS" w:hAnsi="Arial" w:cs="Arial"/>
    </w:rPr>
  </w:style>
  <w:style w:type="paragraph" w:customStyle="1" w:styleId="Sumario">
    <w:name w:val="Sumario"/>
    <w:basedOn w:val="Normal"/>
    <w:rsid w:val="00364D4D"/>
    <w:pPr>
      <w:tabs>
        <w:tab w:val="right" w:leader="dot" w:pos="8107"/>
        <w:tab w:val="right" w:pos="8640"/>
      </w:tabs>
      <w:spacing w:line="260" w:lineRule="exact"/>
      <w:ind w:left="274" w:right="749"/>
      <w:jc w:val="both"/>
    </w:pPr>
    <w:rPr>
      <w:rFonts w:ascii="Arial" w:hAnsi="Arial"/>
      <w:sz w:val="18"/>
      <w:szCs w:val="18"/>
    </w:rPr>
  </w:style>
  <w:style w:type="numbering" w:customStyle="1" w:styleId="Sinlista5">
    <w:name w:val="Sin lista5"/>
    <w:next w:val="Sinlista"/>
    <w:semiHidden/>
    <w:unhideWhenUsed/>
    <w:rsid w:val="00364D4D"/>
  </w:style>
  <w:style w:type="numbering" w:customStyle="1" w:styleId="Sinlista12">
    <w:name w:val="Sin lista12"/>
    <w:next w:val="Sinlista"/>
    <w:semiHidden/>
    <w:rsid w:val="00364D4D"/>
  </w:style>
  <w:style w:type="paragraph" w:customStyle="1" w:styleId="bodytext5">
    <w:name w:val="bodytext5"/>
    <w:basedOn w:val="Normal"/>
    <w:rsid w:val="00364D4D"/>
    <w:pPr>
      <w:spacing w:before="100" w:beforeAutospacing="1" w:after="100" w:afterAutospacing="1" w:line="225" w:lineRule="atLeast"/>
    </w:pPr>
    <w:rPr>
      <w:sz w:val="17"/>
      <w:szCs w:val="17"/>
    </w:rPr>
  </w:style>
  <w:style w:type="paragraph" w:customStyle="1" w:styleId="Estilo1">
    <w:name w:val="Estilo1"/>
    <w:basedOn w:val="Normal"/>
    <w:autoRedefine/>
    <w:rsid w:val="00364D4D"/>
    <w:pPr>
      <w:autoSpaceDE w:val="0"/>
      <w:autoSpaceDN w:val="0"/>
      <w:adjustRightInd w:val="0"/>
      <w:ind w:left="180" w:hanging="180"/>
      <w:jc w:val="both"/>
    </w:pPr>
    <w:rPr>
      <w:sz w:val="20"/>
    </w:rPr>
  </w:style>
  <w:style w:type="paragraph" w:customStyle="1" w:styleId="Style15">
    <w:name w:val="Style 15"/>
    <w:basedOn w:val="Normal"/>
    <w:rsid w:val="00364D4D"/>
    <w:pPr>
      <w:widowControl w:val="0"/>
      <w:autoSpaceDE w:val="0"/>
      <w:autoSpaceDN w:val="0"/>
      <w:ind w:right="720"/>
      <w:jc w:val="right"/>
    </w:pPr>
    <w:rPr>
      <w:lang w:val="en-US"/>
    </w:rPr>
  </w:style>
  <w:style w:type="paragraph" w:customStyle="1" w:styleId="Style2">
    <w:name w:val="Style 2"/>
    <w:basedOn w:val="Normal"/>
    <w:rsid w:val="00364D4D"/>
    <w:pPr>
      <w:widowControl w:val="0"/>
      <w:autoSpaceDE w:val="0"/>
      <w:autoSpaceDN w:val="0"/>
      <w:spacing w:line="276" w:lineRule="atLeast"/>
      <w:jc w:val="both"/>
    </w:pPr>
    <w:rPr>
      <w:lang w:val="en-US"/>
    </w:rPr>
  </w:style>
  <w:style w:type="paragraph" w:customStyle="1" w:styleId="Style1">
    <w:name w:val="Style 1"/>
    <w:basedOn w:val="Normal"/>
    <w:rsid w:val="00364D4D"/>
    <w:pPr>
      <w:widowControl w:val="0"/>
      <w:autoSpaceDE w:val="0"/>
      <w:autoSpaceDN w:val="0"/>
      <w:ind w:right="468"/>
      <w:jc w:val="right"/>
    </w:pPr>
    <w:rPr>
      <w:lang w:val="en-US"/>
    </w:rPr>
  </w:style>
  <w:style w:type="paragraph" w:customStyle="1" w:styleId="Style20">
    <w:name w:val="Style 20"/>
    <w:basedOn w:val="Normal"/>
    <w:rsid w:val="00364D4D"/>
    <w:pPr>
      <w:widowControl w:val="0"/>
      <w:autoSpaceDE w:val="0"/>
      <w:autoSpaceDN w:val="0"/>
      <w:spacing w:line="276" w:lineRule="atLeast"/>
      <w:ind w:left="72"/>
      <w:jc w:val="both"/>
    </w:pPr>
    <w:rPr>
      <w:lang w:val="en-US"/>
    </w:rPr>
  </w:style>
  <w:style w:type="paragraph" w:customStyle="1" w:styleId="Style17">
    <w:name w:val="Style 17"/>
    <w:basedOn w:val="Normal"/>
    <w:rsid w:val="00364D4D"/>
    <w:pPr>
      <w:widowControl w:val="0"/>
      <w:autoSpaceDE w:val="0"/>
      <w:autoSpaceDN w:val="0"/>
      <w:ind w:right="252"/>
      <w:jc w:val="right"/>
    </w:pPr>
    <w:rPr>
      <w:lang w:val="en-US"/>
    </w:rPr>
  </w:style>
  <w:style w:type="paragraph" w:customStyle="1" w:styleId="Style19">
    <w:name w:val="Style 19"/>
    <w:basedOn w:val="Normal"/>
    <w:rsid w:val="00364D4D"/>
    <w:pPr>
      <w:widowControl w:val="0"/>
      <w:autoSpaceDE w:val="0"/>
      <w:autoSpaceDN w:val="0"/>
      <w:spacing w:before="36"/>
      <w:ind w:right="180"/>
      <w:jc w:val="right"/>
    </w:pPr>
    <w:rPr>
      <w:lang w:val="en-US"/>
    </w:rPr>
  </w:style>
  <w:style w:type="paragraph" w:customStyle="1" w:styleId="Style5">
    <w:name w:val="Style 5"/>
    <w:basedOn w:val="Normal"/>
    <w:rsid w:val="00364D4D"/>
    <w:pPr>
      <w:widowControl w:val="0"/>
      <w:autoSpaceDE w:val="0"/>
      <w:autoSpaceDN w:val="0"/>
      <w:adjustRightInd w:val="0"/>
    </w:pPr>
    <w:rPr>
      <w:lang w:val="en-US"/>
    </w:rPr>
  </w:style>
  <w:style w:type="paragraph" w:customStyle="1" w:styleId="Pa15">
    <w:name w:val="Pa15"/>
    <w:basedOn w:val="Normal"/>
    <w:next w:val="Normal"/>
    <w:rsid w:val="00364D4D"/>
    <w:pPr>
      <w:autoSpaceDE w:val="0"/>
      <w:autoSpaceDN w:val="0"/>
      <w:adjustRightInd w:val="0"/>
      <w:spacing w:line="221" w:lineRule="atLeast"/>
    </w:pPr>
    <w:rPr>
      <w:rFonts w:ascii="Frutiger LT Std 45 Light" w:hAnsi="Frutiger LT Std 45 Light"/>
    </w:rPr>
  </w:style>
  <w:style w:type="character" w:customStyle="1" w:styleId="A22">
    <w:name w:val="A22"/>
    <w:rsid w:val="00364D4D"/>
    <w:rPr>
      <w:rFonts w:cs="Frutiger LT Std 45 Light"/>
      <w:b/>
      <w:bCs/>
      <w:color w:val="000000"/>
      <w:sz w:val="30"/>
      <w:szCs w:val="30"/>
    </w:rPr>
  </w:style>
  <w:style w:type="paragraph" w:customStyle="1" w:styleId="Style14">
    <w:name w:val="Style 14"/>
    <w:basedOn w:val="Normal"/>
    <w:rsid w:val="00364D4D"/>
    <w:pPr>
      <w:widowControl w:val="0"/>
      <w:autoSpaceDE w:val="0"/>
      <w:autoSpaceDN w:val="0"/>
      <w:ind w:right="144"/>
      <w:jc w:val="right"/>
    </w:pPr>
    <w:rPr>
      <w:lang w:val="en-US"/>
    </w:rPr>
  </w:style>
  <w:style w:type="paragraph" w:customStyle="1" w:styleId="Style13">
    <w:name w:val="Style 13"/>
    <w:basedOn w:val="Normal"/>
    <w:rsid w:val="00364D4D"/>
    <w:pPr>
      <w:widowControl w:val="0"/>
      <w:autoSpaceDE w:val="0"/>
      <w:autoSpaceDN w:val="0"/>
      <w:spacing w:before="36"/>
      <w:ind w:right="684"/>
      <w:jc w:val="right"/>
    </w:pPr>
    <w:rPr>
      <w:lang w:val="en-US"/>
    </w:rPr>
  </w:style>
  <w:style w:type="paragraph" w:customStyle="1" w:styleId="Style16">
    <w:name w:val="Style 16"/>
    <w:basedOn w:val="Normal"/>
    <w:rsid w:val="00364D4D"/>
    <w:pPr>
      <w:widowControl w:val="0"/>
      <w:autoSpaceDE w:val="0"/>
      <w:autoSpaceDN w:val="0"/>
      <w:spacing w:line="108" w:lineRule="exact"/>
      <w:ind w:right="216"/>
      <w:jc w:val="right"/>
    </w:pPr>
    <w:rPr>
      <w:lang w:val="en-US"/>
    </w:rPr>
  </w:style>
  <w:style w:type="character" w:customStyle="1" w:styleId="FootnoteTextChar">
    <w:name w:val="Footnote Text Char"/>
    <w:semiHidden/>
    <w:locked/>
    <w:rsid w:val="00364D4D"/>
    <w:rPr>
      <w:rFonts w:cs="Times New Roman"/>
      <w:lang w:val="x-none" w:eastAsia="es-ES"/>
    </w:rPr>
  </w:style>
  <w:style w:type="paragraph" w:customStyle="1" w:styleId="Pa13">
    <w:name w:val="Pa13"/>
    <w:basedOn w:val="Normal"/>
    <w:next w:val="Normal"/>
    <w:rsid w:val="00364D4D"/>
    <w:pPr>
      <w:autoSpaceDE w:val="0"/>
      <w:autoSpaceDN w:val="0"/>
      <w:adjustRightInd w:val="0"/>
      <w:spacing w:line="181" w:lineRule="atLeast"/>
    </w:pPr>
    <w:rPr>
      <w:rFonts w:ascii="Frutiger LT Std 45 Light" w:hAnsi="Frutiger LT Std 45 Light"/>
    </w:rPr>
  </w:style>
  <w:style w:type="paragraph" w:customStyle="1" w:styleId="Style11">
    <w:name w:val="Style 11"/>
    <w:basedOn w:val="Normal"/>
    <w:rsid w:val="00364D4D"/>
    <w:pPr>
      <w:widowControl w:val="0"/>
      <w:autoSpaceDE w:val="0"/>
      <w:autoSpaceDN w:val="0"/>
      <w:spacing w:line="276" w:lineRule="atLeast"/>
      <w:ind w:firstLine="216"/>
      <w:jc w:val="both"/>
    </w:pPr>
    <w:rPr>
      <w:lang w:val="en-US"/>
    </w:rPr>
  </w:style>
  <w:style w:type="paragraph" w:customStyle="1" w:styleId="Style18">
    <w:name w:val="Style 18"/>
    <w:basedOn w:val="Normal"/>
    <w:rsid w:val="00364D4D"/>
    <w:pPr>
      <w:widowControl w:val="0"/>
      <w:autoSpaceDE w:val="0"/>
      <w:autoSpaceDN w:val="0"/>
      <w:spacing w:before="36"/>
      <w:ind w:right="648"/>
      <w:jc w:val="right"/>
    </w:pPr>
    <w:rPr>
      <w:lang w:val="en-US"/>
    </w:rPr>
  </w:style>
  <w:style w:type="paragraph" w:styleId="Textonotaalfinal">
    <w:name w:val="endnote text"/>
    <w:basedOn w:val="Normal"/>
    <w:link w:val="TextonotaalfinalCar"/>
    <w:rsid w:val="00364D4D"/>
    <w:rPr>
      <w:sz w:val="20"/>
      <w:szCs w:val="20"/>
    </w:rPr>
  </w:style>
  <w:style w:type="character" w:customStyle="1" w:styleId="TextonotaalfinalCar">
    <w:name w:val="Texto nota al final Car"/>
    <w:basedOn w:val="Fuentedeprrafopredeter"/>
    <w:link w:val="Textonotaalfinal"/>
    <w:rsid w:val="00364D4D"/>
    <w:rPr>
      <w:rFonts w:ascii="Times New Roman" w:eastAsia="Times New Roman" w:hAnsi="Times New Roman" w:cs="Times New Roman"/>
      <w:sz w:val="20"/>
      <w:szCs w:val="20"/>
      <w:lang w:val="es-ES" w:eastAsia="es-ES"/>
    </w:rPr>
  </w:style>
  <w:style w:type="character" w:styleId="Refdenotaalfinal">
    <w:name w:val="endnote reference"/>
    <w:rsid w:val="00364D4D"/>
    <w:rPr>
      <w:vertAlign w:val="superscript"/>
    </w:rPr>
  </w:style>
  <w:style w:type="character" w:styleId="Refdecomentario">
    <w:name w:val="annotation reference"/>
    <w:semiHidden/>
    <w:rsid w:val="00364D4D"/>
    <w:rPr>
      <w:sz w:val="16"/>
      <w:szCs w:val="16"/>
    </w:rPr>
  </w:style>
  <w:style w:type="paragraph" w:styleId="Textocomentario">
    <w:name w:val="annotation text"/>
    <w:basedOn w:val="Normal"/>
    <w:link w:val="TextocomentarioCar"/>
    <w:semiHidden/>
    <w:rsid w:val="00364D4D"/>
    <w:rPr>
      <w:sz w:val="20"/>
      <w:szCs w:val="20"/>
      <w:lang w:val="es-MX"/>
    </w:rPr>
  </w:style>
  <w:style w:type="character" w:customStyle="1" w:styleId="TextocomentarioCar">
    <w:name w:val="Texto comentario Car"/>
    <w:basedOn w:val="Fuentedeprrafopredeter"/>
    <w:link w:val="Textocomentario"/>
    <w:semiHidden/>
    <w:rsid w:val="00364D4D"/>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semiHidden/>
    <w:rsid w:val="00364D4D"/>
    <w:rPr>
      <w:b/>
      <w:bCs/>
    </w:rPr>
  </w:style>
  <w:style w:type="character" w:customStyle="1" w:styleId="AsuntodelcomentarioCar">
    <w:name w:val="Asunto del comentario Car"/>
    <w:basedOn w:val="TextocomentarioCar"/>
    <w:link w:val="Asuntodelcomentario"/>
    <w:semiHidden/>
    <w:rsid w:val="00364D4D"/>
    <w:rPr>
      <w:rFonts w:ascii="Times New Roman" w:eastAsia="Times New Roman" w:hAnsi="Times New Roman" w:cs="Times New Roman"/>
      <w:b/>
      <w:bCs/>
      <w:sz w:val="20"/>
      <w:szCs w:val="20"/>
      <w:lang w:eastAsia="es-ES"/>
    </w:rPr>
  </w:style>
  <w:style w:type="character" w:customStyle="1" w:styleId="longtext">
    <w:name w:val="long_text"/>
    <w:basedOn w:val="Fuentedeprrafopredeter"/>
    <w:rsid w:val="00364D4D"/>
  </w:style>
  <w:style w:type="paragraph" w:customStyle="1" w:styleId="Style3">
    <w:name w:val="Style 3"/>
    <w:basedOn w:val="Normal"/>
    <w:rsid w:val="00364D4D"/>
    <w:pPr>
      <w:widowControl w:val="0"/>
      <w:autoSpaceDE w:val="0"/>
      <w:autoSpaceDN w:val="0"/>
      <w:adjustRightInd w:val="0"/>
    </w:pPr>
    <w:rPr>
      <w:lang w:val="en-US"/>
    </w:rPr>
  </w:style>
  <w:style w:type="paragraph" w:customStyle="1" w:styleId="Style4">
    <w:name w:val="Style 4"/>
    <w:basedOn w:val="Normal"/>
    <w:rsid w:val="00364D4D"/>
    <w:pPr>
      <w:widowControl w:val="0"/>
      <w:autoSpaceDE w:val="0"/>
      <w:autoSpaceDN w:val="0"/>
      <w:jc w:val="both"/>
    </w:pPr>
    <w:rPr>
      <w:lang w:val="en-US"/>
    </w:rPr>
  </w:style>
  <w:style w:type="table" w:customStyle="1" w:styleId="Tablaconcuadrcula559">
    <w:name w:val="Tabla con cuadrícula559"/>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
    <w:name w:val="Tabla con cuadrícula634"/>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uentedeprrafopredeter"/>
    <w:rsid w:val="00364D4D"/>
  </w:style>
  <w:style w:type="paragraph" w:customStyle="1" w:styleId="Sinespaciado1">
    <w:name w:val="Sin espaciado1"/>
    <w:aliases w:val="No Spacing,Fuente de cuadros y gráficas,Sin espaciado11"/>
    <w:uiPriority w:val="1"/>
    <w:qFormat/>
    <w:rsid w:val="00364D4D"/>
    <w:pPr>
      <w:spacing w:after="0" w:line="240" w:lineRule="auto"/>
      <w:ind w:left="573" w:hanging="573"/>
    </w:pPr>
    <w:rPr>
      <w:rFonts w:ascii="Times New Roman" w:eastAsia="Times New Roman" w:hAnsi="Times New Roman" w:cs="Times New Roman"/>
      <w:sz w:val="20"/>
      <w:szCs w:val="24"/>
      <w:lang w:val="es-ES" w:eastAsia="es-ES"/>
    </w:rPr>
  </w:style>
  <w:style w:type="character" w:customStyle="1" w:styleId="nfasissutil1">
    <w:name w:val="Énfasis sutil1"/>
    <w:aliases w:val="Subtle Emphasis,referencias notas al pie,Énfasis sutil11"/>
    <w:uiPriority w:val="19"/>
    <w:qFormat/>
    <w:rsid w:val="00364D4D"/>
    <w:rPr>
      <w:i/>
      <w:iCs/>
      <w:color w:val="808080"/>
    </w:rPr>
  </w:style>
  <w:style w:type="table" w:customStyle="1" w:styleId="Tablaconcuadrcula9">
    <w:name w:val="Tabla con cuadrícula9"/>
    <w:basedOn w:val="Tablanormal"/>
    <w:next w:val="Tablaconcuadrcula"/>
    <w:rsid w:val="00364D4D"/>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Principiodelformulario">
    <w:name w:val="HTML Top of Form"/>
    <w:basedOn w:val="Normal"/>
    <w:next w:val="Normal"/>
    <w:link w:val="z-PrincipiodelformularioCar"/>
    <w:hidden/>
    <w:rsid w:val="00364D4D"/>
    <w:pPr>
      <w:pBdr>
        <w:bottom w:val="single" w:sz="6" w:space="1" w:color="auto"/>
      </w:pBdr>
      <w:jc w:val="center"/>
    </w:pPr>
    <w:rPr>
      <w:rFonts w:ascii="Arial" w:hAnsi="Arial" w:cs="Arial"/>
      <w:vanish/>
      <w:sz w:val="16"/>
      <w:szCs w:val="16"/>
    </w:rPr>
  </w:style>
  <w:style w:type="character" w:customStyle="1" w:styleId="z-PrincipiodelformularioCar">
    <w:name w:val="z-Principio del formulario Car"/>
    <w:basedOn w:val="Fuentedeprrafopredeter"/>
    <w:link w:val="z-Principiodelformulario"/>
    <w:rsid w:val="00364D4D"/>
    <w:rPr>
      <w:rFonts w:ascii="Arial" w:eastAsia="Times New Roman" w:hAnsi="Arial" w:cs="Arial"/>
      <w:vanish/>
      <w:sz w:val="16"/>
      <w:szCs w:val="16"/>
      <w:lang w:val="es-ES" w:eastAsia="es-ES"/>
    </w:rPr>
  </w:style>
  <w:style w:type="paragraph" w:styleId="z-Finaldelformulario">
    <w:name w:val="HTML Bottom of Form"/>
    <w:basedOn w:val="Normal"/>
    <w:next w:val="Normal"/>
    <w:link w:val="z-FinaldelformularioCar"/>
    <w:hidden/>
    <w:rsid w:val="00364D4D"/>
    <w:pPr>
      <w:pBdr>
        <w:top w:val="single" w:sz="6" w:space="1" w:color="auto"/>
      </w:pBdr>
      <w:jc w:val="center"/>
    </w:pPr>
    <w:rPr>
      <w:rFonts w:ascii="Arial" w:hAnsi="Arial" w:cs="Arial"/>
      <w:vanish/>
      <w:sz w:val="16"/>
      <w:szCs w:val="16"/>
    </w:rPr>
  </w:style>
  <w:style w:type="character" w:customStyle="1" w:styleId="z-FinaldelformularioCar">
    <w:name w:val="z-Final del formulario Car"/>
    <w:basedOn w:val="Fuentedeprrafopredeter"/>
    <w:link w:val="z-Finaldelformulario"/>
    <w:rsid w:val="00364D4D"/>
    <w:rPr>
      <w:rFonts w:ascii="Arial" w:eastAsia="Times New Roman" w:hAnsi="Arial" w:cs="Arial"/>
      <w:vanish/>
      <w:sz w:val="16"/>
      <w:szCs w:val="16"/>
      <w:lang w:val="es-ES" w:eastAsia="es-ES"/>
    </w:rPr>
  </w:style>
  <w:style w:type="character" w:customStyle="1" w:styleId="hpsatn">
    <w:name w:val="hps atn"/>
    <w:basedOn w:val="Fuentedeprrafopredeter"/>
    <w:rsid w:val="00364D4D"/>
  </w:style>
  <w:style w:type="character" w:customStyle="1" w:styleId="atn">
    <w:name w:val="atn"/>
    <w:basedOn w:val="Fuentedeprrafopredeter"/>
    <w:rsid w:val="00364D4D"/>
  </w:style>
  <w:style w:type="paragraph" w:customStyle="1" w:styleId="Style21">
    <w:name w:val="Style 21"/>
    <w:basedOn w:val="Normal"/>
    <w:uiPriority w:val="99"/>
    <w:rsid w:val="00364D4D"/>
    <w:pPr>
      <w:widowControl w:val="0"/>
      <w:autoSpaceDE w:val="0"/>
      <w:autoSpaceDN w:val="0"/>
      <w:adjustRightInd w:val="0"/>
    </w:pPr>
    <w:rPr>
      <w:lang w:val="en-US"/>
    </w:rPr>
  </w:style>
  <w:style w:type="character" w:customStyle="1" w:styleId="CharacterStyle16">
    <w:name w:val="Character Style 16"/>
    <w:rsid w:val="00364D4D"/>
    <w:rPr>
      <w:sz w:val="20"/>
    </w:rPr>
  </w:style>
  <w:style w:type="character" w:customStyle="1" w:styleId="CharacterStyle18">
    <w:name w:val="Character Style 18"/>
    <w:rsid w:val="00364D4D"/>
    <w:rPr>
      <w:sz w:val="20"/>
      <w:szCs w:val="20"/>
    </w:rPr>
  </w:style>
  <w:style w:type="paragraph" w:customStyle="1" w:styleId="Style12">
    <w:name w:val="Style 12"/>
    <w:basedOn w:val="Normal"/>
    <w:uiPriority w:val="99"/>
    <w:rsid w:val="00364D4D"/>
    <w:pPr>
      <w:widowControl w:val="0"/>
      <w:autoSpaceDE w:val="0"/>
      <w:autoSpaceDN w:val="0"/>
      <w:adjustRightInd w:val="0"/>
    </w:pPr>
    <w:rPr>
      <w:sz w:val="20"/>
      <w:szCs w:val="20"/>
      <w:lang w:val="en-US" w:eastAsia="es-MX"/>
    </w:rPr>
  </w:style>
  <w:style w:type="character" w:customStyle="1" w:styleId="CharacterStyle23">
    <w:name w:val="Character Style 23"/>
    <w:uiPriority w:val="99"/>
    <w:rsid w:val="00364D4D"/>
    <w:rPr>
      <w:sz w:val="20"/>
      <w:szCs w:val="20"/>
    </w:rPr>
  </w:style>
  <w:style w:type="character" w:customStyle="1" w:styleId="CharacterStyle20">
    <w:name w:val="Character Style 20"/>
    <w:rsid w:val="00364D4D"/>
    <w:rPr>
      <w:sz w:val="20"/>
    </w:rPr>
  </w:style>
  <w:style w:type="character" w:customStyle="1" w:styleId="CharacterStyle1">
    <w:name w:val="Character Style 1"/>
    <w:rsid w:val="00364D4D"/>
    <w:rPr>
      <w:sz w:val="20"/>
    </w:rPr>
  </w:style>
  <w:style w:type="character" w:customStyle="1" w:styleId="CharacterStyle3">
    <w:name w:val="Character Style 3"/>
    <w:rsid w:val="00364D4D"/>
    <w:rPr>
      <w:rFonts w:ascii="Tahoma" w:hAnsi="Tahoma"/>
      <w:sz w:val="17"/>
    </w:rPr>
  </w:style>
  <w:style w:type="paragraph" w:customStyle="1" w:styleId="7pt">
    <w:name w:val="7 pt"/>
    <w:basedOn w:val="Normal"/>
    <w:rsid w:val="00364D4D"/>
    <w:rPr>
      <w:sz w:val="14"/>
      <w:szCs w:val="14"/>
      <w:lang w:val="es-MX"/>
    </w:rPr>
  </w:style>
  <w:style w:type="character" w:customStyle="1" w:styleId="CharacterStyle2">
    <w:name w:val="Character Style 2"/>
    <w:rsid w:val="00364D4D"/>
    <w:rPr>
      <w:sz w:val="20"/>
      <w:szCs w:val="20"/>
    </w:rPr>
  </w:style>
  <w:style w:type="paragraph" w:customStyle="1" w:styleId="Style6">
    <w:name w:val="Style 6"/>
    <w:basedOn w:val="Normal"/>
    <w:rsid w:val="00364D4D"/>
    <w:pPr>
      <w:widowControl w:val="0"/>
      <w:autoSpaceDE w:val="0"/>
      <w:autoSpaceDN w:val="0"/>
      <w:ind w:right="108"/>
      <w:jc w:val="right"/>
    </w:pPr>
    <w:rPr>
      <w:rFonts w:ascii="Arial" w:hAnsi="Arial" w:cs="Arial"/>
      <w:sz w:val="6"/>
      <w:szCs w:val="6"/>
      <w:lang w:val="en-US"/>
    </w:rPr>
  </w:style>
  <w:style w:type="character" w:customStyle="1" w:styleId="CharacterStyle8">
    <w:name w:val="Character Style 8"/>
    <w:rsid w:val="00364D4D"/>
    <w:rPr>
      <w:rFonts w:ascii="Arial" w:hAnsi="Arial"/>
      <w:color w:val="000000"/>
      <w:sz w:val="6"/>
      <w:shd w:val="clear" w:color="auto" w:fill="F9E5DD"/>
    </w:rPr>
  </w:style>
  <w:style w:type="table" w:styleId="Listaoscura-nfasis6">
    <w:name w:val="Dark List Accent 6"/>
    <w:basedOn w:val="Tablanormal"/>
    <w:uiPriority w:val="70"/>
    <w:rsid w:val="00364D4D"/>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character" w:customStyle="1" w:styleId="CarCar31">
    <w:name w:val="Car Car31"/>
    <w:rsid w:val="00364D4D"/>
    <w:rPr>
      <w:b/>
      <w:bCs/>
      <w:sz w:val="16"/>
      <w:szCs w:val="24"/>
      <w:lang w:eastAsia="es-ES"/>
    </w:rPr>
  </w:style>
  <w:style w:type="paragraph" w:customStyle="1" w:styleId="Textoindependiente32">
    <w:name w:val="Texto independiente 32"/>
    <w:basedOn w:val="Normal"/>
    <w:rsid w:val="00364D4D"/>
    <w:pPr>
      <w:spacing w:after="480"/>
      <w:jc w:val="both"/>
    </w:pPr>
    <w:rPr>
      <w:rFonts w:ascii="Arial" w:hAnsi="Arial" w:cs="Arial"/>
      <w:color w:val="000000"/>
      <w:sz w:val="22"/>
      <w:szCs w:val="20"/>
      <w:lang w:val="es-ES_tradnl"/>
    </w:rPr>
  </w:style>
  <w:style w:type="character" w:customStyle="1" w:styleId="CharacterStyle11">
    <w:name w:val="Character Style 11"/>
    <w:uiPriority w:val="99"/>
    <w:rsid w:val="00364D4D"/>
    <w:rPr>
      <w:rFonts w:ascii="Bookman Old Style" w:hAnsi="Bookman Old Style" w:cs="Bookman Old Style"/>
      <w:color w:val="000000"/>
      <w:sz w:val="6"/>
      <w:szCs w:val="6"/>
      <w:shd w:val="clear" w:color="auto" w:fill="FFFCDF"/>
    </w:rPr>
  </w:style>
  <w:style w:type="character" w:styleId="Textodelmarcadordeposicin">
    <w:name w:val="Placeholder Text"/>
    <w:basedOn w:val="Fuentedeprrafopredeter"/>
    <w:uiPriority w:val="99"/>
    <w:semiHidden/>
    <w:rsid w:val="00364D4D"/>
    <w:rPr>
      <w:color w:val="808080"/>
    </w:rPr>
  </w:style>
  <w:style w:type="paragraph" w:customStyle="1" w:styleId="Textoindependiente33">
    <w:name w:val="Texto independiente 33"/>
    <w:basedOn w:val="Normal"/>
    <w:rsid w:val="00364D4D"/>
    <w:pPr>
      <w:spacing w:after="480"/>
      <w:jc w:val="both"/>
    </w:pPr>
    <w:rPr>
      <w:rFonts w:ascii="Arial" w:hAnsi="Arial" w:cs="Arial"/>
      <w:color w:val="000000"/>
      <w:sz w:val="22"/>
      <w:szCs w:val="20"/>
      <w:lang w:val="es-ES_tradnl"/>
    </w:rPr>
  </w:style>
  <w:style w:type="paragraph" w:customStyle="1" w:styleId="Style8">
    <w:name w:val="Style 8"/>
    <w:basedOn w:val="Normal"/>
    <w:uiPriority w:val="99"/>
    <w:rsid w:val="00364D4D"/>
    <w:pPr>
      <w:widowControl w:val="0"/>
      <w:autoSpaceDE w:val="0"/>
      <w:autoSpaceDN w:val="0"/>
      <w:ind w:right="288"/>
      <w:jc w:val="right"/>
    </w:pPr>
    <w:rPr>
      <w:rFonts w:ascii="Arial" w:eastAsiaTheme="minorEastAsia" w:hAnsi="Arial" w:cs="Arial"/>
      <w:b/>
      <w:bCs/>
      <w:sz w:val="6"/>
      <w:szCs w:val="6"/>
      <w:lang w:val="en-US" w:eastAsia="es-MX"/>
    </w:rPr>
  </w:style>
  <w:style w:type="character" w:customStyle="1" w:styleId="CharacterStyle4">
    <w:name w:val="Character Style 4"/>
    <w:uiPriority w:val="99"/>
    <w:rsid w:val="00364D4D"/>
    <w:rPr>
      <w:rFonts w:ascii="Arial" w:hAnsi="Arial" w:cs="Arial"/>
      <w:b/>
      <w:bCs/>
      <w:sz w:val="6"/>
      <w:szCs w:val="6"/>
    </w:rPr>
  </w:style>
  <w:style w:type="character" w:customStyle="1" w:styleId="CharacterStyle5">
    <w:name w:val="Character Style 5"/>
    <w:uiPriority w:val="99"/>
    <w:rsid w:val="00364D4D"/>
    <w:rPr>
      <w:rFonts w:ascii="Arial" w:hAnsi="Arial" w:cs="Arial"/>
      <w:color w:val="000000"/>
      <w:sz w:val="6"/>
      <w:szCs w:val="6"/>
      <w:shd w:val="clear" w:color="auto" w:fill="F9E2D1"/>
    </w:rPr>
  </w:style>
  <w:style w:type="paragraph" w:customStyle="1" w:styleId="Textoindependiente34">
    <w:name w:val="Texto independiente 34"/>
    <w:basedOn w:val="Normal"/>
    <w:rsid w:val="00364D4D"/>
    <w:pPr>
      <w:spacing w:after="480"/>
      <w:jc w:val="both"/>
    </w:pPr>
    <w:rPr>
      <w:rFonts w:ascii="Arial" w:hAnsi="Arial" w:cs="Arial"/>
      <w:color w:val="000000"/>
      <w:sz w:val="22"/>
      <w:szCs w:val="20"/>
      <w:lang w:val="es-ES_tradnl"/>
    </w:rPr>
  </w:style>
  <w:style w:type="paragraph" w:customStyle="1" w:styleId="xl77">
    <w:name w:val="xl77"/>
    <w:basedOn w:val="Normal"/>
    <w:rsid w:val="00364D4D"/>
    <w:pPr>
      <w:shd w:val="clear" w:color="auto" w:fill="FFFFFF"/>
      <w:spacing w:before="100" w:beforeAutospacing="1" w:after="100" w:afterAutospacing="1"/>
      <w:jc w:val="center"/>
      <w:textAlignment w:val="center"/>
    </w:pPr>
    <w:rPr>
      <w:b/>
      <w:bCs/>
      <w:sz w:val="18"/>
      <w:szCs w:val="18"/>
    </w:rPr>
  </w:style>
  <w:style w:type="paragraph" w:customStyle="1" w:styleId="xl78">
    <w:name w:val="xl78"/>
    <w:basedOn w:val="Normal"/>
    <w:rsid w:val="00364D4D"/>
    <w:pPr>
      <w:shd w:val="clear" w:color="auto" w:fill="FFFFFF"/>
      <w:spacing w:before="100" w:beforeAutospacing="1" w:after="100" w:afterAutospacing="1"/>
    </w:pPr>
    <w:rPr>
      <w:sz w:val="18"/>
      <w:szCs w:val="18"/>
    </w:rPr>
  </w:style>
  <w:style w:type="paragraph" w:customStyle="1" w:styleId="xl79">
    <w:name w:val="xl79"/>
    <w:basedOn w:val="Normal"/>
    <w:rsid w:val="00364D4D"/>
    <w:pPr>
      <w:shd w:val="clear" w:color="auto" w:fill="FFFFFF"/>
      <w:spacing w:before="100" w:beforeAutospacing="1" w:after="100" w:afterAutospacing="1"/>
    </w:pPr>
    <w:rPr>
      <w:sz w:val="18"/>
      <w:szCs w:val="18"/>
    </w:rPr>
  </w:style>
  <w:style w:type="paragraph" w:customStyle="1" w:styleId="xl80">
    <w:name w:val="xl80"/>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81">
    <w:name w:val="xl81"/>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2">
    <w:name w:val="xl82"/>
    <w:basedOn w:val="Normal"/>
    <w:rsid w:val="00364D4D"/>
    <w:pPr>
      <w:shd w:val="clear" w:color="auto" w:fill="FFFFFF"/>
      <w:spacing w:before="100" w:beforeAutospacing="1" w:after="100" w:afterAutospacing="1"/>
      <w:ind w:firstLineChars="100" w:firstLine="100"/>
      <w:jc w:val="right"/>
      <w:textAlignment w:val="center"/>
    </w:pPr>
    <w:rPr>
      <w:sz w:val="18"/>
      <w:szCs w:val="18"/>
    </w:rPr>
  </w:style>
  <w:style w:type="paragraph" w:customStyle="1" w:styleId="xl83">
    <w:name w:val="xl83"/>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4">
    <w:name w:val="xl84"/>
    <w:basedOn w:val="Normal"/>
    <w:rsid w:val="00364D4D"/>
    <w:pPr>
      <w:shd w:val="clear" w:color="auto" w:fill="FFFFFF"/>
      <w:spacing w:before="100" w:beforeAutospacing="1" w:after="100" w:afterAutospacing="1"/>
      <w:ind w:firstLineChars="100" w:firstLine="100"/>
      <w:jc w:val="right"/>
      <w:textAlignment w:val="center"/>
    </w:pPr>
    <w:rPr>
      <w:sz w:val="18"/>
      <w:szCs w:val="18"/>
    </w:rPr>
  </w:style>
  <w:style w:type="paragraph" w:customStyle="1" w:styleId="xl85">
    <w:name w:val="xl85"/>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6">
    <w:name w:val="xl86"/>
    <w:basedOn w:val="Normal"/>
    <w:rsid w:val="00364D4D"/>
    <w:pPr>
      <w:shd w:val="clear" w:color="auto" w:fill="FFFFFF"/>
      <w:spacing w:before="100" w:beforeAutospacing="1" w:after="100" w:afterAutospacing="1"/>
      <w:jc w:val="center"/>
      <w:textAlignment w:val="center"/>
    </w:pPr>
    <w:rPr>
      <w:i/>
      <w:iCs/>
      <w:sz w:val="18"/>
      <w:szCs w:val="18"/>
    </w:rPr>
  </w:style>
  <w:style w:type="paragraph" w:customStyle="1" w:styleId="xl87">
    <w:name w:val="xl87"/>
    <w:basedOn w:val="Normal"/>
    <w:rsid w:val="00364D4D"/>
    <w:pP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88">
    <w:name w:val="xl88"/>
    <w:basedOn w:val="Normal"/>
    <w:rsid w:val="00364D4D"/>
    <w:pPr>
      <w:shd w:val="clear" w:color="auto" w:fill="FFFFFF"/>
      <w:spacing w:before="100" w:beforeAutospacing="1" w:after="100" w:afterAutospacing="1"/>
      <w:jc w:val="right"/>
      <w:textAlignment w:val="center"/>
    </w:pPr>
    <w:rPr>
      <w:sz w:val="18"/>
      <w:szCs w:val="18"/>
    </w:rPr>
  </w:style>
  <w:style w:type="paragraph" w:customStyle="1" w:styleId="xl89">
    <w:name w:val="xl89"/>
    <w:basedOn w:val="Normal"/>
    <w:rsid w:val="00364D4D"/>
    <w:pPr>
      <w:shd w:val="clear" w:color="auto" w:fill="FFFFFF"/>
      <w:spacing w:before="100" w:beforeAutospacing="1" w:after="100" w:afterAutospacing="1"/>
      <w:jc w:val="right"/>
      <w:textAlignment w:val="center"/>
    </w:pPr>
    <w:rPr>
      <w:color w:val="000000"/>
      <w:sz w:val="18"/>
      <w:szCs w:val="18"/>
    </w:rPr>
  </w:style>
  <w:style w:type="paragraph" w:customStyle="1" w:styleId="xl90">
    <w:name w:val="xl90"/>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1">
    <w:name w:val="xl91"/>
    <w:basedOn w:val="Normal"/>
    <w:rsid w:val="00364D4D"/>
    <w:pPr>
      <w:pBdr>
        <w:top w:val="single" w:sz="4" w:space="0" w:color="auto"/>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2">
    <w:name w:val="xl92"/>
    <w:basedOn w:val="Normal"/>
    <w:rsid w:val="00364D4D"/>
    <w:pPr>
      <w:pBdr>
        <w:top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3">
    <w:name w:val="xl93"/>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4">
    <w:name w:val="xl94"/>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5">
    <w:name w:val="xl95"/>
    <w:basedOn w:val="Normal"/>
    <w:rsid w:val="00364D4D"/>
    <w:pPr>
      <w:pBdr>
        <w:lef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96">
    <w:name w:val="xl96"/>
    <w:basedOn w:val="Normal"/>
    <w:rsid w:val="00364D4D"/>
    <w:pPr>
      <w:pBdr>
        <w:righ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97">
    <w:name w:val="xl97"/>
    <w:basedOn w:val="Normal"/>
    <w:rsid w:val="00364D4D"/>
    <w:pPr>
      <w:pBdr>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8">
    <w:name w:val="xl98"/>
    <w:basedOn w:val="Normal"/>
    <w:rsid w:val="00364D4D"/>
    <w:pPr>
      <w:pBdr>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9">
    <w:name w:val="xl99"/>
    <w:basedOn w:val="Normal"/>
    <w:rsid w:val="00364D4D"/>
    <w:pPr>
      <w:pBdr>
        <w:left w:val="single" w:sz="4" w:space="0" w:color="auto"/>
      </w:pBdr>
      <w:shd w:val="clear" w:color="auto" w:fill="FFFFFF"/>
      <w:spacing w:before="100" w:beforeAutospacing="1" w:after="100" w:afterAutospacing="1"/>
      <w:jc w:val="center"/>
      <w:textAlignment w:val="center"/>
    </w:pPr>
    <w:rPr>
      <w:i/>
      <w:iCs/>
      <w:sz w:val="18"/>
      <w:szCs w:val="18"/>
    </w:rPr>
  </w:style>
  <w:style w:type="paragraph" w:customStyle="1" w:styleId="xl100">
    <w:name w:val="xl100"/>
    <w:basedOn w:val="Normal"/>
    <w:rsid w:val="00364D4D"/>
    <w:pPr>
      <w:pBdr>
        <w:right w:val="single" w:sz="4" w:space="0" w:color="auto"/>
      </w:pBdr>
      <w:shd w:val="clear" w:color="auto" w:fill="FFFFFF"/>
      <w:spacing w:before="100" w:beforeAutospacing="1" w:after="100" w:afterAutospacing="1"/>
      <w:jc w:val="center"/>
      <w:textAlignment w:val="center"/>
    </w:pPr>
    <w:rPr>
      <w:i/>
      <w:iCs/>
      <w:sz w:val="18"/>
      <w:szCs w:val="18"/>
    </w:rPr>
  </w:style>
  <w:style w:type="paragraph" w:customStyle="1" w:styleId="xl101">
    <w:name w:val="xl101"/>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02">
    <w:name w:val="xl102"/>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03">
    <w:name w:val="xl103"/>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04">
    <w:name w:val="xl104"/>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05">
    <w:name w:val="xl105"/>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6">
    <w:name w:val="xl106"/>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7">
    <w:name w:val="xl107"/>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8">
    <w:name w:val="xl108"/>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9">
    <w:name w:val="xl109"/>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110">
    <w:name w:val="xl110"/>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111">
    <w:name w:val="xl111"/>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2">
    <w:name w:val="xl112"/>
    <w:basedOn w:val="Normal"/>
    <w:rsid w:val="00364D4D"/>
    <w:pPr>
      <w:pBdr>
        <w:left w:val="single" w:sz="4" w:space="0" w:color="auto"/>
      </w:pBdr>
      <w:shd w:val="clear" w:color="auto" w:fill="FFFFFF"/>
      <w:spacing w:before="100" w:beforeAutospacing="1" w:after="100" w:afterAutospacing="1"/>
      <w:jc w:val="right"/>
      <w:textAlignment w:val="center"/>
    </w:pPr>
    <w:rPr>
      <w:color w:val="000000"/>
      <w:sz w:val="18"/>
      <w:szCs w:val="18"/>
    </w:rPr>
  </w:style>
  <w:style w:type="paragraph" w:customStyle="1" w:styleId="xl113">
    <w:name w:val="xl113"/>
    <w:basedOn w:val="Normal"/>
    <w:rsid w:val="00364D4D"/>
    <w:pPr>
      <w:pBdr>
        <w:right w:val="single" w:sz="4" w:space="0" w:color="auto"/>
      </w:pBdr>
      <w:shd w:val="clear" w:color="auto" w:fill="FFFFFF"/>
      <w:spacing w:before="100" w:beforeAutospacing="1" w:after="100" w:afterAutospacing="1"/>
      <w:jc w:val="right"/>
      <w:textAlignment w:val="center"/>
    </w:pPr>
    <w:rPr>
      <w:color w:val="000000"/>
      <w:sz w:val="18"/>
      <w:szCs w:val="18"/>
    </w:rPr>
  </w:style>
  <w:style w:type="paragraph" w:customStyle="1" w:styleId="xl114">
    <w:name w:val="xl114"/>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5">
    <w:name w:val="xl115"/>
    <w:basedOn w:val="Normal"/>
    <w:rsid w:val="00364D4D"/>
    <w:pPr>
      <w:pBdr>
        <w:lef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116">
    <w:name w:val="xl116"/>
    <w:basedOn w:val="Normal"/>
    <w:rsid w:val="00364D4D"/>
    <w:pPr>
      <w:pBdr>
        <w:righ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117">
    <w:name w:val="xl117"/>
    <w:basedOn w:val="Normal"/>
    <w:rsid w:val="00364D4D"/>
    <w:pPr>
      <w:pBdr>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8">
    <w:name w:val="xl118"/>
    <w:basedOn w:val="Normal"/>
    <w:rsid w:val="00364D4D"/>
    <w:pPr>
      <w:pBdr>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9">
    <w:name w:val="xl119"/>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20">
    <w:name w:val="xl120"/>
    <w:basedOn w:val="Normal"/>
    <w:rsid w:val="00364D4D"/>
    <w:pPr>
      <w:pBdr>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21">
    <w:name w:val="xl121"/>
    <w:basedOn w:val="Normal"/>
    <w:rsid w:val="00364D4D"/>
    <w:pPr>
      <w:pBdr>
        <w:top w:val="single" w:sz="4" w:space="0" w:color="auto"/>
        <w:lef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2">
    <w:name w:val="xl122"/>
    <w:basedOn w:val="Normal"/>
    <w:rsid w:val="00364D4D"/>
    <w:pPr>
      <w:pBdr>
        <w:top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3">
    <w:name w:val="xl123"/>
    <w:basedOn w:val="Normal"/>
    <w:rsid w:val="00364D4D"/>
    <w:pPr>
      <w:pBdr>
        <w:top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4">
    <w:name w:val="xl124"/>
    <w:basedOn w:val="Normal"/>
    <w:rsid w:val="00364D4D"/>
    <w:pPr>
      <w:pBdr>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5">
    <w:name w:val="xl125"/>
    <w:basedOn w:val="Normal"/>
    <w:rsid w:val="00364D4D"/>
    <w:pPr>
      <w:pBdr>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6">
    <w:name w:val="xl126"/>
    <w:basedOn w:val="Normal"/>
    <w:rsid w:val="00364D4D"/>
    <w:pPr>
      <w:pBdr>
        <w:left w:val="single" w:sz="4" w:space="0" w:color="auto"/>
        <w:right w:val="single" w:sz="4" w:space="0" w:color="auto"/>
      </w:pBdr>
      <w:shd w:val="clear" w:color="auto" w:fill="FFFFFF"/>
      <w:spacing w:before="100" w:beforeAutospacing="1" w:after="100" w:afterAutospacing="1"/>
      <w:textAlignment w:val="center"/>
    </w:pPr>
    <w:rPr>
      <w:sz w:val="18"/>
      <w:szCs w:val="18"/>
    </w:rPr>
  </w:style>
  <w:style w:type="paragraph" w:customStyle="1" w:styleId="xl127">
    <w:name w:val="xl127"/>
    <w:basedOn w:val="Normal"/>
    <w:rsid w:val="00364D4D"/>
    <w:pPr>
      <w:pBdr>
        <w:left w:val="single" w:sz="4" w:space="0" w:color="auto"/>
        <w:right w:val="single" w:sz="4" w:space="0" w:color="auto"/>
      </w:pBdr>
      <w:shd w:val="clear" w:color="auto" w:fill="FFFFFF"/>
      <w:spacing w:before="100" w:beforeAutospacing="1" w:after="100" w:afterAutospacing="1"/>
      <w:textAlignment w:val="center"/>
    </w:pPr>
    <w:rPr>
      <w:i/>
      <w:iCs/>
      <w:sz w:val="18"/>
      <w:szCs w:val="18"/>
    </w:rPr>
  </w:style>
  <w:style w:type="paragraph" w:customStyle="1" w:styleId="xl128">
    <w:name w:val="xl128"/>
    <w:basedOn w:val="Normal"/>
    <w:rsid w:val="00364D4D"/>
    <w:pPr>
      <w:pBdr>
        <w:top w:val="single" w:sz="4" w:space="0" w:color="auto"/>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29">
    <w:name w:val="xl129"/>
    <w:basedOn w:val="Normal"/>
    <w:rsid w:val="00364D4D"/>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30">
    <w:name w:val="xl130"/>
    <w:basedOn w:val="Normal"/>
    <w:rsid w:val="00364D4D"/>
    <w:pPr>
      <w:pBdr>
        <w:top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31">
    <w:name w:val="xl131"/>
    <w:basedOn w:val="Normal"/>
    <w:rsid w:val="00364D4D"/>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32">
    <w:name w:val="xl132"/>
    <w:basedOn w:val="Normal"/>
    <w:rsid w:val="00364D4D"/>
    <w:pPr>
      <w:pBdr>
        <w:left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33">
    <w:name w:val="xl133"/>
    <w:basedOn w:val="Normal"/>
    <w:rsid w:val="00364D4D"/>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Pa0">
    <w:name w:val="Pa0"/>
    <w:basedOn w:val="Default"/>
    <w:next w:val="Default"/>
    <w:uiPriority w:val="99"/>
    <w:rsid w:val="00364D4D"/>
    <w:pPr>
      <w:spacing w:line="241" w:lineRule="atLeast"/>
    </w:pPr>
    <w:rPr>
      <w:rFonts w:ascii="Frutiger LT Std 45 Light" w:hAnsi="Frutiger LT Std 45 Light" w:cs="Times New Roman"/>
      <w:color w:val="auto"/>
      <w:lang w:val="es-MX" w:eastAsia="es-MX"/>
    </w:rPr>
  </w:style>
  <w:style w:type="character" w:customStyle="1" w:styleId="A23">
    <w:name w:val="A23"/>
    <w:uiPriority w:val="99"/>
    <w:rsid w:val="00364D4D"/>
    <w:rPr>
      <w:rFonts w:cs="Frutiger LT Std 45 Light"/>
      <w:color w:val="000000"/>
      <w:sz w:val="12"/>
      <w:szCs w:val="12"/>
    </w:rPr>
  </w:style>
  <w:style w:type="paragraph" w:customStyle="1" w:styleId="Style10">
    <w:name w:val="Style 10"/>
    <w:basedOn w:val="Normal"/>
    <w:uiPriority w:val="99"/>
    <w:rsid w:val="00364D4D"/>
    <w:pPr>
      <w:widowControl w:val="0"/>
      <w:autoSpaceDE w:val="0"/>
      <w:autoSpaceDN w:val="0"/>
      <w:ind w:left="36"/>
    </w:pPr>
    <w:rPr>
      <w:rFonts w:ascii="Arial" w:eastAsiaTheme="minorEastAsia" w:hAnsi="Arial" w:cs="Arial"/>
      <w:color w:val="000000"/>
      <w:sz w:val="6"/>
      <w:szCs w:val="6"/>
      <w:shd w:val="clear" w:color="auto" w:fill="F9E2D1"/>
      <w:lang w:val="en-US" w:eastAsia="es-MX"/>
    </w:rPr>
  </w:style>
  <w:style w:type="character" w:customStyle="1" w:styleId="CharacterStyle12">
    <w:name w:val="Character Style 12"/>
    <w:rsid w:val="00364D4D"/>
    <w:rPr>
      <w:sz w:val="20"/>
      <w:szCs w:val="20"/>
    </w:rPr>
  </w:style>
  <w:style w:type="paragraph" w:styleId="Revisin">
    <w:name w:val="Revision"/>
    <w:hidden/>
    <w:uiPriority w:val="99"/>
    <w:semiHidden/>
    <w:rsid w:val="00364D4D"/>
    <w:pPr>
      <w:spacing w:after="0" w:line="240" w:lineRule="auto"/>
    </w:pPr>
    <w:rPr>
      <w:rFonts w:ascii="Times New Roman" w:eastAsia="Times New Roman" w:hAnsi="Times New Roman" w:cs="Times New Roman"/>
      <w:sz w:val="24"/>
      <w:szCs w:val="24"/>
      <w:lang w:val="es-ES" w:eastAsia="es-ES"/>
    </w:rPr>
  </w:style>
  <w:style w:type="paragraph" w:styleId="Subttulo">
    <w:name w:val="Subtitle"/>
    <w:basedOn w:val="Normal"/>
    <w:next w:val="Normal"/>
    <w:link w:val="SubttuloCar"/>
    <w:uiPriority w:val="99"/>
    <w:qFormat/>
    <w:rsid w:val="00364D4D"/>
    <w:pPr>
      <w:numPr>
        <w:ilvl w:val="1"/>
      </w:numPr>
    </w:pPr>
    <w:rPr>
      <w:rFonts w:ascii="Cambria" w:hAnsi="Cambria"/>
      <w:i/>
      <w:iCs/>
      <w:color w:val="4F81BD"/>
      <w:spacing w:val="15"/>
    </w:rPr>
  </w:style>
  <w:style w:type="character" w:customStyle="1" w:styleId="SubttuloCar">
    <w:name w:val="Subtítulo Car"/>
    <w:basedOn w:val="Fuentedeprrafopredeter"/>
    <w:link w:val="Subttulo"/>
    <w:uiPriority w:val="99"/>
    <w:rsid w:val="00364D4D"/>
    <w:rPr>
      <w:rFonts w:ascii="Cambria" w:eastAsia="Times New Roman" w:hAnsi="Cambria" w:cs="Times New Roman"/>
      <w:i/>
      <w:iCs/>
      <w:color w:val="4F81BD"/>
      <w:spacing w:val="15"/>
      <w:sz w:val="24"/>
      <w:szCs w:val="24"/>
      <w:lang w:val="es-ES" w:eastAsia="es-ES"/>
    </w:rPr>
  </w:style>
  <w:style w:type="numbering" w:customStyle="1" w:styleId="Sinlista6">
    <w:name w:val="Sin lista6"/>
    <w:next w:val="Sinlista"/>
    <w:uiPriority w:val="99"/>
    <w:semiHidden/>
    <w:unhideWhenUsed/>
    <w:rsid w:val="00364D4D"/>
  </w:style>
  <w:style w:type="table" w:customStyle="1" w:styleId="Tablaconcuadrcula100">
    <w:name w:val="Tabla con cuadrícula10"/>
    <w:basedOn w:val="Tablanormal"/>
    <w:next w:val="Tablaconcuadrcula"/>
    <w:uiPriority w:val="59"/>
    <w:rsid w:val="00364D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9">
    <w:name w:val="Character Style 19"/>
    <w:uiPriority w:val="99"/>
    <w:rsid w:val="00364D4D"/>
    <w:rPr>
      <w:sz w:val="20"/>
      <w:szCs w:val="20"/>
    </w:rPr>
  </w:style>
  <w:style w:type="character" w:customStyle="1" w:styleId="CharacterStyle17">
    <w:name w:val="Character Style 17"/>
    <w:uiPriority w:val="99"/>
    <w:rsid w:val="00364D4D"/>
    <w:rPr>
      <w:rFonts w:ascii="Arial" w:hAnsi="Arial"/>
      <w:sz w:val="24"/>
    </w:rPr>
  </w:style>
  <w:style w:type="paragraph" w:customStyle="1" w:styleId="bodytext">
    <w:name w:val="bodytext"/>
    <w:basedOn w:val="Normal"/>
    <w:rsid w:val="00364D4D"/>
    <w:pPr>
      <w:spacing w:before="240" w:after="240"/>
    </w:pPr>
    <w:rPr>
      <w:lang w:val="es-MX" w:eastAsia="es-MX"/>
    </w:rPr>
  </w:style>
  <w:style w:type="paragraph" w:customStyle="1" w:styleId="Style28">
    <w:name w:val="Style 28"/>
    <w:basedOn w:val="Normal"/>
    <w:uiPriority w:val="99"/>
    <w:rsid w:val="00364D4D"/>
    <w:pPr>
      <w:widowControl w:val="0"/>
      <w:autoSpaceDE w:val="0"/>
      <w:autoSpaceDN w:val="0"/>
      <w:spacing w:line="264" w:lineRule="auto"/>
      <w:ind w:right="144"/>
      <w:jc w:val="both"/>
    </w:pPr>
    <w:rPr>
      <w:rFonts w:eastAsiaTheme="minorEastAsia"/>
      <w:sz w:val="20"/>
      <w:szCs w:val="20"/>
      <w:lang w:val="en-US" w:eastAsia="es-MX"/>
    </w:rPr>
  </w:style>
  <w:style w:type="character" w:customStyle="1" w:styleId="CharacterStyle9">
    <w:name w:val="Character Style 9"/>
    <w:uiPriority w:val="99"/>
    <w:rsid w:val="00364D4D"/>
    <w:rPr>
      <w:sz w:val="20"/>
      <w:szCs w:val="20"/>
    </w:rPr>
  </w:style>
  <w:style w:type="paragraph" w:customStyle="1" w:styleId="Textoindependiente311">
    <w:name w:val="Texto independiente 311"/>
    <w:basedOn w:val="Normal"/>
    <w:rsid w:val="00364D4D"/>
    <w:pPr>
      <w:spacing w:after="480"/>
      <w:jc w:val="both"/>
    </w:pPr>
    <w:rPr>
      <w:rFonts w:ascii="Arial" w:hAnsi="Arial" w:cs="Arial"/>
      <w:color w:val="000000"/>
      <w:sz w:val="22"/>
      <w:szCs w:val="20"/>
      <w:lang w:val="es-ES_tradnl"/>
    </w:rPr>
  </w:style>
  <w:style w:type="character" w:customStyle="1" w:styleId="CharacterStyle6">
    <w:name w:val="Character Style 6"/>
    <w:uiPriority w:val="99"/>
    <w:rsid w:val="00364D4D"/>
    <w:rPr>
      <w:rFonts w:ascii="Bookman Old Style" w:hAnsi="Bookman Old Style" w:cs="Bookman Old Style"/>
      <w:sz w:val="6"/>
      <w:szCs w:val="6"/>
    </w:rPr>
  </w:style>
  <w:style w:type="paragraph" w:customStyle="1" w:styleId="Textoindependiente35">
    <w:name w:val="Texto independiente 35"/>
    <w:basedOn w:val="Normal"/>
    <w:rsid w:val="00364D4D"/>
    <w:pPr>
      <w:spacing w:after="480"/>
      <w:jc w:val="both"/>
    </w:pPr>
    <w:rPr>
      <w:rFonts w:ascii="Arial" w:hAnsi="Arial" w:cs="Arial"/>
      <w:color w:val="000000"/>
      <w:sz w:val="22"/>
      <w:szCs w:val="20"/>
      <w:lang w:val="es-ES_tradnl"/>
    </w:rPr>
  </w:style>
  <w:style w:type="character" w:styleId="CitaHTML">
    <w:name w:val="HTML Cite"/>
    <w:uiPriority w:val="99"/>
    <w:unhideWhenUsed/>
    <w:rsid w:val="00364D4D"/>
    <w:rPr>
      <w:i/>
      <w:iCs/>
    </w:rPr>
  </w:style>
  <w:style w:type="table" w:customStyle="1" w:styleId="Tablaconcuadrcula12">
    <w:name w:val="Tabla con cuadrícula1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364D4D"/>
  </w:style>
  <w:style w:type="numbering" w:customStyle="1" w:styleId="Sinlista13">
    <w:name w:val="Sin lista13"/>
    <w:next w:val="Sinlista"/>
    <w:uiPriority w:val="99"/>
    <w:semiHidden/>
    <w:unhideWhenUsed/>
    <w:rsid w:val="00364D4D"/>
  </w:style>
  <w:style w:type="table" w:customStyle="1" w:styleId="Tablaconcuadrcula13">
    <w:name w:val="Tabla con cuadrícula13"/>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
    <w:name w:val="Tabla con cuadrícula160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
    <w:name w:val="Tabla con cuadrícula23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semiHidden/>
    <w:unhideWhenUsed/>
    <w:rsid w:val="00364D4D"/>
  </w:style>
  <w:style w:type="table" w:customStyle="1" w:styleId="Tablaconcuadrcula31">
    <w:name w:val="Tabla con cuadrícula3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
    <w:name w:val="Sin lista21"/>
    <w:next w:val="Sinlista"/>
    <w:semiHidden/>
    <w:unhideWhenUsed/>
    <w:rsid w:val="00364D4D"/>
  </w:style>
  <w:style w:type="table" w:customStyle="1" w:styleId="Tablaconcuadrcula41">
    <w:name w:val="Tabla con cuadrícula4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1">
    <w:name w:val="Tabla básica 11"/>
    <w:basedOn w:val="Tablanormal"/>
    <w:next w:val="Tablabsica1"/>
    <w:rsid w:val="00364D4D"/>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364D4D"/>
  </w:style>
  <w:style w:type="table" w:customStyle="1" w:styleId="Tablaconcuadrcula111">
    <w:name w:val="Tabla con cuadrícula1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 11"/>
    <w:basedOn w:val="Tablanormal"/>
    <w:next w:val="Tablaconcuadrcula10"/>
    <w:rsid w:val="00364D4D"/>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
    <w:name w:val="Tabla con cuadrícula6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
    <w:name w:val="Sin lista31"/>
    <w:next w:val="Sinlista"/>
    <w:semiHidden/>
    <w:unhideWhenUsed/>
    <w:rsid w:val="00364D4D"/>
  </w:style>
  <w:style w:type="table" w:customStyle="1" w:styleId="Tablaconcuadrcula71">
    <w:name w:val="Tabla con cuadrícula7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
    <w:name w:val="Tabla con cuadrícula182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364D4D"/>
  </w:style>
  <w:style w:type="table" w:customStyle="1" w:styleId="Tablaconcuadrcula19011">
    <w:name w:val="Tabla con cuadrícula1901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unhideWhenUsed/>
    <w:rsid w:val="00364D4D"/>
  </w:style>
  <w:style w:type="numbering" w:customStyle="1" w:styleId="Sinlista121">
    <w:name w:val="Sin lista121"/>
    <w:next w:val="Sinlista"/>
    <w:semiHidden/>
    <w:rsid w:val="00364D4D"/>
  </w:style>
  <w:style w:type="table" w:customStyle="1" w:styleId="Tablaconcuadrcula5591">
    <w:name w:val="Tabla con cuadrícula559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1">
    <w:name w:val="Tabla con cuadrícula634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364D4D"/>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
    <w:name w:val="Lista oscura - Énfasis 61"/>
    <w:basedOn w:val="Tablanormal"/>
    <w:next w:val="Listaoscura-nfasis6"/>
    <w:uiPriority w:val="70"/>
    <w:rsid w:val="00364D4D"/>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1">
    <w:name w:val="Sin lista61"/>
    <w:next w:val="Sinlista"/>
    <w:uiPriority w:val="99"/>
    <w:semiHidden/>
    <w:unhideWhenUsed/>
    <w:rsid w:val="00364D4D"/>
  </w:style>
  <w:style w:type="table" w:customStyle="1" w:styleId="Tablaconcuadrcula101">
    <w:name w:val="Tabla con cuadrícula101"/>
    <w:basedOn w:val="Tablanormal"/>
    <w:next w:val="Tablaconcuadrcula"/>
    <w:uiPriority w:val="59"/>
    <w:rsid w:val="00364D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364D4D"/>
    <w:pPr>
      <w:spacing w:after="0" w:line="240" w:lineRule="auto"/>
    </w:pPr>
    <w:rPr>
      <w:rFonts w:ascii="Times New Roman" w:eastAsia="SimSu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7D22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59"/>
    <w:rsid w:val="007D229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3F24A1"/>
  </w:style>
  <w:style w:type="table" w:customStyle="1" w:styleId="Tablaconcuadrcula18">
    <w:name w:val="Tabla con cuadrícula18"/>
    <w:basedOn w:val="Tablanormal"/>
    <w:next w:val="Tablaconcuadrcula"/>
    <w:uiPriority w:val="59"/>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2">
    <w:name w:val="Tabla con cuadrícula232"/>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semiHidden/>
    <w:unhideWhenUsed/>
    <w:rsid w:val="003F24A1"/>
  </w:style>
  <w:style w:type="table" w:customStyle="1" w:styleId="Tablaconcuadrcula32">
    <w:name w:val="Tabla con cuadrícula32"/>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2">
    <w:name w:val="Sin lista22"/>
    <w:next w:val="Sinlista"/>
    <w:semiHidden/>
    <w:unhideWhenUsed/>
    <w:rsid w:val="003F24A1"/>
  </w:style>
  <w:style w:type="table" w:customStyle="1" w:styleId="Tablaconcuadrcula42">
    <w:name w:val="Tabla con cuadrícula42"/>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2">
    <w:name w:val="Tabla básica 12"/>
    <w:basedOn w:val="Tablanormal"/>
    <w:next w:val="Tablabsica1"/>
    <w:rsid w:val="003F24A1"/>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2">
    <w:name w:val="Sin lista112"/>
    <w:next w:val="Sinlista"/>
    <w:semiHidden/>
    <w:rsid w:val="003F24A1"/>
  </w:style>
  <w:style w:type="table" w:customStyle="1" w:styleId="Tablaconcuadrcula112">
    <w:name w:val="Tabla con cuadrícula11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
    <w:name w:val="Tabla con cuadrícula 12"/>
    <w:basedOn w:val="Tablanormal"/>
    <w:next w:val="Tablaconcuadrcula10"/>
    <w:rsid w:val="003F24A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2">
    <w:name w:val="Tabla con cuadrícula6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semiHidden/>
    <w:unhideWhenUsed/>
    <w:rsid w:val="003F24A1"/>
  </w:style>
  <w:style w:type="table" w:customStyle="1" w:styleId="Tablaconcuadrcula72">
    <w:name w:val="Tabla con cuadrícula72"/>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2">
    <w:name w:val="Tabla con cuadrícula182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3F24A1"/>
  </w:style>
  <w:style w:type="table" w:customStyle="1" w:styleId="Tablaconcuadrcula19012">
    <w:name w:val="Tabla con cuadrícula19012"/>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unhideWhenUsed/>
    <w:rsid w:val="003F24A1"/>
  </w:style>
  <w:style w:type="numbering" w:customStyle="1" w:styleId="Sinlista122">
    <w:name w:val="Sin lista122"/>
    <w:next w:val="Sinlista"/>
    <w:semiHidden/>
    <w:rsid w:val="003F24A1"/>
  </w:style>
  <w:style w:type="table" w:customStyle="1" w:styleId="Tablaconcuadrcula5592">
    <w:name w:val="Tabla con cuadrícula559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2">
    <w:name w:val="Tabla con cuadrícula634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next w:val="Tablaconcuadrcula"/>
    <w:rsid w:val="003F24A1"/>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2">
    <w:name w:val="Lista oscura - Énfasis 62"/>
    <w:basedOn w:val="Tablanormal"/>
    <w:next w:val="Listaoscura-nfasis6"/>
    <w:uiPriority w:val="70"/>
    <w:rsid w:val="003F24A1"/>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2">
    <w:name w:val="Sin lista62"/>
    <w:next w:val="Sinlista"/>
    <w:uiPriority w:val="99"/>
    <w:semiHidden/>
    <w:unhideWhenUsed/>
    <w:rsid w:val="003F24A1"/>
  </w:style>
  <w:style w:type="table" w:customStyle="1" w:styleId="Tablaconcuadrcula102">
    <w:name w:val="Tabla con cuadrícula102"/>
    <w:basedOn w:val="Tablanormal"/>
    <w:next w:val="Tablaconcuadrcula"/>
    <w:uiPriority w:val="59"/>
    <w:rsid w:val="003F24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
    <w:name w:val="Sin lista71"/>
    <w:next w:val="Sinlista"/>
    <w:uiPriority w:val="99"/>
    <w:semiHidden/>
    <w:unhideWhenUsed/>
    <w:rsid w:val="003F24A1"/>
  </w:style>
  <w:style w:type="numbering" w:customStyle="1" w:styleId="Sinlista131">
    <w:name w:val="Sin lista131"/>
    <w:next w:val="Sinlista"/>
    <w:uiPriority w:val="99"/>
    <w:semiHidden/>
    <w:unhideWhenUsed/>
    <w:rsid w:val="003F24A1"/>
  </w:style>
  <w:style w:type="table" w:customStyle="1" w:styleId="Tablaconcuadrcula131">
    <w:name w:val="Tabla con cuadrícula13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rsid w:val="003F24A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3F24A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2">
    <w:name w:val="Sin lista1112"/>
    <w:next w:val="Sinlista"/>
    <w:semiHidden/>
    <w:unhideWhenUsed/>
    <w:rsid w:val="003F24A1"/>
  </w:style>
  <w:style w:type="table" w:customStyle="1" w:styleId="Tablaconcuadrcula311">
    <w:name w:val="Tabla con cuadrícula31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1">
    <w:name w:val="Sin lista211"/>
    <w:next w:val="Sinlista"/>
    <w:semiHidden/>
    <w:unhideWhenUsed/>
    <w:rsid w:val="003F24A1"/>
  </w:style>
  <w:style w:type="table" w:customStyle="1" w:styleId="Tablaconcuadrcula411">
    <w:name w:val="Tabla con cuadrícula41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11">
    <w:name w:val="Tabla básica 111"/>
    <w:basedOn w:val="Tablanormal"/>
    <w:next w:val="Tablabsica1"/>
    <w:rsid w:val="003F24A1"/>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
    <w:name w:val="Sin lista11111"/>
    <w:next w:val="Sinlista"/>
    <w:semiHidden/>
    <w:rsid w:val="003F24A1"/>
  </w:style>
  <w:style w:type="table" w:customStyle="1" w:styleId="Tablaconcuadrcula1111">
    <w:name w:val="Tabla con cuadrícula11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3F24A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1">
    <w:name w:val="Tabla con cuadrícula6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3F24A1"/>
  </w:style>
  <w:style w:type="table" w:customStyle="1" w:styleId="Tablaconcuadrcula711">
    <w:name w:val="Tabla con cuadrícula711"/>
    <w:basedOn w:val="Tablanormal"/>
    <w:next w:val="Tablaconcuadrcula"/>
    <w:rsid w:val="003F24A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
    <w:name w:val="Tabla con cuadrícula182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3F24A1"/>
  </w:style>
  <w:style w:type="table" w:customStyle="1" w:styleId="Tablaconcuadrcula190111">
    <w:name w:val="Tabla con cuadrícula190111"/>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next w:val="Tablaconcuadrcula"/>
    <w:rsid w:val="003F24A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
    <w:name w:val="Sin lista511"/>
    <w:next w:val="Sinlista"/>
    <w:semiHidden/>
    <w:unhideWhenUsed/>
    <w:rsid w:val="003F24A1"/>
  </w:style>
  <w:style w:type="numbering" w:customStyle="1" w:styleId="Sinlista1211">
    <w:name w:val="Sin lista1211"/>
    <w:next w:val="Sinlista"/>
    <w:semiHidden/>
    <w:rsid w:val="003F24A1"/>
  </w:style>
  <w:style w:type="table" w:customStyle="1" w:styleId="Tablaconcuadrcula55911">
    <w:name w:val="Tabla con cuadrícula559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11">
    <w:name w:val="Tabla con cuadrícula634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next w:val="Tablaconcuadrcula"/>
    <w:rsid w:val="003F24A1"/>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1">
    <w:name w:val="Lista oscura - Énfasis 611"/>
    <w:basedOn w:val="Tablanormal"/>
    <w:next w:val="Listaoscura-nfasis6"/>
    <w:uiPriority w:val="70"/>
    <w:rsid w:val="003F24A1"/>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11">
    <w:name w:val="Sin lista611"/>
    <w:next w:val="Sinlista"/>
    <w:uiPriority w:val="99"/>
    <w:semiHidden/>
    <w:unhideWhenUsed/>
    <w:rsid w:val="003F24A1"/>
  </w:style>
  <w:style w:type="table" w:customStyle="1" w:styleId="Tablaconcuadrcula1011">
    <w:name w:val="Tabla con cuadrícula1011"/>
    <w:basedOn w:val="Tablanormal"/>
    <w:next w:val="Tablaconcuadrcula"/>
    <w:uiPriority w:val="59"/>
    <w:rsid w:val="003F24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3F24A1"/>
    <w:pPr>
      <w:spacing w:after="0" w:line="240" w:lineRule="auto"/>
    </w:pPr>
    <w:rPr>
      <w:rFonts w:ascii="Times New Roman" w:eastAsia="SimSu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uiPriority w:val="59"/>
    <w:rsid w:val="003F24A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0"/>
    <w:basedOn w:val="Tablanormal"/>
    <w:next w:val="Tablaconcuadrcula"/>
    <w:uiPriority w:val="59"/>
    <w:rsid w:val="00FE1D6E"/>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42" Type="http://schemas.openxmlformats.org/officeDocument/2006/relationships/hyperlink" Target="http://www.fao.org/fileadmin/templates/worldfood/Reports_and_docs/Food_price_indices_data.xls" TargetMode="External"/><Relationship Id="rId47" Type="http://schemas.openxmlformats.org/officeDocument/2006/relationships/hyperlink" Target="http://stats.oecd.org/index.aspx?queryid=22519" TargetMode="External"/><Relationship Id="rId63" Type="http://schemas.openxmlformats.org/officeDocument/2006/relationships/image" Target="media/image12.pn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hyperlink" Target="http://www.antad.net/documentos/ComPrensa/2015/FEBRERO2015.pdf" TargetMode="External"/><Relationship Id="rId11" Type="http://schemas.openxmlformats.org/officeDocument/2006/relationships/hyperlink" Target="http://www.infoaserca.gob.mx/analisis/semanal.asp" TargetMode="External"/><Relationship Id="rId24" Type="http://schemas.openxmlformats.org/officeDocument/2006/relationships/chart" Target="charts/chart14.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chart" Target="charts/chart30.xml"/><Relationship Id="rId53" Type="http://schemas.openxmlformats.org/officeDocument/2006/relationships/hyperlink" Target="http://www.oecd.org/std/prices-ppp/OECD-CPI-03-15.pdf" TargetMode="External"/><Relationship Id="rId58" Type="http://schemas.openxmlformats.org/officeDocument/2006/relationships/image" Target="media/image7.png"/><Relationship Id="rId66" Type="http://schemas.openxmlformats.org/officeDocument/2006/relationships/hyperlink" Target="http://www.bde.es/f/webbde/SES/Secciones/Publicaciones/PublicacionesBCE/BoletinEconomicoBCE/02/Fich/bebce1502-1.pdf" TargetMode="External"/><Relationship Id="rId5" Type="http://schemas.openxmlformats.org/officeDocument/2006/relationships/webSettings" Target="webSettings.xml"/><Relationship Id="rId61" Type="http://schemas.openxmlformats.org/officeDocument/2006/relationships/image" Target="media/image10.png"/><Relationship Id="rId19" Type="http://schemas.openxmlformats.org/officeDocument/2006/relationships/chart" Target="charts/chart9.xml"/><Relationship Id="rId14" Type="http://schemas.openxmlformats.org/officeDocument/2006/relationships/chart" Target="charts/chart4.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19.xml"/><Relationship Id="rId35" Type="http://schemas.openxmlformats.org/officeDocument/2006/relationships/chart" Target="charts/chart23.xml"/><Relationship Id="rId43" Type="http://schemas.openxmlformats.org/officeDocument/2006/relationships/hyperlink" Target="http://www.fao.org/worldfoodsituation/foodpricesindex/es/" TargetMode="External"/><Relationship Id="rId48" Type="http://schemas.openxmlformats.org/officeDocument/2006/relationships/hyperlink" Target="http://stats.oecd.org/index.aspx?queryid=22519" TargetMode="External"/><Relationship Id="rId56" Type="http://schemas.openxmlformats.org/officeDocument/2006/relationships/image" Target="media/image5.png"/><Relationship Id="rId64" Type="http://schemas.openxmlformats.org/officeDocument/2006/relationships/image" Target="media/image13.png"/><Relationship Id="rId69"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hyperlink" Target="http://stats.oecd.org/Index.aspx?DataSetCode=MEI_PRICES"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hyperlink" Target="http://www.fao.org/worldfoodsituation/csdb/es/" TargetMode="External"/><Relationship Id="rId59" Type="http://schemas.openxmlformats.org/officeDocument/2006/relationships/image" Target="media/image8.png"/><Relationship Id="rId67" Type="http://schemas.openxmlformats.org/officeDocument/2006/relationships/header" Target="header1.xml"/><Relationship Id="rId20" Type="http://schemas.openxmlformats.org/officeDocument/2006/relationships/chart" Target="charts/chart10.xml"/><Relationship Id="rId41" Type="http://schemas.openxmlformats.org/officeDocument/2006/relationships/chart" Target="charts/chart29.xml"/><Relationship Id="rId54" Type="http://schemas.openxmlformats.org/officeDocument/2006/relationships/image" Target="media/image3.png"/><Relationship Id="rId62" Type="http://schemas.openxmlformats.org/officeDocument/2006/relationships/image" Target="media/image11.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4.xml"/><Relationship Id="rId49" Type="http://schemas.openxmlformats.org/officeDocument/2006/relationships/chart" Target="charts/chart31.xml"/><Relationship Id="rId57" Type="http://schemas.openxmlformats.org/officeDocument/2006/relationships/image" Target="media/image6.png"/><Relationship Id="rId10" Type="http://schemas.openxmlformats.org/officeDocument/2006/relationships/hyperlink" Target="http://www.aserca.gob.mx/comercializacion/analisis/Documents/FUTUROS.pdf" TargetMode="External"/><Relationship Id="rId31" Type="http://schemas.openxmlformats.org/officeDocument/2006/relationships/hyperlink" Target="http://www.antad.net/documentos/ComPrensa/2015/FEBRERO2015.pdf" TargetMode="External"/><Relationship Id="rId44" Type="http://schemas.openxmlformats.org/officeDocument/2006/relationships/image" Target="media/image2.png"/><Relationship Id="rId52" Type="http://schemas.openxmlformats.org/officeDocument/2006/relationships/hyperlink" Target="http://www.oecd.org/std/pricesandpurchasingpowerparitiesppp/47010757.pdf" TargetMode="External"/><Relationship Id="rId60" Type="http://schemas.openxmlformats.org/officeDocument/2006/relationships/image" Target="media/image9.png"/><Relationship Id="rId65"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http://www.economia-sniim.gob.mx/SNIIM-ArchivosFuente/Comentarios/Comsem160315.doc" TargetMode="External"/><Relationship Id="rId13" Type="http://schemas.openxmlformats.org/officeDocument/2006/relationships/chart" Target="charts/chart3.xml"/><Relationship Id="rId18" Type="http://schemas.openxmlformats.org/officeDocument/2006/relationships/chart" Target="charts/chart8.xml"/><Relationship Id="rId39" Type="http://schemas.openxmlformats.org/officeDocument/2006/relationships/chart" Target="charts/chart27.xml"/><Relationship Id="rId34" Type="http://schemas.openxmlformats.org/officeDocument/2006/relationships/chart" Target="charts/chart22.xml"/><Relationship Id="rId50" Type="http://schemas.openxmlformats.org/officeDocument/2006/relationships/hyperlink" Target="http://stats.oecd.org/index.aspx?queryid=22519" TargetMode="External"/><Relationship Id="rId55"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3.xml"/><Relationship Id="rId4" Type="http://schemas.openxmlformats.org/officeDocument/2006/relationships/package" Target="../embeddings/Hoja_de_c_lculo_de_Microsoft_Excel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4.xml"/><Relationship Id="rId4" Type="http://schemas.openxmlformats.org/officeDocument/2006/relationships/package" Target="../embeddings/Hoja_de_c_lculo_de_Microsoft_Excel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5.xml"/><Relationship Id="rId4" Type="http://schemas.openxmlformats.org/officeDocument/2006/relationships/package" Target="../embeddings/Hoja_de_c_lculo_de_Microsoft_Excel12.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Hoja_de_c_lculo_de_Microsoft_Excel13.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Hoja_de_c_lculo_de_Microsoft_Excel14.xlsx"/><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6.xml"/></Relationships>
</file>

<file path=word/charts/_rels/chart15.xml.rels><?xml version="1.0" encoding="UTF-8" standalone="yes"?>
<Relationships xmlns="http://schemas.openxmlformats.org/package/2006/relationships"><Relationship Id="rId3" Type="http://schemas.openxmlformats.org/officeDocument/2006/relationships/package" Target="../embeddings/Hoja_de_c_lculo_de_Microsoft_Excel15.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Hoja_de_c_lculo_de_Microsoft_Excel16.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Hoja_de_c_lculo_de_Microsoft_Excel17.xlsx"/><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7.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8.xml"/><Relationship Id="rId1" Type="http://schemas.microsoft.com/office/2011/relationships/chartStyle" Target="style18.xml"/><Relationship Id="rId5" Type="http://schemas.openxmlformats.org/officeDocument/2006/relationships/chartUserShapes" Target="../drawings/drawing8.xml"/><Relationship Id="rId4" Type="http://schemas.openxmlformats.org/officeDocument/2006/relationships/package" Target="../embeddings/Hoja_de_c_lculo_de_Microsoft_Excel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9.xml"/><Relationship Id="rId1" Type="http://schemas.microsoft.com/office/2011/relationships/chartStyle" Target="style19.xml"/><Relationship Id="rId5" Type="http://schemas.openxmlformats.org/officeDocument/2006/relationships/chartUserShapes" Target="../drawings/drawing9.xml"/><Relationship Id="rId4" Type="http://schemas.openxmlformats.org/officeDocument/2006/relationships/package" Target="../embeddings/Hoja_de_c_lculo_de_Microsoft_Excel19.xlsx"/></Relationships>
</file>

<file path=word/charts/_rels/chart2.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Hoja_de_c_lculo_de_Microsoft_Excel20.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Hoja_de_c_lculo_de_Microsoft_Excel21.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2.xml"/><Relationship Id="rId1" Type="http://schemas.microsoft.com/office/2011/relationships/chartStyle" Target="style22.xml"/><Relationship Id="rId5" Type="http://schemas.openxmlformats.org/officeDocument/2006/relationships/chartUserShapes" Target="../drawings/drawing10.xml"/><Relationship Id="rId4" Type="http://schemas.openxmlformats.org/officeDocument/2006/relationships/package" Target="../embeddings/Hoja_de_c_lculo_de_Microsoft_Excel22.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Hoja_de_c_lculo_de_Microsoft_Excel23.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24.xml"/><Relationship Id="rId1" Type="http://schemas.microsoft.com/office/2011/relationships/chartStyle" Target="style24.xml"/><Relationship Id="rId5" Type="http://schemas.openxmlformats.org/officeDocument/2006/relationships/chartUserShapes" Target="../drawings/drawing11.xml"/><Relationship Id="rId4" Type="http://schemas.openxmlformats.org/officeDocument/2006/relationships/package" Target="../embeddings/Hoja_de_c_lculo_de_Microsoft_Excel24.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5.xml"/><Relationship Id="rId1" Type="http://schemas.microsoft.com/office/2011/relationships/chartStyle" Target="style25.xml"/><Relationship Id="rId5" Type="http://schemas.openxmlformats.org/officeDocument/2006/relationships/chartUserShapes" Target="../drawings/drawing12.xml"/><Relationship Id="rId4" Type="http://schemas.openxmlformats.org/officeDocument/2006/relationships/package" Target="../embeddings/Hoja_de_c_lculo_de_Microsoft_Excel25.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26.xml"/><Relationship Id="rId1" Type="http://schemas.microsoft.com/office/2011/relationships/chartStyle" Target="style26.xml"/><Relationship Id="rId5" Type="http://schemas.openxmlformats.org/officeDocument/2006/relationships/chartUserShapes" Target="../drawings/drawing13.xml"/><Relationship Id="rId4" Type="http://schemas.openxmlformats.org/officeDocument/2006/relationships/package" Target="../embeddings/Hoja_de_c_lculo_de_Microsoft_Excel26.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27.xml"/><Relationship Id="rId1" Type="http://schemas.microsoft.com/office/2011/relationships/chartStyle" Target="style27.xml"/><Relationship Id="rId5" Type="http://schemas.openxmlformats.org/officeDocument/2006/relationships/chartUserShapes" Target="../drawings/drawing14.xml"/><Relationship Id="rId4" Type="http://schemas.openxmlformats.org/officeDocument/2006/relationships/package" Target="../embeddings/Hoja_de_c_lculo_de_Microsoft_Excel27.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28.xml"/><Relationship Id="rId1" Type="http://schemas.microsoft.com/office/2011/relationships/chartStyle" Target="style28.xml"/><Relationship Id="rId5" Type="http://schemas.openxmlformats.org/officeDocument/2006/relationships/chartUserShapes" Target="../drawings/drawing15.xml"/><Relationship Id="rId4" Type="http://schemas.openxmlformats.org/officeDocument/2006/relationships/package" Target="../embeddings/Hoja_de_c_lculo_de_Microsoft_Excel28.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29.xml"/><Relationship Id="rId1" Type="http://schemas.microsoft.com/office/2011/relationships/chartStyle" Target="style29.xml"/><Relationship Id="rId5" Type="http://schemas.openxmlformats.org/officeDocument/2006/relationships/chartUserShapes" Target="../drawings/drawing16.xml"/><Relationship Id="rId4" Type="http://schemas.openxmlformats.org/officeDocument/2006/relationships/package" Target="../embeddings/Hoja_de_c_lculo_de_Microsoft_Excel29.xlsx"/></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30.xml.rels><?xml version="1.0" encoding="UTF-8" standalone="yes"?>
<Relationships xmlns="http://schemas.openxmlformats.org/package/2006/relationships"><Relationship Id="rId2" Type="http://schemas.openxmlformats.org/officeDocument/2006/relationships/package" Target="../embeddings/Hoja_de_c_lculo_de_Microsoft_Excel30.xlsx"/><Relationship Id="rId1" Type="http://schemas.openxmlformats.org/officeDocument/2006/relationships/themeOverride" Target="../theme/themeOverride15.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package" Target="../embeddings/Hoja_de_c_lculo_de_Microsoft_Excel3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Hoja_de_c_lculo_de_Microsoft_Excel8.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6411737937311258E-2"/>
          <c:y val="3.6672011743212919E-3"/>
          <c:w val="0.95358826206268876"/>
          <c:h val="0.91957494674867768"/>
        </c:manualLayout>
      </c:layout>
      <c:bar3DChart>
        <c:barDir val="col"/>
        <c:grouping val="clustered"/>
        <c:varyColors val="0"/>
        <c:ser>
          <c:idx val="0"/>
          <c:order val="0"/>
          <c:tx>
            <c:strRef>
              <c:f>Hoja1!$B$1</c:f>
              <c:strCache>
                <c:ptCount val="1"/>
                <c:pt idx="0">
                  <c:v>Mensual</c:v>
                </c:pt>
              </c:strCache>
            </c:strRef>
          </c:tx>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atMod val="105000"/>
                </a:schemeClr>
              </a:solidFill>
              <a:prstDash val="solid"/>
              <a:round/>
            </a:ln>
            <a:effectLst>
              <a:outerShdw blurRad="40000" dist="20000" dir="5400000" rotWithShape="0">
                <a:srgbClr val="000000">
                  <a:alpha val="38000"/>
                </a:srgbClr>
              </a:outerShdw>
            </a:effectLst>
            <a:sp3d contourW="9525">
              <a:contourClr>
                <a:schemeClr val="accent5">
                  <a:shade val="95000"/>
                  <a:satMod val="105000"/>
                </a:schemeClr>
              </a:contourClr>
            </a:sp3d>
          </c:spPr>
          <c:invertIfNegative val="0"/>
          <c:dLbls>
            <c:dLbl>
              <c:idx val="0"/>
              <c:layout>
                <c:manualLayout>
                  <c:x val="9.3403385872737679E-3"/>
                  <c:y val="4.052684903748733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0052539404553416E-3"/>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0052539404553416E-3"/>
                  <c:y val="-4.052684903748807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0052539404553416E-3"/>
                  <c:y val="8.105369807497467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1.2158054711246192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6701692936368944E-3"/>
                  <c:y val="7.4298364934341596E-1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6701692936368085E-3"/>
                  <c:y val="-4.052684903748882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3350846468184472E-3"/>
                  <c:y val="1.621073961499492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3403385872739605E-3"/>
                  <c:y val="0"/>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1675423234092236E-2"/>
                  <c:y val="-7.4298364934341596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0.33</c:v>
                </c:pt>
                <c:pt idx="1">
                  <c:v>0.15</c:v>
                </c:pt>
                <c:pt idx="2">
                  <c:v>0.28000000000000003</c:v>
                </c:pt>
                <c:pt idx="3">
                  <c:v>0.3</c:v>
                </c:pt>
                <c:pt idx="4">
                  <c:v>0.22</c:v>
                </c:pt>
                <c:pt idx="5">
                  <c:v>0.57999999999999996</c:v>
                </c:pt>
                <c:pt idx="6">
                  <c:v>0.38</c:v>
                </c:pt>
                <c:pt idx="7">
                  <c:v>0.2</c:v>
                </c:pt>
                <c:pt idx="8">
                  <c:v>0.49</c:v>
                </c:pt>
                <c:pt idx="9">
                  <c:v>0.25</c:v>
                </c:pt>
                <c:pt idx="10">
                  <c:v>0.19</c:v>
                </c:pt>
              </c:numCache>
            </c:numRef>
          </c:val>
        </c:ser>
        <c:dLbls>
          <c:showLegendKey val="0"/>
          <c:showVal val="1"/>
          <c:showCatName val="0"/>
          <c:showSerName val="0"/>
          <c:showPercent val="0"/>
          <c:showBubbleSize val="0"/>
        </c:dLbls>
        <c:gapWidth val="37"/>
        <c:shape val="box"/>
        <c:axId val="572367216"/>
        <c:axId val="572377552"/>
        <c:axId val="0"/>
      </c:bar3DChart>
      <c:catAx>
        <c:axId val="57236721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572377552"/>
        <c:crosses val="autoZero"/>
        <c:auto val="1"/>
        <c:lblAlgn val="ctr"/>
        <c:lblOffset val="100"/>
        <c:noMultiLvlLbl val="0"/>
      </c:catAx>
      <c:valAx>
        <c:axId val="572377552"/>
        <c:scaling>
          <c:orientation val="minMax"/>
          <c:max val="0.8"/>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572367216"/>
        <c:crosses val="autoZero"/>
        <c:crossBetween val="between"/>
        <c:majorUnit val="0.2"/>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233486439195113E-2"/>
          <c:y val="7.3561429821272339E-2"/>
          <c:w val="0.90161836541265672"/>
          <c:h val="0.76169635045619299"/>
        </c:manualLayout>
      </c:layout>
      <c:barChart>
        <c:barDir val="col"/>
        <c:grouping val="clustered"/>
        <c:varyColors val="0"/>
        <c:ser>
          <c:idx val="0"/>
          <c:order val="0"/>
          <c:tx>
            <c:strRef>
              <c:f>Hoja1!$B$1</c:f>
              <c:strCache>
                <c:ptCount val="1"/>
                <c:pt idx="0">
                  <c:v>INPC</c:v>
                </c:pt>
              </c:strCache>
            </c:strRef>
          </c:tx>
          <c:spPr>
            <a:gradFill flip="none" rotWithShape="1">
              <a:gsLst>
                <a:gs pos="15000">
                  <a:schemeClr val="accent3">
                    <a:lumMod val="0"/>
                    <a:lumOff val="100000"/>
                  </a:schemeClr>
                </a:gs>
                <a:gs pos="85000">
                  <a:schemeClr val="accent3">
                    <a:lumMod val="100000"/>
                  </a:schemeClr>
                </a:gs>
              </a:gsLst>
              <a:path path="circle">
                <a:fillToRect t="100000" r="100000"/>
              </a:path>
              <a:tileRect l="-100000" b="-100000"/>
            </a:gradFill>
            <a:ln w="9525" cap="flat" cmpd="sng" algn="ctr">
              <a:noFill/>
              <a:prstDash val="solid"/>
            </a:ln>
            <a:effectLst>
              <a:outerShdw blurRad="40000" dist="20000" dir="5400000" rotWithShape="0">
                <a:srgbClr val="000000">
                  <a:alpha val="38000"/>
                </a:srgbClr>
              </a:outerShdw>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layout>
                <c:manualLayout>
                  <c:x val="0.46759259259259262"/>
                  <c:y val="-0.10317460317460325"/>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r>
                      <a:rPr lang="en-US" b="1">
                        <a:latin typeface="Times New Roman" panose="02020603050405020304" pitchFamily="18" charset="0"/>
                        <a:cs typeface="Times New Roman" panose="02020603050405020304" pitchFamily="18" charset="0"/>
                      </a:rPr>
                      <a:t>0.19</a:t>
                    </a:r>
                    <a:endParaRPr lang="en-US"/>
                  </a:p>
                </c:rich>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0.25</c:v>
                </c:pt>
                <c:pt idx="1">
                  <c:v>0.27</c:v>
                </c:pt>
                <c:pt idx="2">
                  <c:v>-0.19</c:v>
                </c:pt>
                <c:pt idx="3">
                  <c:v>-0.32</c:v>
                </c:pt>
                <c:pt idx="4">
                  <c:v>0.17</c:v>
                </c:pt>
                <c:pt idx="5">
                  <c:v>0.28000000000000003</c:v>
                </c:pt>
                <c:pt idx="6">
                  <c:v>0.36</c:v>
                </c:pt>
                <c:pt idx="7">
                  <c:v>0.44</c:v>
                </c:pt>
                <c:pt idx="8">
                  <c:v>0.55000000000000004</c:v>
                </c:pt>
                <c:pt idx="9">
                  <c:v>0.81</c:v>
                </c:pt>
                <c:pt idx="10">
                  <c:v>0.49</c:v>
                </c:pt>
                <c:pt idx="11">
                  <c:v>-0.09</c:v>
                </c:pt>
                <c:pt idx="12">
                  <c:v>0.19</c:v>
                </c:pt>
              </c:numCache>
            </c:numRef>
          </c:val>
        </c:ser>
        <c:dLbls>
          <c:showLegendKey val="0"/>
          <c:showVal val="0"/>
          <c:showCatName val="0"/>
          <c:showSerName val="0"/>
          <c:showPercent val="0"/>
          <c:showBubbleSize val="0"/>
        </c:dLbls>
        <c:gapWidth val="0"/>
        <c:overlap val="100"/>
        <c:axId val="572394416"/>
        <c:axId val="572382448"/>
      </c:barChart>
      <c:lineChart>
        <c:grouping val="standard"/>
        <c:varyColors val="0"/>
        <c:ser>
          <c:idx val="1"/>
          <c:order val="1"/>
          <c:tx>
            <c:strRef>
              <c:f>Hoja1!$C$1</c:f>
              <c:strCache>
                <c:ptCount val="1"/>
                <c:pt idx="0">
                  <c:v>Estrato I</c:v>
                </c:pt>
              </c:strCache>
            </c:strRef>
          </c:tx>
          <c:spPr>
            <a:ln w="22225" cap="rnd">
              <a:solidFill>
                <a:srgbClr val="CB5E53"/>
              </a:solidFill>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Hoja1!$C$2:$C$14</c:f>
              <c:numCache>
                <c:formatCode>0.00</c:formatCode>
                <c:ptCount val="13"/>
                <c:pt idx="0">
                  <c:v>-0.04</c:v>
                </c:pt>
                <c:pt idx="1">
                  <c:v>0.17</c:v>
                </c:pt>
                <c:pt idx="2">
                  <c:v>-0.39</c:v>
                </c:pt>
                <c:pt idx="3">
                  <c:v>-0.59</c:v>
                </c:pt>
                <c:pt idx="4">
                  <c:v>0.14000000000000001</c:v>
                </c:pt>
                <c:pt idx="5">
                  <c:v>0.27</c:v>
                </c:pt>
                <c:pt idx="6">
                  <c:v>0.46</c:v>
                </c:pt>
                <c:pt idx="7">
                  <c:v>0.45</c:v>
                </c:pt>
                <c:pt idx="8">
                  <c:v>0.67</c:v>
                </c:pt>
                <c:pt idx="9">
                  <c:v>1.29</c:v>
                </c:pt>
                <c:pt idx="10">
                  <c:v>0.67</c:v>
                </c:pt>
                <c:pt idx="11">
                  <c:v>-0.1</c:v>
                </c:pt>
                <c:pt idx="12">
                  <c:v>0</c:v>
                </c:pt>
              </c:numCache>
            </c:numRef>
          </c:val>
          <c:smooth val="0"/>
        </c:ser>
        <c:ser>
          <c:idx val="2"/>
          <c:order val="2"/>
          <c:tx>
            <c:strRef>
              <c:f>Hoja1!$D$1</c:f>
              <c:strCache>
                <c:ptCount val="1"/>
                <c:pt idx="0">
                  <c:v>Estrato II</c:v>
                </c:pt>
              </c:strCache>
            </c:strRef>
          </c:tx>
          <c:spPr>
            <a:ln w="22225" cap="rnd" cmpd="dbl">
              <a:solidFill>
                <a:schemeClr val="accent6">
                  <a:lumMod val="75000"/>
                </a:schemeClr>
              </a:solidFill>
              <a:prstDash val="sysDash"/>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Hoja1!$D$2:$D$14</c:f>
              <c:numCache>
                <c:formatCode>0.00</c:formatCode>
                <c:ptCount val="13"/>
                <c:pt idx="0">
                  <c:v>0.02</c:v>
                </c:pt>
                <c:pt idx="1">
                  <c:v>0.21</c:v>
                </c:pt>
                <c:pt idx="2">
                  <c:v>-0.32</c:v>
                </c:pt>
                <c:pt idx="3">
                  <c:v>-0.28999999999999998</c:v>
                </c:pt>
                <c:pt idx="4">
                  <c:v>0.13</c:v>
                </c:pt>
                <c:pt idx="5">
                  <c:v>0.26</c:v>
                </c:pt>
                <c:pt idx="6">
                  <c:v>0.43</c:v>
                </c:pt>
                <c:pt idx="7">
                  <c:v>0.48</c:v>
                </c:pt>
                <c:pt idx="8">
                  <c:v>0.6</c:v>
                </c:pt>
                <c:pt idx="9">
                  <c:v>0.98</c:v>
                </c:pt>
                <c:pt idx="10">
                  <c:v>0.71</c:v>
                </c:pt>
                <c:pt idx="11">
                  <c:v>-0.12</c:v>
                </c:pt>
                <c:pt idx="12">
                  <c:v>-0.01</c:v>
                </c:pt>
              </c:numCache>
            </c:numRef>
          </c:val>
          <c:smooth val="0"/>
        </c:ser>
        <c:ser>
          <c:idx val="3"/>
          <c:order val="3"/>
          <c:tx>
            <c:strRef>
              <c:f>Hoja1!$E$1</c:f>
              <c:strCache>
                <c:ptCount val="1"/>
                <c:pt idx="0">
                  <c:v>Estrato III</c:v>
                </c:pt>
              </c:strCache>
            </c:strRef>
          </c:tx>
          <c:spPr>
            <a:ln w="41275" cap="rnd" cmpd="tri">
              <a:solidFill>
                <a:srgbClr val="0F7165"/>
              </a:solidFill>
              <a:prstDash val="solid"/>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Hoja1!$E$2:$E$14</c:f>
              <c:numCache>
                <c:formatCode>0.00</c:formatCode>
                <c:ptCount val="13"/>
                <c:pt idx="0">
                  <c:v>0.16</c:v>
                </c:pt>
                <c:pt idx="1">
                  <c:v>0.26</c:v>
                </c:pt>
                <c:pt idx="2">
                  <c:v>-0.24</c:v>
                </c:pt>
                <c:pt idx="3">
                  <c:v>-0.28000000000000003</c:v>
                </c:pt>
                <c:pt idx="4">
                  <c:v>0.15</c:v>
                </c:pt>
                <c:pt idx="5">
                  <c:v>0.24</c:v>
                </c:pt>
                <c:pt idx="6">
                  <c:v>0.44</c:v>
                </c:pt>
                <c:pt idx="7">
                  <c:v>0.45</c:v>
                </c:pt>
                <c:pt idx="8">
                  <c:v>0.54</c:v>
                </c:pt>
                <c:pt idx="9">
                  <c:v>0.88</c:v>
                </c:pt>
                <c:pt idx="10">
                  <c:v>0.54</c:v>
                </c:pt>
                <c:pt idx="11">
                  <c:v>-0.1</c:v>
                </c:pt>
                <c:pt idx="12">
                  <c:v>0.1</c:v>
                </c:pt>
              </c:numCache>
            </c:numRef>
          </c:val>
          <c:smooth val="0"/>
        </c:ser>
        <c:ser>
          <c:idx val="4"/>
          <c:order val="4"/>
          <c:tx>
            <c:strRef>
              <c:f>Hoja1!$F$1</c:f>
              <c:strCache>
                <c:ptCount val="1"/>
                <c:pt idx="0">
                  <c:v>Estrato IV</c:v>
                </c:pt>
              </c:strCache>
            </c:strRef>
          </c:tx>
          <c:spPr>
            <a:ln w="31750" cap="rnd">
              <a:solidFill>
                <a:schemeClr val="accent5"/>
              </a:solidFill>
              <a:prstDash val="sysDot"/>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Hoja1!$F$2:$F$14</c:f>
              <c:numCache>
                <c:formatCode>0.00</c:formatCode>
                <c:ptCount val="13"/>
                <c:pt idx="0">
                  <c:v>0.34</c:v>
                </c:pt>
                <c:pt idx="1">
                  <c:v>0.28999999999999998</c:v>
                </c:pt>
                <c:pt idx="2">
                  <c:v>-0.13</c:v>
                </c:pt>
                <c:pt idx="3">
                  <c:v>-0.34</c:v>
                </c:pt>
                <c:pt idx="4">
                  <c:v>0.19</c:v>
                </c:pt>
                <c:pt idx="5">
                  <c:v>0.28999999999999998</c:v>
                </c:pt>
                <c:pt idx="6">
                  <c:v>0.31</c:v>
                </c:pt>
                <c:pt idx="7">
                  <c:v>0.43</c:v>
                </c:pt>
                <c:pt idx="8">
                  <c:v>0.55000000000000004</c:v>
                </c:pt>
                <c:pt idx="9">
                  <c:v>0.73</c:v>
                </c:pt>
                <c:pt idx="10">
                  <c:v>0.42</c:v>
                </c:pt>
                <c:pt idx="11">
                  <c:v>-0.08</c:v>
                </c:pt>
                <c:pt idx="12">
                  <c:v>0.27</c:v>
                </c:pt>
              </c:numCache>
            </c:numRef>
          </c:val>
          <c:smooth val="0"/>
        </c:ser>
        <c:dLbls>
          <c:showLegendKey val="0"/>
          <c:showVal val="0"/>
          <c:showCatName val="0"/>
          <c:showSerName val="0"/>
          <c:showPercent val="0"/>
          <c:showBubbleSize val="0"/>
        </c:dLbls>
        <c:marker val="1"/>
        <c:smooth val="0"/>
        <c:axId val="572394416"/>
        <c:axId val="572382448"/>
      </c:lineChart>
      <c:catAx>
        <c:axId val="572394416"/>
        <c:scaling>
          <c:orientation val="minMax"/>
        </c:scaling>
        <c:delete val="0"/>
        <c:axPos val="b"/>
        <c:numFmt formatCode="General" sourceLinked="0"/>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572382448"/>
        <c:crosses val="autoZero"/>
        <c:auto val="1"/>
        <c:lblAlgn val="ctr"/>
        <c:lblOffset val="100"/>
        <c:noMultiLvlLbl val="0"/>
      </c:catAx>
      <c:valAx>
        <c:axId val="572382448"/>
        <c:scaling>
          <c:orientation val="minMax"/>
          <c:max val="1.7000000000000002"/>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572394416"/>
        <c:crosses val="autoZero"/>
        <c:crossBetween val="between"/>
        <c:majorUnit val="0.5"/>
      </c:valAx>
      <c:spPr>
        <a:pattFill prst="ltDnDiag">
          <a:fgClr>
            <a:srgbClr val="000000">
              <a:alpha val="0"/>
            </a:srgbClr>
          </a:fgClr>
          <a:bgClr>
            <a:srgbClr val="FFFFFF"/>
          </a:bgClr>
        </a:pattFill>
        <a:ln w="25400">
          <a:noFill/>
        </a:ln>
        <a:effectLst/>
      </c:spPr>
    </c:plotArea>
    <c:legend>
      <c:legendPos val="b"/>
      <c:layout>
        <c:manualLayout>
          <c:xMode val="edge"/>
          <c:yMode val="edge"/>
          <c:x val="0.18116779673374162"/>
          <c:y val="4.4146356705411824E-2"/>
          <c:w val="0.18859015018955963"/>
          <c:h val="0.269345706786651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59494424899012E-2"/>
          <c:y val="2.5669291338582676E-2"/>
          <c:w val="0.94658296711887979"/>
          <c:h val="0.82732922807725962"/>
        </c:manualLayout>
      </c:layout>
      <c:barChart>
        <c:barDir val="col"/>
        <c:grouping val="clustered"/>
        <c:varyColors val="0"/>
        <c:ser>
          <c:idx val="0"/>
          <c:order val="0"/>
          <c:tx>
            <c:strRef>
              <c:f>Hoja1!$B$1</c:f>
              <c:strCache>
                <c:ptCount val="1"/>
                <c:pt idx="0">
                  <c:v>INPC</c:v>
                </c:pt>
              </c:strCache>
            </c:strRef>
          </c:tx>
          <c:spPr>
            <a:solidFill>
              <a:srgbClr val="0F7165">
                <a:alpha val="38000"/>
              </a:srgbClr>
            </a:solidFill>
            <a:ln w="9525" cap="flat" cmpd="sng" algn="ctr">
              <a:solidFill>
                <a:schemeClr val="bg1">
                  <a:lumMod val="65000"/>
                </a:schemeClr>
              </a:solidFill>
              <a:prstDash val="solid"/>
            </a:ln>
            <a:effectLst>
              <a:glow>
                <a:schemeClr val="accent1">
                  <a:alpha val="0"/>
                </a:schemeClr>
              </a:glow>
              <a:outerShdw blurRad="40000" dist="20000" dir="5400000" rotWithShape="0">
                <a:srgbClr val="000000">
                  <a:alpha val="38000"/>
                </a:srgbClr>
              </a:outerShdw>
              <a:softEdge rad="0"/>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layout>
                <c:manualLayout>
                  <c:x val="0.50118203309692666"/>
                  <c:y val="5.0642371626623515E-2"/>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r>
                      <a:rPr lang="en-US"/>
                      <a:t>0.10</a:t>
                    </a:r>
                  </a:p>
                </c:rich>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MX"/>
                </a:p>
              </c:txPr>
              <c:dLblPos val="outEnd"/>
              <c:showLegendKey val="0"/>
              <c:showVal val="1"/>
              <c:showCatName val="0"/>
              <c:showSerName val="0"/>
              <c:showPercent val="0"/>
              <c:showBubbleSize val="0"/>
              <c:extLst>
                <c:ext xmlns:c15="http://schemas.microsoft.com/office/drawing/2012/chart" uri="{CE6537A1-D6FC-4f65-9D91-7224C49458BB}">
                  <c15:layout>
                    <c:manualLayout>
                      <c:w val="5.1418439716312055E-2"/>
                      <c:h val="4.8483074231105726E-2"/>
                    </c:manualLayout>
                  </c15:layout>
                </c:ext>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1.1499999999999999</c:v>
                </c:pt>
                <c:pt idx="1">
                  <c:v>1.43</c:v>
                </c:pt>
                <c:pt idx="2">
                  <c:v>1.24</c:v>
                </c:pt>
                <c:pt idx="3">
                  <c:v>0.91</c:v>
                </c:pt>
                <c:pt idx="4">
                  <c:v>1.0900000000000001</c:v>
                </c:pt>
                <c:pt idx="5">
                  <c:v>1.37</c:v>
                </c:pt>
                <c:pt idx="6">
                  <c:v>1.73</c:v>
                </c:pt>
                <c:pt idx="7">
                  <c:v>2.1800000000000002</c:v>
                </c:pt>
                <c:pt idx="8">
                  <c:v>2.75</c:v>
                </c:pt>
                <c:pt idx="9">
                  <c:v>3.57</c:v>
                </c:pt>
                <c:pt idx="10">
                  <c:v>4.08</c:v>
                </c:pt>
                <c:pt idx="11">
                  <c:v>-0.09</c:v>
                </c:pt>
                <c:pt idx="12">
                  <c:v>0.1</c:v>
                </c:pt>
              </c:numCache>
            </c:numRef>
          </c:val>
        </c:ser>
        <c:dLbls>
          <c:showLegendKey val="0"/>
          <c:showVal val="0"/>
          <c:showCatName val="0"/>
          <c:showSerName val="0"/>
          <c:showPercent val="0"/>
          <c:showBubbleSize val="0"/>
        </c:dLbls>
        <c:gapWidth val="26"/>
        <c:axId val="572389520"/>
        <c:axId val="572390064"/>
      </c:barChart>
      <c:lineChart>
        <c:grouping val="standard"/>
        <c:varyColors val="0"/>
        <c:ser>
          <c:idx val="1"/>
          <c:order val="1"/>
          <c:tx>
            <c:strRef>
              <c:f>Hoja1!$C$1</c:f>
              <c:strCache>
                <c:ptCount val="1"/>
                <c:pt idx="0">
                  <c:v>Estrato I</c:v>
                </c:pt>
              </c:strCache>
            </c:strRef>
          </c:tx>
          <c:spPr>
            <a:ln w="22225" cap="rnd">
              <a:solidFill>
                <a:schemeClr val="accent2"/>
              </a:solidFill>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Hoja1!$C$2:$C$14</c:f>
              <c:numCache>
                <c:formatCode>0.00</c:formatCode>
                <c:ptCount val="13"/>
                <c:pt idx="0">
                  <c:v>0.97</c:v>
                </c:pt>
                <c:pt idx="1">
                  <c:v>1.1399999999999999</c:v>
                </c:pt>
                <c:pt idx="2">
                  <c:v>0.75</c:v>
                </c:pt>
                <c:pt idx="3">
                  <c:v>0.15</c:v>
                </c:pt>
                <c:pt idx="4">
                  <c:v>0.28999999999999998</c:v>
                </c:pt>
                <c:pt idx="5">
                  <c:v>0.56000000000000005</c:v>
                </c:pt>
                <c:pt idx="6">
                  <c:v>1.03</c:v>
                </c:pt>
                <c:pt idx="7">
                  <c:v>1.48</c:v>
                </c:pt>
                <c:pt idx="8">
                  <c:v>2.16</c:v>
                </c:pt>
                <c:pt idx="9">
                  <c:v>3.48</c:v>
                </c:pt>
                <c:pt idx="10">
                  <c:v>4.17</c:v>
                </c:pt>
                <c:pt idx="11">
                  <c:v>-0.1</c:v>
                </c:pt>
                <c:pt idx="12">
                  <c:v>-0.1</c:v>
                </c:pt>
              </c:numCache>
            </c:numRef>
          </c:val>
          <c:smooth val="0"/>
        </c:ser>
        <c:ser>
          <c:idx val="2"/>
          <c:order val="2"/>
          <c:tx>
            <c:strRef>
              <c:f>Hoja1!$D$1</c:f>
              <c:strCache>
                <c:ptCount val="1"/>
                <c:pt idx="0">
                  <c:v>Estrato II</c:v>
                </c:pt>
              </c:strCache>
            </c:strRef>
          </c:tx>
          <c:spPr>
            <a:ln w="34925" cap="rnd">
              <a:solidFill>
                <a:schemeClr val="accent3"/>
              </a:solidFill>
              <a:prstDash val="sysDot"/>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Hoja1!$D$2:$D$14</c:f>
              <c:numCache>
                <c:formatCode>0.00</c:formatCode>
                <c:ptCount val="13"/>
                <c:pt idx="0">
                  <c:v>0.93</c:v>
                </c:pt>
                <c:pt idx="1">
                  <c:v>1.1399999999999999</c:v>
                </c:pt>
                <c:pt idx="2">
                  <c:v>0.81</c:v>
                </c:pt>
                <c:pt idx="3">
                  <c:v>0.52</c:v>
                </c:pt>
                <c:pt idx="4">
                  <c:v>0.65</c:v>
                </c:pt>
                <c:pt idx="5">
                  <c:v>0.91</c:v>
                </c:pt>
                <c:pt idx="6">
                  <c:v>1.35</c:v>
                </c:pt>
                <c:pt idx="7">
                  <c:v>1.84</c:v>
                </c:pt>
                <c:pt idx="8">
                  <c:v>2.4500000000000002</c:v>
                </c:pt>
                <c:pt idx="9">
                  <c:v>3.45</c:v>
                </c:pt>
                <c:pt idx="10">
                  <c:v>4.18</c:v>
                </c:pt>
                <c:pt idx="11">
                  <c:v>-0.12</c:v>
                </c:pt>
                <c:pt idx="12">
                  <c:v>-0.12</c:v>
                </c:pt>
              </c:numCache>
            </c:numRef>
          </c:val>
          <c:smooth val="0"/>
        </c:ser>
        <c:ser>
          <c:idx val="3"/>
          <c:order val="3"/>
          <c:tx>
            <c:strRef>
              <c:f>Hoja1!$E$1</c:f>
              <c:strCache>
                <c:ptCount val="1"/>
                <c:pt idx="0">
                  <c:v>Estrato III</c:v>
                </c:pt>
              </c:strCache>
            </c:strRef>
          </c:tx>
          <c:spPr>
            <a:ln w="34925" cap="rnd" cmpd="tri">
              <a:solidFill>
                <a:srgbClr val="0F7165"/>
              </a:solidFill>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Hoja1!$E$2:$E$14</c:f>
              <c:numCache>
                <c:formatCode>0.00</c:formatCode>
                <c:ptCount val="13"/>
                <c:pt idx="0">
                  <c:v>1.1299999999999999</c:v>
                </c:pt>
                <c:pt idx="1">
                  <c:v>1.39</c:v>
                </c:pt>
                <c:pt idx="2">
                  <c:v>1.1499999999999999</c:v>
                </c:pt>
                <c:pt idx="3">
                  <c:v>0.87</c:v>
                </c:pt>
                <c:pt idx="4">
                  <c:v>1.02</c:v>
                </c:pt>
                <c:pt idx="5">
                  <c:v>1.26</c:v>
                </c:pt>
                <c:pt idx="6">
                  <c:v>1.71</c:v>
                </c:pt>
                <c:pt idx="7">
                  <c:v>2.16</c:v>
                </c:pt>
                <c:pt idx="8">
                  <c:v>2.71</c:v>
                </c:pt>
                <c:pt idx="9">
                  <c:v>3.62</c:v>
                </c:pt>
                <c:pt idx="10">
                  <c:v>4.17</c:v>
                </c:pt>
                <c:pt idx="11">
                  <c:v>-0.1</c:v>
                </c:pt>
                <c:pt idx="12">
                  <c:v>0.01</c:v>
                </c:pt>
              </c:numCache>
            </c:numRef>
          </c:val>
          <c:smooth val="0"/>
        </c:ser>
        <c:ser>
          <c:idx val="4"/>
          <c:order val="4"/>
          <c:tx>
            <c:strRef>
              <c:f>Hoja1!$F$1</c:f>
              <c:strCache>
                <c:ptCount val="1"/>
                <c:pt idx="0">
                  <c:v>Estrato IV</c:v>
                </c:pt>
              </c:strCache>
            </c:strRef>
          </c:tx>
          <c:spPr>
            <a:ln w="22225" cap="rnd" cmpd="dbl">
              <a:solidFill>
                <a:schemeClr val="accent5"/>
              </a:solidFill>
              <a:prstDash val="sysDash"/>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Hoja1!$F$2:$F$14</c:f>
              <c:numCache>
                <c:formatCode>0.00</c:formatCode>
                <c:ptCount val="13"/>
                <c:pt idx="0">
                  <c:v>1.21</c:v>
                </c:pt>
                <c:pt idx="1">
                  <c:v>1.5</c:v>
                </c:pt>
                <c:pt idx="2">
                  <c:v>1.37</c:v>
                </c:pt>
                <c:pt idx="3">
                  <c:v>1.02</c:v>
                </c:pt>
                <c:pt idx="4">
                  <c:v>1.22</c:v>
                </c:pt>
                <c:pt idx="5">
                  <c:v>1.52</c:v>
                </c:pt>
                <c:pt idx="6">
                  <c:v>1.83</c:v>
                </c:pt>
                <c:pt idx="7">
                  <c:v>2.27</c:v>
                </c:pt>
                <c:pt idx="8">
                  <c:v>2.83</c:v>
                </c:pt>
                <c:pt idx="9">
                  <c:v>3.58</c:v>
                </c:pt>
                <c:pt idx="10">
                  <c:v>4.0199999999999996</c:v>
                </c:pt>
                <c:pt idx="11">
                  <c:v>-0.08</c:v>
                </c:pt>
                <c:pt idx="12">
                  <c:v>0.18</c:v>
                </c:pt>
              </c:numCache>
            </c:numRef>
          </c:val>
          <c:smooth val="0"/>
        </c:ser>
        <c:dLbls>
          <c:showLegendKey val="0"/>
          <c:showVal val="0"/>
          <c:showCatName val="0"/>
          <c:showSerName val="0"/>
          <c:showPercent val="0"/>
          <c:showBubbleSize val="0"/>
        </c:dLbls>
        <c:marker val="1"/>
        <c:smooth val="0"/>
        <c:axId val="572389520"/>
        <c:axId val="572390064"/>
      </c:lineChart>
      <c:catAx>
        <c:axId val="572389520"/>
        <c:scaling>
          <c:orientation val="minMax"/>
        </c:scaling>
        <c:delete val="0"/>
        <c:axPos val="b"/>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572390064"/>
        <c:crosses val="autoZero"/>
        <c:auto val="1"/>
        <c:lblAlgn val="ctr"/>
        <c:lblOffset val="100"/>
        <c:noMultiLvlLbl val="0"/>
      </c:catAx>
      <c:valAx>
        <c:axId val="572390064"/>
        <c:scaling>
          <c:orientation val="minMax"/>
          <c:max val="4.8"/>
          <c:min val="-0.5"/>
        </c:scaling>
        <c:delete val="0"/>
        <c:axPos val="l"/>
        <c:majorGridlines>
          <c:spPr>
            <a:ln w="9525" cap="flat" cmpd="sng" algn="ctr">
              <a:solidFill>
                <a:schemeClr val="dk1">
                  <a:lumMod val="15000"/>
                  <a:lumOff val="85000"/>
                  <a:alpha val="54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572389520"/>
        <c:crosses val="autoZero"/>
        <c:crossBetween val="between"/>
        <c:minorUnit val="0.2"/>
      </c:valAx>
      <c:spPr>
        <a:pattFill prst="ltDnDiag">
          <a:fgClr>
            <a:srgbClr val="000000">
              <a:alpha val="0"/>
            </a:srgbClr>
          </a:fgClr>
          <a:bgClr>
            <a:srgbClr val="FFFFFF"/>
          </a:bgClr>
        </a:pattFill>
        <a:ln w="25400">
          <a:noFill/>
        </a:ln>
        <a:effectLst/>
      </c:spPr>
    </c:plotArea>
    <c:legend>
      <c:legendPos val="b"/>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5.6180823141788128E-2"/>
          <c:y val="4.7542230298135812E-2"/>
          <c:w val="0.21624336851510584"/>
          <c:h val="0.238782556026650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885260396974023E-2"/>
          <c:y val="6.3996904233124707E-2"/>
          <c:w val="0.9185402356620318"/>
          <c:h val="0.76322666397469552"/>
        </c:manualLayout>
      </c:layout>
      <c:barChart>
        <c:barDir val="col"/>
        <c:grouping val="clustered"/>
        <c:varyColors val="0"/>
        <c:ser>
          <c:idx val="0"/>
          <c:order val="0"/>
          <c:tx>
            <c:strRef>
              <c:f>Hoja1!$B$1</c:f>
              <c:strCache>
                <c:ptCount val="1"/>
                <c:pt idx="0">
                  <c:v>INPC</c:v>
                </c:pt>
              </c:strCache>
            </c:strRef>
          </c:tx>
          <c:spPr>
            <a:gradFill flip="none" rotWithShape="1">
              <a:gsLst>
                <a:gs pos="0">
                  <a:schemeClr val="accent3">
                    <a:lumMod val="0"/>
                    <a:lumOff val="100000"/>
                  </a:schemeClr>
                </a:gs>
                <a:gs pos="78000">
                  <a:srgbClr val="107392">
                    <a:alpha val="33000"/>
                  </a:srgbClr>
                </a:gs>
              </a:gsLst>
              <a:path path="circle">
                <a:fillToRect r="100000" b="100000"/>
              </a:path>
              <a:tileRect l="-100000" t="-100000"/>
            </a:gradFill>
            <a:ln w="9525" cap="flat" cmpd="sng" algn="ctr">
              <a:solidFill>
                <a:schemeClr val="bg1">
                  <a:lumMod val="65000"/>
                </a:schemeClr>
              </a:solidFill>
              <a:prstDash val="solid"/>
            </a:ln>
            <a:effectLst>
              <a:outerShdw blurRad="40000" dist="20000" dir="5400000" rotWithShape="0">
                <a:srgbClr val="000000">
                  <a:alpha val="38000"/>
                </a:srgbClr>
              </a:outerShdw>
            </a:effectLst>
          </c:spPr>
          <c:invertIfNegative val="0"/>
          <c:dLbls>
            <c:dLbl>
              <c:idx val="5"/>
              <c:layout>
                <c:manualLayout>
                  <c:x val="0.50354609929078009"/>
                  <c:y val="5.9765125513157012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3.00</a:t>
                    </a:r>
                  </a:p>
                </c:rich>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MX"/>
                </a:p>
              </c:txPr>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4.2300000000000004</c:v>
                </c:pt>
                <c:pt idx="1">
                  <c:v>3.76</c:v>
                </c:pt>
                <c:pt idx="2">
                  <c:v>3.5</c:v>
                </c:pt>
                <c:pt idx="3">
                  <c:v>3.51</c:v>
                </c:pt>
                <c:pt idx="4">
                  <c:v>3.75</c:v>
                </c:pt>
                <c:pt idx="5">
                  <c:v>4.07</c:v>
                </c:pt>
                <c:pt idx="6">
                  <c:v>4.1500000000000004</c:v>
                </c:pt>
                <c:pt idx="7">
                  <c:v>4.22</c:v>
                </c:pt>
                <c:pt idx="8">
                  <c:v>4.3</c:v>
                </c:pt>
                <c:pt idx="9">
                  <c:v>4.17</c:v>
                </c:pt>
                <c:pt idx="10">
                  <c:v>4.08</c:v>
                </c:pt>
                <c:pt idx="11">
                  <c:v>3.07</c:v>
                </c:pt>
                <c:pt idx="12">
                  <c:v>3</c:v>
                </c:pt>
              </c:numCache>
            </c:numRef>
          </c:val>
        </c:ser>
        <c:dLbls>
          <c:showLegendKey val="0"/>
          <c:showVal val="0"/>
          <c:showCatName val="0"/>
          <c:showSerName val="0"/>
          <c:showPercent val="0"/>
          <c:showBubbleSize val="0"/>
        </c:dLbls>
        <c:gapWidth val="0"/>
        <c:axId val="572391152"/>
        <c:axId val="572392240"/>
      </c:barChart>
      <c:lineChart>
        <c:grouping val="standard"/>
        <c:varyColors val="0"/>
        <c:ser>
          <c:idx val="1"/>
          <c:order val="1"/>
          <c:tx>
            <c:strRef>
              <c:f>Hoja1!$C$1</c:f>
              <c:strCache>
                <c:ptCount val="1"/>
                <c:pt idx="0">
                  <c:v>Estrato I</c:v>
                </c:pt>
              </c:strCache>
            </c:strRef>
          </c:tx>
          <c:spPr>
            <a:ln w="22225" cap="rnd">
              <a:solidFill>
                <a:schemeClr val="accent2"/>
              </a:solidFill>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Hoja1!$C$2:$C$14</c:f>
              <c:numCache>
                <c:formatCode>0.00</c:formatCode>
                <c:ptCount val="13"/>
                <c:pt idx="0">
                  <c:v>4.0999999999999996</c:v>
                </c:pt>
                <c:pt idx="1">
                  <c:v>3.48</c:v>
                </c:pt>
                <c:pt idx="2">
                  <c:v>2.92</c:v>
                </c:pt>
                <c:pt idx="3">
                  <c:v>3.07</c:v>
                </c:pt>
                <c:pt idx="4">
                  <c:v>3.48</c:v>
                </c:pt>
                <c:pt idx="5">
                  <c:v>3.95</c:v>
                </c:pt>
                <c:pt idx="6">
                  <c:v>4.03</c:v>
                </c:pt>
                <c:pt idx="7">
                  <c:v>4.1100000000000003</c:v>
                </c:pt>
                <c:pt idx="8">
                  <c:v>4.2300000000000004</c:v>
                </c:pt>
                <c:pt idx="9">
                  <c:v>4.05</c:v>
                </c:pt>
                <c:pt idx="10">
                  <c:v>4.17</c:v>
                </c:pt>
                <c:pt idx="11">
                  <c:v>3.03</c:v>
                </c:pt>
                <c:pt idx="12">
                  <c:v>3.07</c:v>
                </c:pt>
              </c:numCache>
            </c:numRef>
          </c:val>
          <c:smooth val="0"/>
        </c:ser>
        <c:ser>
          <c:idx val="2"/>
          <c:order val="2"/>
          <c:tx>
            <c:strRef>
              <c:f>Hoja1!$D$1</c:f>
              <c:strCache>
                <c:ptCount val="1"/>
                <c:pt idx="0">
                  <c:v>Estrato II</c:v>
                </c:pt>
              </c:strCache>
            </c:strRef>
          </c:tx>
          <c:spPr>
            <a:ln w="22225" cap="rnd">
              <a:solidFill>
                <a:schemeClr val="accent3"/>
              </a:solidFill>
              <a:prstDash val="lgDash"/>
              <a:round/>
              <a:headEnd w="sm" len="lg"/>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Hoja1!$D$2:$D$14</c:f>
              <c:numCache>
                <c:formatCode>0.00</c:formatCode>
                <c:ptCount val="13"/>
                <c:pt idx="0">
                  <c:v>4.1399999999999997</c:v>
                </c:pt>
                <c:pt idx="1">
                  <c:v>3.4</c:v>
                </c:pt>
                <c:pt idx="2">
                  <c:v>2.83</c:v>
                </c:pt>
                <c:pt idx="3">
                  <c:v>3.05</c:v>
                </c:pt>
                <c:pt idx="4">
                  <c:v>3.5</c:v>
                </c:pt>
                <c:pt idx="5">
                  <c:v>3.95</c:v>
                </c:pt>
                <c:pt idx="6">
                  <c:v>4.01</c:v>
                </c:pt>
                <c:pt idx="7">
                  <c:v>4.13</c:v>
                </c:pt>
                <c:pt idx="8">
                  <c:v>4.3</c:v>
                </c:pt>
                <c:pt idx="9">
                  <c:v>4.12</c:v>
                </c:pt>
                <c:pt idx="10">
                  <c:v>4.18</c:v>
                </c:pt>
                <c:pt idx="11">
                  <c:v>3.12</c:v>
                </c:pt>
                <c:pt idx="12">
                  <c:v>3.1</c:v>
                </c:pt>
              </c:numCache>
            </c:numRef>
          </c:val>
          <c:smooth val="0"/>
        </c:ser>
        <c:ser>
          <c:idx val="3"/>
          <c:order val="3"/>
          <c:tx>
            <c:strRef>
              <c:f>Hoja1!$E$1</c:f>
              <c:strCache>
                <c:ptCount val="1"/>
                <c:pt idx="0">
                  <c:v>Estrato III</c:v>
                </c:pt>
              </c:strCache>
            </c:strRef>
          </c:tx>
          <c:spPr>
            <a:ln w="44450" cap="rnd" cmpd="tri">
              <a:solidFill>
                <a:schemeClr val="accent6"/>
              </a:solidFill>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Hoja1!$E$2:$E$14</c:f>
              <c:numCache>
                <c:formatCode>0.00</c:formatCode>
                <c:ptCount val="13"/>
                <c:pt idx="0">
                  <c:v>4.33</c:v>
                </c:pt>
                <c:pt idx="1">
                  <c:v>3.75</c:v>
                </c:pt>
                <c:pt idx="2">
                  <c:v>3.28</c:v>
                </c:pt>
                <c:pt idx="3">
                  <c:v>3.42</c:v>
                </c:pt>
                <c:pt idx="4">
                  <c:v>3.76</c:v>
                </c:pt>
                <c:pt idx="5">
                  <c:v>4.1100000000000003</c:v>
                </c:pt>
                <c:pt idx="6">
                  <c:v>4.21</c:v>
                </c:pt>
                <c:pt idx="7">
                  <c:v>4.2699999999999996</c:v>
                </c:pt>
                <c:pt idx="8">
                  <c:v>4.4000000000000004</c:v>
                </c:pt>
                <c:pt idx="9">
                  <c:v>4.2699999999999996</c:v>
                </c:pt>
                <c:pt idx="10">
                  <c:v>4.17</c:v>
                </c:pt>
                <c:pt idx="11">
                  <c:v>3.08</c:v>
                </c:pt>
                <c:pt idx="12">
                  <c:v>3.02</c:v>
                </c:pt>
              </c:numCache>
            </c:numRef>
          </c:val>
          <c:smooth val="0"/>
        </c:ser>
        <c:ser>
          <c:idx val="4"/>
          <c:order val="4"/>
          <c:tx>
            <c:strRef>
              <c:f>Hoja1!$F$1</c:f>
              <c:strCache>
                <c:ptCount val="1"/>
                <c:pt idx="0">
                  <c:v>Estrato IV</c:v>
                </c:pt>
              </c:strCache>
            </c:strRef>
          </c:tx>
          <c:spPr>
            <a:ln w="22225" cap="rnd">
              <a:solidFill>
                <a:schemeClr val="accent5"/>
              </a:solidFill>
              <a:prstDash val="sysDash"/>
              <a:round/>
            </a:ln>
            <a:effectLst/>
          </c:spPr>
          <c:marker>
            <c:symbol val="none"/>
          </c:marker>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Hoja1!$F$2:$F$14</c:f>
              <c:numCache>
                <c:formatCode>0.00</c:formatCode>
                <c:ptCount val="13"/>
                <c:pt idx="0">
                  <c:v>4.2300000000000004</c:v>
                </c:pt>
                <c:pt idx="1">
                  <c:v>3.85</c:v>
                </c:pt>
                <c:pt idx="2">
                  <c:v>3.73</c:v>
                </c:pt>
                <c:pt idx="3">
                  <c:v>3.65</c:v>
                </c:pt>
                <c:pt idx="4">
                  <c:v>3.81</c:v>
                </c:pt>
                <c:pt idx="5">
                  <c:v>4.08</c:v>
                </c:pt>
                <c:pt idx="6">
                  <c:v>4.16</c:v>
                </c:pt>
                <c:pt idx="7">
                  <c:v>4.21</c:v>
                </c:pt>
                <c:pt idx="8">
                  <c:v>4.25</c:v>
                </c:pt>
                <c:pt idx="9">
                  <c:v>4.1399999999999997</c:v>
                </c:pt>
                <c:pt idx="10">
                  <c:v>4.0199999999999996</c:v>
                </c:pt>
                <c:pt idx="11">
                  <c:v>3.05</c:v>
                </c:pt>
                <c:pt idx="12">
                  <c:v>2.97</c:v>
                </c:pt>
              </c:numCache>
            </c:numRef>
          </c:val>
          <c:smooth val="0"/>
        </c:ser>
        <c:dLbls>
          <c:showLegendKey val="0"/>
          <c:showVal val="0"/>
          <c:showCatName val="0"/>
          <c:showSerName val="0"/>
          <c:showPercent val="0"/>
          <c:showBubbleSize val="0"/>
        </c:dLbls>
        <c:marker val="1"/>
        <c:smooth val="0"/>
        <c:axId val="572391152"/>
        <c:axId val="572392240"/>
      </c:lineChart>
      <c:catAx>
        <c:axId val="57239115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572392240"/>
        <c:crosses val="autoZero"/>
        <c:auto val="1"/>
        <c:lblAlgn val="ctr"/>
        <c:lblOffset val="100"/>
        <c:noMultiLvlLbl val="0"/>
      </c:catAx>
      <c:valAx>
        <c:axId val="572392240"/>
        <c:scaling>
          <c:orientation val="minMax"/>
          <c:max val="6"/>
          <c:min val="2.2999999999999998"/>
        </c:scaling>
        <c:delete val="0"/>
        <c:axPos val="l"/>
        <c:majorGridlines>
          <c:spPr>
            <a:ln w="9525" cap="flat" cmpd="sng" algn="ctr">
              <a:solidFill>
                <a:schemeClr val="dk1">
                  <a:lumMod val="15000"/>
                  <a:lumOff val="85000"/>
                  <a:alpha val="54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572391152"/>
        <c:crosses val="autoZero"/>
        <c:crossBetween val="between"/>
      </c:valAx>
      <c:spPr>
        <a:pattFill prst="ltDnDiag">
          <a:fgClr>
            <a:schemeClr val="dk1">
              <a:lumMod val="15000"/>
              <a:lumOff val="85000"/>
            </a:schemeClr>
          </a:fgClr>
          <a:bgClr>
            <a:schemeClr val="lt1"/>
          </a:bgClr>
        </a:pattFill>
        <a:ln>
          <a:noFill/>
        </a:ln>
        <a:effectLst/>
      </c:spPr>
    </c:plotArea>
    <c:legend>
      <c:legendPos val="b"/>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9.4005882243442973E-2"/>
          <c:y val="9.0277273033178548E-2"/>
          <c:w val="0.18551050799501123"/>
          <c:h val="0.255876573120667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6.9890355563592119E-2"/>
          <c:w val="1"/>
          <c:h val="0.85724363959560079"/>
        </c:manualLayout>
      </c:layout>
      <c:bar3DChart>
        <c:barDir val="col"/>
        <c:grouping val="clustered"/>
        <c:varyColors val="0"/>
        <c:ser>
          <c:idx val="0"/>
          <c:order val="0"/>
          <c:tx>
            <c:strRef>
              <c:f>Hoja1!$B$1</c:f>
              <c:strCache>
                <c:ptCount val="1"/>
                <c:pt idx="0">
                  <c:v>  INPC</c:v>
                </c:pt>
              </c:strCache>
            </c:strRef>
          </c:tx>
          <c:spPr>
            <a:solidFill>
              <a:srgbClr val="266196"/>
            </a:solidFill>
            <a:ln w="9525" cap="flat" cmpd="sng" algn="ctr">
              <a:solidFill>
                <a:schemeClr val="accent5">
                  <a:shade val="95000"/>
                  <a:satMod val="105000"/>
                </a:schemeClr>
              </a:solidFill>
              <a:prstDash val="solid"/>
              <a:round/>
            </a:ln>
            <a:effectLst>
              <a:outerShdw blurRad="40000" dist="20000" dir="5400000" rotWithShape="0">
                <a:srgbClr val="000000">
                  <a:alpha val="38000"/>
                </a:srgbClr>
              </a:outerShdw>
            </a:effectLst>
            <a:sp3d contourW="9525">
              <a:contourClr>
                <a:schemeClr val="accent5">
                  <a:shade val="95000"/>
                  <a:satMod val="105000"/>
                </a:schemeClr>
              </a:contourClr>
            </a:sp3d>
          </c:spPr>
          <c:invertIfNegative val="0"/>
          <c:dLbls>
            <c:dLbl>
              <c:idx val="0"/>
              <c:layout>
                <c:manualLayout>
                  <c:x val="1.7157797556880742E-2"/>
                  <c:y val="7.887127900643504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7754319302210358E-3"/>
                  <c:y val="-3.773610279927647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0861678004535186E-3"/>
                  <c:y val="-4.183400267737690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Hoja1!$B$2:$B$3</c:f>
              <c:numCache>
                <c:formatCode>0.00</c:formatCode>
                <c:ptCount val="2"/>
                <c:pt idx="0">
                  <c:v>1.1499999999999999</c:v>
                </c:pt>
                <c:pt idx="1">
                  <c:v>0.1</c:v>
                </c:pt>
              </c:numCache>
            </c:numRef>
          </c:val>
          <c:shape val="cylinder"/>
        </c:ser>
        <c:ser>
          <c:idx val="1"/>
          <c:order val="1"/>
          <c:tx>
            <c:strRef>
              <c:f>Hoja1!$C$1</c:f>
              <c:strCache>
                <c:ptCount val="1"/>
                <c:pt idx="0">
                  <c:v>  CANASTA BÁSICA</c:v>
                </c:pt>
              </c:strCache>
            </c:strRef>
          </c:tx>
          <c:spPr>
            <a:pattFill prst="smConfetti">
              <a:fgClr>
                <a:srgbClr val="FF0000"/>
              </a:fgClr>
              <a:bgClr>
                <a:schemeClr val="bg1"/>
              </a:bgClr>
            </a:pattFill>
            <a:ln w="9525" cap="flat" cmpd="sng" algn="ctr">
              <a:solidFill>
                <a:schemeClr val="accent2">
                  <a:lumMod val="75000"/>
                </a:schemeClr>
              </a:solidFill>
              <a:round/>
            </a:ln>
            <a:effectLst/>
            <a:sp3d contourW="9525">
              <a:contourClr>
                <a:schemeClr val="accent2">
                  <a:lumMod val="75000"/>
                </a:schemeClr>
              </a:contourClr>
            </a:sp3d>
          </c:spPr>
          <c:invertIfNegative val="0"/>
          <c:dLbls>
            <c:dLbl>
              <c:idx val="0"/>
              <c:layout>
                <c:manualLayout>
                  <c:x val="9.645936630035325E-3"/>
                  <c:y val="4.444683526429392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221809134428674E-2"/>
                  <c:y val="-4.092336451111921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Hoja1!$C$2:$C$3</c:f>
              <c:numCache>
                <c:formatCode>0.00</c:formatCode>
                <c:ptCount val="2"/>
                <c:pt idx="0">
                  <c:v>2.0099999999999998</c:v>
                </c:pt>
                <c:pt idx="1">
                  <c:v>0.37</c:v>
                </c:pt>
              </c:numCache>
            </c:numRef>
          </c:val>
          <c:shape val="cylinder"/>
        </c:ser>
        <c:ser>
          <c:idx val="2"/>
          <c:order val="2"/>
          <c:tx>
            <c:strRef>
              <c:f>Hoja1!$D$1</c:f>
              <c:strCache>
                <c:ptCount val="1"/>
                <c:pt idx="0">
                  <c:v>  ESTRATO 1 </c:v>
                </c:pt>
              </c:strCache>
            </c:strRef>
          </c:tx>
          <c:spPr>
            <a:pattFill prst="wdUpDiag">
              <a:fgClr>
                <a:schemeClr val="bg1"/>
              </a:fgClr>
              <a:bgClr>
                <a:schemeClr val="accent3">
                  <a:lumMod val="75000"/>
                </a:schemeClr>
              </a:bgClr>
            </a:patt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a:sp3d contourW="9525">
              <a:contourClr>
                <a:schemeClr val="accent3">
                  <a:shade val="95000"/>
                  <a:satMod val="105000"/>
                </a:schemeClr>
              </a:contourClr>
            </a:sp3d>
          </c:spPr>
          <c:invertIfNegative val="0"/>
          <c:dLbls>
            <c:dLbl>
              <c:idx val="0"/>
              <c:layout>
                <c:manualLayout>
                  <c:x val="2.4552385908755523E-3"/>
                  <c:y val="8.543744158367906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915970100840322E-2"/>
                  <c:y val="4.0345084960024746E-6"/>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Hoja1!$D$2:$D$3</c:f>
              <c:numCache>
                <c:formatCode>0.00</c:formatCode>
                <c:ptCount val="2"/>
                <c:pt idx="0">
                  <c:v>0.97</c:v>
                </c:pt>
                <c:pt idx="1">
                  <c:v>-0.1</c:v>
                </c:pt>
              </c:numCache>
            </c:numRef>
          </c:val>
          <c:shape val="cylinder"/>
        </c:ser>
        <c:dLbls>
          <c:showLegendKey val="0"/>
          <c:showVal val="0"/>
          <c:showCatName val="0"/>
          <c:showSerName val="0"/>
          <c:showPercent val="0"/>
          <c:showBubbleSize val="0"/>
        </c:dLbls>
        <c:gapWidth val="65"/>
        <c:shape val="box"/>
        <c:axId val="440320032"/>
        <c:axId val="440317856"/>
        <c:axId val="0"/>
      </c:bar3DChart>
      <c:catAx>
        <c:axId val="44032003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40317856"/>
        <c:crosses val="autoZero"/>
        <c:auto val="1"/>
        <c:lblAlgn val="ctr"/>
        <c:lblOffset val="100"/>
        <c:noMultiLvlLbl val="0"/>
      </c:catAx>
      <c:valAx>
        <c:axId val="440317856"/>
        <c:scaling>
          <c:orientation val="minMax"/>
          <c:max val="2.4"/>
          <c:min val="-1"/>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440320032"/>
        <c:crosses val="autoZero"/>
        <c:crossBetween val="between"/>
      </c:valAx>
      <c:spPr>
        <a:noFill/>
        <a:ln>
          <a:noFill/>
        </a:ln>
        <a:effectLst/>
      </c:spPr>
    </c:plotArea>
    <c:legend>
      <c:legendPos val="b"/>
      <c:layout>
        <c:manualLayout>
          <c:xMode val="edge"/>
          <c:yMode val="edge"/>
          <c:x val="0.22426401656787018"/>
          <c:y val="4.8355601578837656E-2"/>
          <c:w val="0.51115693494401926"/>
          <c:h val="6.774275973829488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3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798548329606947E-2"/>
          <c:y val="1.6229705814460489E-2"/>
          <c:w val="0.9642898341411027"/>
          <c:h val="0.92900920772525586"/>
        </c:manualLayout>
      </c:layout>
      <c:line3DChart>
        <c:grouping val="standard"/>
        <c:varyColors val="0"/>
        <c:ser>
          <c:idx val="0"/>
          <c:order val="0"/>
          <c:tx>
            <c:strRef>
              <c:f>Hoja1!$B$1</c:f>
              <c:strCache>
                <c:ptCount val="1"/>
                <c:pt idx="0">
                  <c:v>Canasta Básica</c:v>
                </c:pt>
              </c:strCache>
            </c:strRef>
          </c:tx>
          <c:spPr>
            <a:pattFill prst="wdDnDiag">
              <a:fgClr>
                <a:srgbClr val="FF0000"/>
              </a:fgClr>
              <a:bgClr>
                <a:schemeClr val="bg1"/>
              </a:bgClr>
            </a:pattFill>
            <a:ln>
              <a:noFill/>
            </a:ln>
            <a:effectLst>
              <a:outerShdw blurRad="57150" dist="19050" dir="5400000" algn="ctr" rotWithShape="0">
                <a:srgbClr val="000000">
                  <a:alpha val="63000"/>
                </a:srgbClr>
              </a:outerShdw>
            </a:effectLst>
            <a:sp3d/>
          </c:spPr>
          <c:dLbls>
            <c:dLbl>
              <c:idx val="0"/>
              <c:layout>
                <c:manualLayout>
                  <c:x val="1.4109347442680775E-2"/>
                  <c:y val="-3.2573289902280193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4.2328042328042242E-2"/>
                  <c:y val="4.8859934853420196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1.1757789535567314E-2"/>
                  <c:y val="4.2345276872964049E-2"/>
                </c:manualLayout>
              </c:layout>
              <c:showLegendKey val="0"/>
              <c:showVal val="1"/>
              <c:showCatName val="0"/>
              <c:showSerName val="0"/>
              <c:showPercent val="0"/>
              <c:showBubbleSize val="0"/>
              <c:extLst>
                <c:ext xmlns:c15="http://schemas.microsoft.com/office/drawing/2012/chart" uri="{CE6537A1-D6FC-4f65-9D91-7224C49458BB}"/>
              </c:extLst>
            </c:dLbl>
            <c:spPr>
              <a:noFill/>
              <a:ln w="3175">
                <a:solidFill>
                  <a:sysClr val="windowText" lastClr="000000"/>
                </a:solidFill>
                <a:prstDash val="sysDot"/>
              </a:ln>
              <a:effectLst/>
            </c:spPr>
            <c:txPr>
              <a:bodyPr rot="0" spcFirstLastPara="1" vertOverflow="clip" horzOverflow="clip" vert="horz" wrap="square" lIns="38100" tIns="19050" rIns="38100" bIns="19050" anchor="ctr" anchorCtr="1">
                <a:spAutoFit/>
              </a:bodyPr>
              <a:lstStyle/>
              <a:p>
                <a:pPr>
                  <a:defRPr sz="7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5.79</c:v>
                </c:pt>
                <c:pt idx="1">
                  <c:v>5.49</c:v>
                </c:pt>
                <c:pt idx="2">
                  <c:v>4.83</c:v>
                </c:pt>
                <c:pt idx="3">
                  <c:v>4.5999999999999996</c:v>
                </c:pt>
                <c:pt idx="4">
                  <c:v>4.8099999999999996</c:v>
                </c:pt>
                <c:pt idx="5">
                  <c:v>4.99</c:v>
                </c:pt>
                <c:pt idx="6">
                  <c:v>5.04</c:v>
                </c:pt>
                <c:pt idx="7">
                  <c:v>4.99</c:v>
                </c:pt>
                <c:pt idx="8">
                  <c:v>5.0999999999999996</c:v>
                </c:pt>
                <c:pt idx="9">
                  <c:v>5.09</c:v>
                </c:pt>
                <c:pt idx="10">
                  <c:v>4.66</c:v>
                </c:pt>
                <c:pt idx="11">
                  <c:v>2.94</c:v>
                </c:pt>
                <c:pt idx="12">
                  <c:v>2.97</c:v>
                </c:pt>
              </c:numCache>
            </c:numRef>
          </c:val>
          <c:smooth val="0"/>
        </c:ser>
        <c:ser>
          <c:idx val="1"/>
          <c:order val="1"/>
          <c:tx>
            <c:strRef>
              <c:f>Hoja1!$C$1</c:f>
              <c:strCache>
                <c:ptCount val="1"/>
                <c:pt idx="0">
                  <c:v>Estrato I</c:v>
                </c:pt>
              </c:strCache>
            </c:strRef>
          </c:tx>
          <c:spPr>
            <a:solidFill>
              <a:schemeClr val="accent4">
                <a:lumMod val="60000"/>
                <a:lumOff val="40000"/>
              </a:schemeClr>
            </a:solidFill>
            <a:ln>
              <a:noFill/>
            </a:ln>
            <a:effectLst>
              <a:outerShdw blurRad="57150" dist="19050" dir="5400000" algn="ctr" rotWithShape="0">
                <a:srgbClr val="000000">
                  <a:alpha val="63000"/>
                </a:srgbClr>
              </a:outerShdw>
            </a:effectLst>
            <a:sp3d/>
          </c:spPr>
          <c:dLbls>
            <c:dLbl>
              <c:idx val="0"/>
              <c:layout>
                <c:manualLayout>
                  <c:x val="-6.1140505584950031E-2"/>
                  <c:y val="5.2117263843648148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2.3515579071134627E-3"/>
                  <c:y val="-7.4918566775244416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1.4109347442680775E-2"/>
                  <c:y val="3.2573289902280131E-2"/>
                </c:manualLayout>
              </c:layout>
              <c:showLegendKey val="0"/>
              <c:showVal val="1"/>
              <c:showCatName val="0"/>
              <c:showSerName val="0"/>
              <c:showPercent val="0"/>
              <c:showBubbleSize val="0"/>
              <c:extLst>
                <c:ext xmlns:c15="http://schemas.microsoft.com/office/drawing/2012/chart" uri="{CE6537A1-D6FC-4f65-9D91-7224C49458BB}"/>
              </c:extLst>
            </c:dLbl>
            <c:spPr>
              <a:solidFill>
                <a:srgbClr val="E7E6E6"/>
              </a:solidFill>
              <a:ln w="6350" cap="flat" cmpd="sng" algn="ctr">
                <a:noFill/>
                <a:prstDash val="solid"/>
                <a:miter lim="800000"/>
              </a:ln>
              <a:effectLst/>
            </c:spPr>
            <c:txPr>
              <a:bodyPr rot="0" spcFirstLastPara="1" vertOverflow="clip" horzOverflow="clip" vert="horz" wrap="square" lIns="38100" tIns="19050" rIns="38100" bIns="19050" anchor="ctr" anchorCtr="1">
                <a:spAutoFit/>
              </a:bodyPr>
              <a:lstStyle/>
              <a:p>
                <a:pPr>
                  <a:defRPr sz="7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Hoja1!$C$2:$C$14</c:f>
              <c:numCache>
                <c:formatCode>0.00</c:formatCode>
                <c:ptCount val="13"/>
                <c:pt idx="0">
                  <c:v>4.0999999999999996</c:v>
                </c:pt>
                <c:pt idx="1">
                  <c:v>3.48</c:v>
                </c:pt>
                <c:pt idx="2">
                  <c:v>2.92</c:v>
                </c:pt>
                <c:pt idx="3">
                  <c:v>3.07</c:v>
                </c:pt>
                <c:pt idx="4">
                  <c:v>3.48</c:v>
                </c:pt>
                <c:pt idx="5">
                  <c:v>3.95</c:v>
                </c:pt>
                <c:pt idx="6">
                  <c:v>4.03</c:v>
                </c:pt>
                <c:pt idx="7">
                  <c:v>4.1100000000000003</c:v>
                </c:pt>
                <c:pt idx="8">
                  <c:v>4.2300000000000004</c:v>
                </c:pt>
                <c:pt idx="9">
                  <c:v>4.05</c:v>
                </c:pt>
                <c:pt idx="10">
                  <c:v>4.17</c:v>
                </c:pt>
                <c:pt idx="11">
                  <c:v>3.03</c:v>
                </c:pt>
                <c:pt idx="12">
                  <c:v>3.07</c:v>
                </c:pt>
              </c:numCache>
            </c:numRef>
          </c:val>
          <c:smooth val="0"/>
        </c:ser>
        <c:ser>
          <c:idx val="2"/>
          <c:order val="2"/>
          <c:tx>
            <c:strRef>
              <c:f>Hoja1!$D$1</c:f>
              <c:strCache>
                <c:ptCount val="1"/>
                <c:pt idx="0">
                  <c:v>INPC</c:v>
                </c:pt>
              </c:strCache>
            </c:strRef>
          </c:tx>
          <c:spPr>
            <a:solidFill>
              <a:schemeClr val="accent5">
                <a:lumMod val="50000"/>
              </a:schemeClr>
            </a:solidFill>
            <a:ln>
              <a:noFill/>
            </a:ln>
            <a:effectLst>
              <a:outerShdw blurRad="57150" dist="19050" dir="5400000" algn="ctr" rotWithShape="0">
                <a:srgbClr val="000000">
                  <a:alpha val="63000"/>
                </a:srgbClr>
              </a:outerShdw>
            </a:effectLst>
            <a:sp3d/>
          </c:spPr>
          <c:dLbls>
            <c:dLbl>
              <c:idx val="0"/>
              <c:layout>
                <c:manualLayout>
                  <c:x val="-6.1140505584950051E-2"/>
                  <c:y val="-4.234527687296423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4.4679600235155791E-2"/>
                  <c:y val="-8.4690553745928335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1.4109347442680775E-2"/>
                  <c:y val="-3.5830618892508263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w="3175" cap="flat" cmpd="sng" algn="ctr">
                <a:solidFill>
                  <a:srgbClr val="A5A5A5"/>
                </a:solidFill>
                <a:prstDash val="solid"/>
                <a:miter lim="800000"/>
              </a:ln>
              <a:effectLst/>
            </c:spPr>
            <c:txPr>
              <a:bodyPr rot="0" spcFirstLastPara="1" vertOverflow="clip" horzOverflow="clip" vert="horz" wrap="square" lIns="38100" tIns="19050" rIns="38100" bIns="19050" anchor="ctr" anchorCtr="1">
                <a:spAutoFit/>
              </a:bodyPr>
              <a:lstStyle/>
              <a:p>
                <a:pPr>
                  <a:defRPr sz="7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Hoja1!$D$2:$D$14</c:f>
              <c:numCache>
                <c:formatCode>0.00</c:formatCode>
                <c:ptCount val="13"/>
                <c:pt idx="0">
                  <c:v>4.2300000000000004</c:v>
                </c:pt>
                <c:pt idx="1">
                  <c:v>3.76</c:v>
                </c:pt>
                <c:pt idx="2">
                  <c:v>3.5</c:v>
                </c:pt>
                <c:pt idx="3">
                  <c:v>3.51</c:v>
                </c:pt>
                <c:pt idx="4">
                  <c:v>3.75</c:v>
                </c:pt>
                <c:pt idx="5">
                  <c:v>4.07</c:v>
                </c:pt>
                <c:pt idx="6">
                  <c:v>4.1500000000000004</c:v>
                </c:pt>
                <c:pt idx="7">
                  <c:v>4.22</c:v>
                </c:pt>
                <c:pt idx="8">
                  <c:v>4.3</c:v>
                </c:pt>
                <c:pt idx="9">
                  <c:v>4.17</c:v>
                </c:pt>
                <c:pt idx="10">
                  <c:v>4.08</c:v>
                </c:pt>
                <c:pt idx="11">
                  <c:v>3.07</c:v>
                </c:pt>
                <c:pt idx="12">
                  <c:v>3</c:v>
                </c:pt>
              </c:numCache>
            </c:numRef>
          </c:val>
          <c:smooth val="0"/>
        </c:ser>
        <c:dLbls>
          <c:showLegendKey val="0"/>
          <c:showVal val="1"/>
          <c:showCatName val="0"/>
          <c:showSerName val="0"/>
          <c:showPercent val="0"/>
          <c:showBubbleSize val="0"/>
        </c:dLbls>
        <c:axId val="440328192"/>
        <c:axId val="440316768"/>
        <c:axId val="685002544"/>
      </c:line3DChart>
      <c:catAx>
        <c:axId val="440328192"/>
        <c:scaling>
          <c:orientation val="minMax"/>
        </c:scaling>
        <c:delete val="0"/>
        <c:axPos val="b"/>
        <c:numFmt formatCode="General" sourceLinked="1"/>
        <c:majorTickMark val="out"/>
        <c:minorTickMark val="none"/>
        <c:tickLblPos val="nextTo"/>
        <c:spPr>
          <a:noFill/>
          <a:ln w="9525" cap="flat" cmpd="sng" algn="ctr">
            <a:solidFill>
              <a:schemeClr val="dk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crossAx val="440316768"/>
        <c:crosses val="autoZero"/>
        <c:auto val="0"/>
        <c:lblAlgn val="ctr"/>
        <c:lblOffset val="100"/>
        <c:noMultiLvlLbl val="0"/>
      </c:catAx>
      <c:valAx>
        <c:axId val="440316768"/>
        <c:scaling>
          <c:orientation val="minMax"/>
          <c:max val="6.5"/>
          <c:min val="1.9"/>
        </c:scaling>
        <c:delete val="1"/>
        <c:axPos val="l"/>
        <c:numFmt formatCode="#,##0.0" sourceLinked="0"/>
        <c:majorTickMark val="none"/>
        <c:minorTickMark val="none"/>
        <c:tickLblPos val="nextTo"/>
        <c:crossAx val="440328192"/>
        <c:crosses val="autoZero"/>
        <c:crossBetween val="between"/>
      </c:valAx>
      <c:serAx>
        <c:axId val="685002544"/>
        <c:scaling>
          <c:orientation val="minMax"/>
        </c:scaling>
        <c:delete val="1"/>
        <c:axPos val="b"/>
        <c:majorTickMark val="out"/>
        <c:minorTickMark val="none"/>
        <c:tickLblPos val="nextTo"/>
        <c:crossAx val="440316768"/>
        <c:crosses val="autoZero"/>
      </c:serAx>
      <c:spPr>
        <a:noFill/>
        <a:ln>
          <a:noFill/>
        </a:ln>
        <a:effectLst/>
      </c:spPr>
    </c:plotArea>
    <c:legend>
      <c:legendPos val="b"/>
      <c:layout>
        <c:manualLayout>
          <c:xMode val="edge"/>
          <c:yMode val="edge"/>
          <c:x val="0.25792590740972193"/>
          <c:y val="3.2050834850855373E-2"/>
          <c:w val="0.41668402560791012"/>
          <c:h val="5.525789325194285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a:solidFill>
        <a:schemeClr val="bg1">
          <a:lumMod val="65000"/>
        </a:schemeClr>
      </a:solidFill>
    </a:ln>
    <a:effectLst/>
  </c:spPr>
  <c:txPr>
    <a:bodyPr/>
    <a:lstStyle/>
    <a:p>
      <a:pPr>
        <a:defRPr/>
      </a:pPr>
      <a:endParaRPr lang="es-MX"/>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20"/>
      <c:rotY val="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2903733646285806E-2"/>
          <c:y val="5.487383994744488E-2"/>
          <c:w val="0.92664121744842587"/>
          <c:h val="0.75771224836613404"/>
        </c:manualLayout>
      </c:layout>
      <c:bar3DChart>
        <c:barDir val="col"/>
        <c:grouping val="clustered"/>
        <c:varyColors val="0"/>
        <c:ser>
          <c:idx val="0"/>
          <c:order val="0"/>
          <c:tx>
            <c:strRef>
              <c:f>Hoja1!$B$1</c:f>
              <c:strCache>
                <c:ptCount val="1"/>
                <c:pt idx="0">
                  <c:v>INPC</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dLbl>
              <c:idx val="1"/>
              <c:layout>
                <c:manualLayout>
                  <c:x val="-4.5071813754030835E-3"/>
                  <c:y val="8.294395045507678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4706059498809555E-2"/>
                  <c:y val="7.834537721562784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8033355572398764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560693641618505E-2"/>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1559208107727849E-2"/>
                  <c:y val="3.2654362067648092E-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Transporte público foráneo</c:v>
                </c:pt>
              </c:strCache>
            </c:strRef>
          </c:cat>
          <c:val>
            <c:numRef>
              <c:f>Hoja1!$B$2:$B$4</c:f>
              <c:numCache>
                <c:formatCode>0.00</c:formatCode>
                <c:ptCount val="3"/>
                <c:pt idx="0">
                  <c:v>0.1</c:v>
                </c:pt>
                <c:pt idx="1">
                  <c:v>0.1</c:v>
                </c:pt>
                <c:pt idx="2">
                  <c:v>-8.2100000000000009</c:v>
                </c:pt>
              </c:numCache>
            </c:numRef>
          </c:val>
        </c:ser>
        <c:ser>
          <c:idx val="1"/>
          <c:order val="1"/>
          <c:tx>
            <c:strRef>
              <c:f>Hoja1!$C$1</c:f>
              <c:strCache>
                <c:ptCount val="1"/>
                <c:pt idx="0">
                  <c:v>MATAMOROS, TAMPS.</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round/>
            </a:ln>
            <a:effectLst>
              <a:outerShdw blurRad="40000" dist="20000" dir="5400000" rotWithShape="0">
                <a:srgbClr val="000000">
                  <a:alpha val="38000"/>
                </a:srgbClr>
              </a:outerShdw>
            </a:effectLst>
            <a:sp3d contourW="9525">
              <a:contourClr>
                <a:schemeClr val="accent2">
                  <a:shade val="95000"/>
                  <a:satMod val="105000"/>
                </a:schemeClr>
              </a:contourClr>
            </a:sp3d>
          </c:spPr>
          <c:invertIfNegative val="0"/>
          <c:dPt>
            <c:idx val="3"/>
            <c:invertIfNegative val="0"/>
            <c:bubble3D val="0"/>
          </c:dPt>
          <c:dPt>
            <c:idx val="4"/>
            <c:invertIfNegative val="0"/>
            <c:bubble3D val="0"/>
          </c:dPt>
          <c:dPt>
            <c:idx val="5"/>
            <c:invertIfNegative val="0"/>
            <c:bubble3D val="0"/>
          </c:dPt>
          <c:dLbls>
            <c:dLbl>
              <c:idx val="0"/>
              <c:layout>
                <c:manualLayout>
                  <c:x val="7.2050657104883817E-3"/>
                  <c:y val="3.916960438699569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0994390617033064E-3"/>
                  <c:y val="1.17511897381804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Transporte público foráneo</c:v>
                </c:pt>
              </c:strCache>
            </c:strRef>
          </c:cat>
          <c:val>
            <c:numRef>
              <c:f>Hoja1!$C$2:$C$4</c:f>
              <c:numCache>
                <c:formatCode>0.00</c:formatCode>
                <c:ptCount val="3"/>
                <c:pt idx="0">
                  <c:v>-1.22</c:v>
                </c:pt>
                <c:pt idx="1">
                  <c:v>-7.37</c:v>
                </c:pt>
                <c:pt idx="2">
                  <c:v>-22.06</c:v>
                </c:pt>
              </c:numCache>
            </c:numRef>
          </c:val>
          <c:shape val="box"/>
        </c:ser>
        <c:dLbls>
          <c:showLegendKey val="0"/>
          <c:showVal val="0"/>
          <c:showCatName val="0"/>
          <c:showSerName val="0"/>
          <c:showPercent val="0"/>
          <c:showBubbleSize val="0"/>
        </c:dLbls>
        <c:gapWidth val="65"/>
        <c:shape val="cylinder"/>
        <c:axId val="440318944"/>
        <c:axId val="440318400"/>
        <c:axId val="0"/>
      </c:bar3DChart>
      <c:valAx>
        <c:axId val="440318400"/>
        <c:scaling>
          <c:orientation val="minMax"/>
          <c:max val="9"/>
          <c:min val="-26"/>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440318944"/>
        <c:crosses val="autoZero"/>
        <c:crossBetween val="between"/>
      </c:valAx>
      <c:catAx>
        <c:axId val="44031894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40318400"/>
        <c:crosses val="autoZero"/>
        <c:auto val="1"/>
        <c:lblAlgn val="ctr"/>
        <c:lblOffset val="100"/>
        <c:noMultiLvlLbl val="0"/>
      </c:catAx>
      <c:spPr>
        <a:noFill/>
        <a:ln>
          <a:noFill/>
        </a:ln>
        <a:effectLst/>
      </c:spPr>
    </c:plotArea>
    <c:legend>
      <c:legendPos val="b"/>
      <c:layout>
        <c:manualLayout>
          <c:xMode val="edge"/>
          <c:yMode val="edge"/>
          <c:x val="0.18754289788247405"/>
          <c:y val="2.908296862422163E-2"/>
          <c:w val="0.70698703457580303"/>
          <c:h val="6.609917003617792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rotY val="0"/>
      <c:depthPercent val="60"/>
      <c:rAngAx val="0"/>
      <c:perspective val="10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5614347494276263E-2"/>
          <c:y val="0.13199208991526926"/>
          <c:w val="0.96438565250572372"/>
          <c:h val="0.68246153556636924"/>
        </c:manualLayout>
      </c:layout>
      <c:bar3DChart>
        <c:barDir val="col"/>
        <c:grouping val="clustered"/>
        <c:varyColors val="0"/>
        <c:ser>
          <c:idx val="0"/>
          <c:order val="0"/>
          <c:tx>
            <c:strRef>
              <c:f>Hoja1!$B$1</c:f>
              <c:strCache>
                <c:ptCount val="1"/>
                <c:pt idx="0">
                  <c:v>INPC</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dLbls>
            <c:dLbl>
              <c:idx val="0"/>
              <c:layout>
                <c:manualLayout>
                  <c:x val="0"/>
                  <c:y val="-7.745933384972889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7.745933384972889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706381946129581E-3"/>
                  <c:y val="-7.745933384973030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Transporte público urbano</c:v>
                </c:pt>
              </c:strCache>
            </c:strRef>
          </c:cat>
          <c:val>
            <c:numRef>
              <c:f>Hoja1!$B$2:$B$4</c:f>
              <c:numCache>
                <c:formatCode>0.00</c:formatCode>
                <c:ptCount val="3"/>
                <c:pt idx="0">
                  <c:v>0.1</c:v>
                </c:pt>
                <c:pt idx="1">
                  <c:v>0.1</c:v>
                </c:pt>
                <c:pt idx="2">
                  <c:v>0.55000000000000004</c:v>
                </c:pt>
              </c:numCache>
            </c:numRef>
          </c:val>
        </c:ser>
        <c:ser>
          <c:idx val="1"/>
          <c:order val="1"/>
          <c:tx>
            <c:strRef>
              <c:f>Hoja1!$C$1</c:f>
              <c:strCache>
                <c:ptCount val="1"/>
                <c:pt idx="0">
                  <c:v>IGUALA, GRO.</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round/>
            </a:ln>
            <a:effectLst>
              <a:outerShdw blurRad="40000" dist="20000" dir="5400000" rotWithShape="0">
                <a:srgbClr val="000000">
                  <a:alpha val="38000"/>
                </a:srgbClr>
              </a:outerShdw>
            </a:effectLst>
            <a:sp3d contourW="9525">
              <a:contourClr>
                <a:schemeClr val="accent2">
                  <a:shade val="95000"/>
                  <a:satMod val="105000"/>
                </a:schemeClr>
              </a:contourClr>
            </a:sp3d>
          </c:spPr>
          <c:invertIfNegative val="0"/>
          <c:dPt>
            <c:idx val="3"/>
            <c:invertIfNegative val="0"/>
            <c:bubble3D val="0"/>
          </c:dPt>
          <c:dPt>
            <c:idx val="4"/>
            <c:invertIfNegative val="0"/>
            <c:bubble3D val="0"/>
          </c:dPt>
          <c:dPt>
            <c:idx val="5"/>
            <c:invertIfNegative val="0"/>
            <c:bubble3D val="0"/>
          </c:dPt>
          <c:dLbls>
            <c:dLbl>
              <c:idx val="0"/>
              <c:layout>
                <c:manualLayout>
                  <c:x val="9.706381946129581E-3"/>
                  <c:y val="-3.872966692486444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897414000266338E-17"/>
                  <c:y val="1.549186676994577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706381946129581E-3"/>
                  <c:y val="1.161890007745929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Transporte público urbano</c:v>
                </c:pt>
              </c:strCache>
            </c:strRef>
          </c:cat>
          <c:val>
            <c:numRef>
              <c:f>Hoja1!$C$2:$C$4</c:f>
              <c:numCache>
                <c:formatCode>0.00</c:formatCode>
                <c:ptCount val="3"/>
                <c:pt idx="0">
                  <c:v>0.8</c:v>
                </c:pt>
                <c:pt idx="1">
                  <c:v>5.21</c:v>
                </c:pt>
                <c:pt idx="2">
                  <c:v>10.94</c:v>
                </c:pt>
              </c:numCache>
            </c:numRef>
          </c:val>
          <c:shape val="box"/>
        </c:ser>
        <c:dLbls>
          <c:showLegendKey val="0"/>
          <c:showVal val="1"/>
          <c:showCatName val="0"/>
          <c:showSerName val="0"/>
          <c:showPercent val="0"/>
          <c:showBubbleSize val="0"/>
        </c:dLbls>
        <c:gapWidth val="65"/>
        <c:shape val="cylinder"/>
        <c:axId val="440330912"/>
        <c:axId val="440320576"/>
        <c:axId val="0"/>
      </c:bar3DChart>
      <c:valAx>
        <c:axId val="440320576"/>
        <c:scaling>
          <c:orientation val="minMax"/>
          <c:max val="9"/>
          <c:min val="0"/>
        </c:scaling>
        <c:delete val="1"/>
        <c:axPos val="l"/>
        <c:majorGridlines>
          <c:spPr>
            <a:ln w="9525" cap="flat" cmpd="sng" algn="ctr">
              <a:solidFill>
                <a:schemeClr val="bg1">
                  <a:lumMod val="95000"/>
                </a:schemeClr>
              </a:solidFill>
              <a:round/>
            </a:ln>
            <a:effectLst/>
          </c:spPr>
        </c:majorGridlines>
        <c:numFmt formatCode="0.00" sourceLinked="1"/>
        <c:majorTickMark val="none"/>
        <c:minorTickMark val="none"/>
        <c:tickLblPos val="nextTo"/>
        <c:crossAx val="440330912"/>
        <c:crosses val="autoZero"/>
        <c:crossBetween val="between"/>
      </c:valAx>
      <c:catAx>
        <c:axId val="44033091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40320576"/>
        <c:crosses val="autoZero"/>
        <c:auto val="0"/>
        <c:lblAlgn val="ctr"/>
        <c:lblOffset val="100"/>
        <c:noMultiLvlLbl val="0"/>
      </c:catAx>
      <c:spPr>
        <a:noFill/>
        <a:ln>
          <a:noFill/>
        </a:ln>
        <a:effectLst/>
      </c:spPr>
    </c:plotArea>
    <c:legend>
      <c:legendPos val="b"/>
      <c:layout>
        <c:manualLayout>
          <c:xMode val="edge"/>
          <c:yMode val="edge"/>
          <c:x val="0.19339966027663191"/>
          <c:y val="4.4622980415596772E-2"/>
          <c:w val="0.6971543868833916"/>
          <c:h val="6.144598888733021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30"/>
      <c:rAngAx val="0"/>
      <c:perspective val="0"/>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1.2166402838579896E-3"/>
          <c:y val="0"/>
          <c:w val="0.99878335971614185"/>
          <c:h val="0.93925210762082301"/>
        </c:manualLayout>
      </c:layout>
      <c:line3DChart>
        <c:grouping val="standard"/>
        <c:varyColors val="0"/>
        <c:ser>
          <c:idx val="0"/>
          <c:order val="0"/>
          <c:tx>
            <c:strRef>
              <c:f>Hoja1!$B$1</c:f>
              <c:strCache>
                <c:ptCount val="1"/>
                <c:pt idx="0">
                  <c:v>INPC</c:v>
                </c:pt>
              </c:strCache>
            </c:strRef>
          </c:tx>
          <c:spPr>
            <a:pattFill prst="wdUpDiag">
              <a:fgClr>
                <a:srgbClr val="107392"/>
              </a:fgClr>
              <a:bgClr>
                <a:schemeClr val="bg1"/>
              </a:bgClr>
            </a:pattFill>
            <a:ln w="9525" cap="flat" cmpd="sng" algn="ctr">
              <a:noFill/>
              <a:prstDash val="sysDot"/>
              <a:round/>
            </a:ln>
            <a:effectLst/>
            <a:sp3d/>
          </c:spPr>
          <c:dLbls>
            <c:dLbl>
              <c:idx val="0"/>
              <c:layout>
                <c:manualLayout>
                  <c:x val="9.4272920103700211E-3"/>
                  <c:y val="-7.773851590106011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1.6497761018147539E-2"/>
                  <c:y val="-8.4805653710247356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3.2995522036294904E-2"/>
                  <c:y val="-5.6537102473498232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Text" lastClr="000000">
                  <a:lumMod val="65000"/>
                  <a:lumOff val="35000"/>
                  <a:alpha val="75000"/>
                </a:sysClr>
              </a:solidFill>
              <a:ln>
                <a:no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Hoja1!$A$2:$A$15</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Hoja1!$B$2:$B$15</c:f>
              <c:numCache>
                <c:formatCode>0.00</c:formatCode>
                <c:ptCount val="13"/>
                <c:pt idx="0">
                  <c:v>4.2300000000000004</c:v>
                </c:pt>
                <c:pt idx="1">
                  <c:v>3.76</c:v>
                </c:pt>
                <c:pt idx="2">
                  <c:v>3.5</c:v>
                </c:pt>
                <c:pt idx="3">
                  <c:v>3.51</c:v>
                </c:pt>
                <c:pt idx="4">
                  <c:v>3.75</c:v>
                </c:pt>
                <c:pt idx="5">
                  <c:v>4.07</c:v>
                </c:pt>
                <c:pt idx="6">
                  <c:v>4.1500000000000004</c:v>
                </c:pt>
                <c:pt idx="7">
                  <c:v>4.22</c:v>
                </c:pt>
                <c:pt idx="8">
                  <c:v>4.3</c:v>
                </c:pt>
                <c:pt idx="9">
                  <c:v>4.17</c:v>
                </c:pt>
                <c:pt idx="10">
                  <c:v>4.08</c:v>
                </c:pt>
                <c:pt idx="11">
                  <c:v>3.07</c:v>
                </c:pt>
                <c:pt idx="12">
                  <c:v>3</c:v>
                </c:pt>
              </c:numCache>
            </c:numRef>
          </c:val>
          <c:smooth val="0"/>
        </c:ser>
        <c:ser>
          <c:idx val="1"/>
          <c:order val="1"/>
          <c:tx>
            <c:strRef>
              <c:f>Hoja1!$C$1</c:f>
              <c:strCache>
                <c:ptCount val="1"/>
                <c:pt idx="0">
                  <c:v>INFLACIÓN SUBYACENTE  </c:v>
                </c:pt>
              </c:strCache>
            </c:strRef>
          </c:tx>
          <c:spPr>
            <a:solidFill>
              <a:srgbClr val="C00000"/>
            </a:solidFill>
            <a:ln w="9525" cap="flat" cmpd="sng" algn="ctr">
              <a:noFill/>
              <a:round/>
            </a:ln>
            <a:effectLst/>
            <a:sp3d/>
          </c:spPr>
          <c:dLbls>
            <c:dLbl>
              <c:idx val="0"/>
              <c:layout>
                <c:manualLayout>
                  <c:x val="-3.063869903370257E-2"/>
                  <c:y val="8.4805653710247356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0.13669573415036532"/>
                  <c:y val="0"/>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2.8281876031110237E-2"/>
                  <c:y val="6.7137809187279018E-2"/>
                </c:manualLayout>
              </c:layout>
              <c:showLegendKey val="0"/>
              <c:showVal val="1"/>
              <c:showCatName val="0"/>
              <c:showSerName val="0"/>
              <c:showPercent val="0"/>
              <c:showBubbleSize val="0"/>
              <c:extLst>
                <c:ext xmlns:c15="http://schemas.microsoft.com/office/drawing/2012/chart" uri="{CE6537A1-D6FC-4f65-9D91-7224C49458BB}"/>
              </c:extLst>
            </c:dLbl>
            <c:spPr>
              <a:noFill/>
              <a:ln w="3175">
                <a:solidFill>
                  <a:sysClr val="window" lastClr="FFFFFF">
                    <a:lumMod val="65000"/>
                  </a:sysClr>
                </a:solidFill>
              </a:ln>
              <a:effectLst/>
            </c:spPr>
            <c:txPr>
              <a:bodyPr rot="0" spcFirstLastPara="1" vertOverflow="clip" horzOverflow="clip" vert="horz" wrap="square" lIns="38100" tIns="19050" rIns="38100" bIns="19050" anchor="ctr" anchorCtr="1">
                <a:spAutoFit/>
              </a:bodyPr>
              <a:lstStyle/>
              <a:p>
                <a:pPr>
                  <a:defRPr sz="900" b="1" i="0" u="none" strike="noStrike" kern="1200" baseline="0">
                    <a:solidFill>
                      <a:schemeClr val="tx1">
                        <a:lumMod val="65000"/>
                        <a:lumOff val="3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Hoja1!$A$2:$A$15</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Hoja1!$C$2:$C$15</c:f>
              <c:numCache>
                <c:formatCode>0.00</c:formatCode>
                <c:ptCount val="13"/>
                <c:pt idx="0">
                  <c:v>2.98</c:v>
                </c:pt>
                <c:pt idx="1">
                  <c:v>2.89</c:v>
                </c:pt>
                <c:pt idx="2">
                  <c:v>3.11</c:v>
                </c:pt>
                <c:pt idx="3">
                  <c:v>3</c:v>
                </c:pt>
                <c:pt idx="4">
                  <c:v>3.09</c:v>
                </c:pt>
                <c:pt idx="5">
                  <c:v>3.25</c:v>
                </c:pt>
                <c:pt idx="6">
                  <c:v>3.37</c:v>
                </c:pt>
                <c:pt idx="7">
                  <c:v>3.34</c:v>
                </c:pt>
                <c:pt idx="8">
                  <c:v>3.32</c:v>
                </c:pt>
                <c:pt idx="9">
                  <c:v>3.34</c:v>
                </c:pt>
                <c:pt idx="10">
                  <c:v>3.24</c:v>
                </c:pt>
                <c:pt idx="11">
                  <c:v>2.34</c:v>
                </c:pt>
                <c:pt idx="12">
                  <c:v>2.4</c:v>
                </c:pt>
              </c:numCache>
            </c:numRef>
          </c:val>
          <c:smooth val="0"/>
        </c:ser>
        <c:dLbls>
          <c:showLegendKey val="0"/>
          <c:showVal val="0"/>
          <c:showCatName val="0"/>
          <c:showSerName val="0"/>
          <c:showPercent val="0"/>
          <c:showBubbleSize val="0"/>
        </c:dLbls>
        <c:gapDepth val="0"/>
        <c:axId val="440322752"/>
        <c:axId val="440321120"/>
        <c:axId val="685006288"/>
      </c:line3DChart>
      <c:catAx>
        <c:axId val="440322752"/>
        <c:scaling>
          <c:orientation val="minMax"/>
        </c:scaling>
        <c:delete val="0"/>
        <c:axPos val="b"/>
        <c:numFmt formatCode="General" sourceLinked="1"/>
        <c:majorTickMark val="none"/>
        <c:minorTickMark val="none"/>
        <c:tickLblPos val="nextTo"/>
        <c:spPr>
          <a:noFill/>
          <a:ln w="19050" cap="flat" cmpd="sng" algn="ctr">
            <a:no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40321120"/>
        <c:crosses val="autoZero"/>
        <c:auto val="1"/>
        <c:lblAlgn val="ctr"/>
        <c:lblOffset val="100"/>
        <c:noMultiLvlLbl val="0"/>
      </c:catAx>
      <c:valAx>
        <c:axId val="440321120"/>
        <c:scaling>
          <c:orientation val="minMax"/>
          <c:min val="2"/>
        </c:scaling>
        <c:delete val="1"/>
        <c:axPos val="l"/>
        <c:numFmt formatCode="#,##0.00" sourceLinked="0"/>
        <c:majorTickMark val="none"/>
        <c:minorTickMark val="none"/>
        <c:tickLblPos val="nextTo"/>
        <c:crossAx val="440322752"/>
        <c:crosses val="autoZero"/>
        <c:crossBetween val="between"/>
      </c:valAx>
      <c:serAx>
        <c:axId val="685006288"/>
        <c:scaling>
          <c:orientation val="minMax"/>
        </c:scaling>
        <c:delete val="1"/>
        <c:axPos val="b"/>
        <c:majorTickMark val="out"/>
        <c:minorTickMark val="none"/>
        <c:tickLblPos val="nextTo"/>
        <c:crossAx val="440321120"/>
        <c:crosses val="autoZero"/>
      </c:serAx>
      <c:spPr>
        <a:noFill/>
        <a:ln w="25400">
          <a:noFill/>
        </a:ln>
        <a:effectLst/>
      </c:spPr>
    </c:plotArea>
    <c:legend>
      <c:legendPos val="b"/>
      <c:layout>
        <c:manualLayout>
          <c:xMode val="edge"/>
          <c:yMode val="edge"/>
          <c:x val="0.30682959056231573"/>
          <c:y val="4.2878606605269751E-2"/>
          <c:w val="0.43329912537741644"/>
          <c:h val="5.60613227233521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bg1">
          <a:lumMod val="65000"/>
        </a:schemeClr>
      </a:solidFill>
      <a:round/>
    </a:ln>
    <a:effectLst/>
  </c:spPr>
  <c:txPr>
    <a:bodyPr/>
    <a:lstStyle/>
    <a:p>
      <a:pPr>
        <a:defRPr/>
      </a:pPr>
      <a:endParaRPr lang="es-MX"/>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4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440237105193313E-2"/>
          <c:y val="9.9180744821757955E-2"/>
          <c:w val="0.96708779380105581"/>
          <c:h val="0.77933869277323753"/>
        </c:manualLayout>
      </c:layout>
      <c:line3DChart>
        <c:grouping val="standard"/>
        <c:varyColors val="0"/>
        <c:ser>
          <c:idx val="0"/>
          <c:order val="0"/>
          <c:tx>
            <c:strRef>
              <c:f>Hoja1!$B$1</c:f>
              <c:strCache>
                <c:ptCount val="1"/>
                <c:pt idx="0">
                  <c:v>Interanual</c:v>
                </c:pt>
              </c:strCache>
            </c:strRef>
          </c:tx>
          <c:spPr>
            <a:solidFill>
              <a:srgbClr val="7030A0"/>
            </a:solidFill>
            <a:ln w="9525" cap="flat" cmpd="sng" algn="ctr">
              <a:noFill/>
              <a:round/>
            </a:ln>
            <a:effectLst/>
            <a:sp3d/>
          </c:spPr>
          <c:dLbls>
            <c:dLbl>
              <c:idx val="0"/>
              <c:layout>
                <c:manualLayout>
                  <c:x val="-5.3089936791609005E-2"/>
                  <c:y val="2.2734696862582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618026679249365E-2"/>
                  <c:y val="1.860672988631831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80778947575373E-2"/>
                  <c:y val="-2.68009068525876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5611784481995951E-2"/>
                  <c:y val="2.273469686258258E-2"/>
                </c:manualLayout>
              </c:layout>
              <c:spPr>
                <a:solidFill>
                  <a:schemeClr val="bg1"/>
                </a:solidFill>
                <a:ln w="34925">
                  <a:solidFill>
                    <a:schemeClr val="bg1"/>
                  </a:solid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4"/>
              <c:layout>
                <c:manualLayout>
                  <c:x val="-4.809617898886237E-2"/>
                  <c:y val="-2.267293987632351E-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fld id="{30DA5DB1-7E0C-43DC-98F6-3C23ED405D12}" type="VALUE">
                      <a:rPr lang="en-US" b="1">
                        <a:solidFill>
                          <a:schemeClr val="tx1">
                            <a:lumMod val="50000"/>
                            <a:lumOff val="50000"/>
                          </a:schemeClr>
                        </a:solidFill>
                        <a:latin typeface="Times New Roman" panose="02020603050405020304" pitchFamily="18" charset="0"/>
                        <a:cs typeface="Times New Roman" panose="02020603050405020304" pitchFamily="18" charset="0"/>
                      </a:rPr>
                      <a:pPr>
                        <a:defRPr>
                          <a:solidFill>
                            <a:schemeClr val="tx1">
                              <a:lumMod val="50000"/>
                              <a:lumOff val="50000"/>
                            </a:schemeClr>
                          </a:solidFill>
                        </a:defRPr>
                      </a:pPr>
                      <a:t>[VALOR]</a:t>
                    </a:fld>
                    <a:endParaRPr lang="es-MX"/>
                  </a:p>
                </c:rich>
              </c:tx>
              <c:spPr>
                <a:solidFill>
                  <a:schemeClr val="lt1"/>
                </a:solidFill>
                <a:ln w="12700" cap="flat" cmpd="sng" algn="ctr">
                  <a:noFill/>
                  <a:prstDash val="solid"/>
                  <a:miter lim="800000"/>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5"/>
              <c:layout>
                <c:manualLayout>
                  <c:x val="-3.3114905580622647E-2"/>
                  <c:y val="-2.267293987632351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3102421186115777E-2"/>
                  <c:y val="1.44787629100542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561178448199593E-2"/>
                  <c:y val="-1.8544972900059319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5.5586815692982197E-2"/>
                  <c:y val="2.2734696862582504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5636753271009707E-2"/>
                  <c:y val="3.099063081511096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3.561178448199602E-2"/>
                  <c:y val="-2.2672939876323586E-2"/>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1.8413990386033207E-3"/>
                  <c:y val="-3.5056840805116153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4.3102421186115777E-2"/>
                  <c:y val="2.273469686258258E-2"/>
                </c:manualLayout>
              </c:layout>
              <c:showLegendKey val="0"/>
              <c:showVal val="1"/>
              <c:showCatName val="0"/>
              <c:showSerName val="0"/>
              <c:showPercent val="0"/>
              <c:showBubbleSize val="0"/>
              <c:extLst>
                <c:ext xmlns:c15="http://schemas.microsoft.com/office/drawing/2012/chart" uri="{CE6537A1-D6FC-4f65-9D91-7224C49458BB}"/>
              </c:extLst>
            </c:dLbl>
            <c:dLbl>
              <c:idx val="13"/>
              <c:layout>
                <c:manualLayout>
                  <c:x val="-1.8712043017094775E-2"/>
                  <c:y val="-1.8544972900059395E-2"/>
                </c:manualLayout>
              </c:layout>
              <c:showLegendKey val="0"/>
              <c:showVal val="1"/>
              <c:showCatName val="0"/>
              <c:showSerName val="0"/>
              <c:showPercent val="0"/>
              <c:showBubbleSize val="0"/>
              <c:extLst>
                <c:ext xmlns:c15="http://schemas.microsoft.com/office/drawing/2012/chart" uri="{CE6537A1-D6FC-4f65-9D91-7224C49458BB}"/>
              </c:extLst>
            </c:dLbl>
            <c:dLbl>
              <c:idx val="14"/>
              <c:layout>
                <c:manualLayout>
                  <c:x val="-3.2459425717852687E-2"/>
                  <c:y val="3.5118597791375147E-2"/>
                </c:manualLayout>
              </c:layout>
              <c:showLegendKey val="0"/>
              <c:showVal val="1"/>
              <c:showCatName val="0"/>
              <c:showSerName val="0"/>
              <c:showPercent val="0"/>
              <c:showBubbleSize val="0"/>
              <c:extLst>
                <c:ext xmlns:c15="http://schemas.microsoft.com/office/drawing/2012/chart" uri="{CE6537A1-D6FC-4f65-9D91-7224C49458BB}"/>
              </c:extLst>
            </c:dLbl>
            <c:dLbl>
              <c:idx val="15"/>
              <c:layout>
                <c:manualLayout>
                  <c:x val="-4.7440699126092382E-2"/>
                  <c:y val="-2.8895768833849405E-2"/>
                </c:manualLayout>
              </c:layout>
              <c:spPr>
                <a:solidFill>
                  <a:schemeClr val="bg1"/>
                </a:solidFill>
                <a:ln w="34925">
                  <a:solidFill>
                    <a:schemeClr val="bg1"/>
                  </a:solid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6"/>
              <c:layout>
                <c:manualLayout>
                  <c:x val="0"/>
                  <c:y val="-2.8895768833849329E-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fld id="{C1072D15-DC2B-4938-937C-27A3FD16C8BC}" type="VALUE">
                      <a:rPr lang="en-US" b="1">
                        <a:solidFill>
                          <a:schemeClr val="tx1">
                            <a:lumMod val="50000"/>
                            <a:lumOff val="50000"/>
                          </a:schemeClr>
                        </a:solidFill>
                        <a:latin typeface="Times New Roman" panose="02020603050405020304" pitchFamily="18" charset="0"/>
                        <a:cs typeface="Times New Roman" panose="02020603050405020304" pitchFamily="18" charset="0"/>
                      </a:rPr>
                      <a:pPr>
                        <a:defRPr>
                          <a:solidFill>
                            <a:schemeClr val="tx1">
                              <a:lumMod val="50000"/>
                              <a:lumOff val="50000"/>
                            </a:schemeClr>
                          </a:solidFill>
                        </a:defRPr>
                      </a:pPr>
                      <a:t>[VALOR]</a:t>
                    </a:fld>
                    <a:endParaRPr lang="es-MX"/>
                  </a:p>
                </c:rich>
              </c:tx>
              <c:spPr>
                <a:solidFill>
                  <a:schemeClr val="lt1"/>
                </a:solidFill>
                <a:ln w="12700" cap="flat" cmpd="sng" algn="ctr">
                  <a:noFill/>
                  <a:prstDash val="solid"/>
                  <a:miter lim="800000"/>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7"/>
              <c:layout>
                <c:manualLayout>
                  <c:x val="-4.7440699126092382E-2"/>
                  <c:y val="4.1279669762641899E-2"/>
                </c:manualLayout>
              </c:layout>
              <c:showLegendKey val="0"/>
              <c:showVal val="1"/>
              <c:showCatName val="0"/>
              <c:showSerName val="0"/>
              <c:showPercent val="0"/>
              <c:showBubbleSize val="0"/>
              <c:extLst>
                <c:ext xmlns:c15="http://schemas.microsoft.com/office/drawing/2012/chart" uri="{CE6537A1-D6FC-4f65-9D91-7224C49458BB}"/>
              </c:extLst>
            </c:dLbl>
            <c:dLbl>
              <c:idx val="18"/>
              <c:layout>
                <c:manualLayout>
                  <c:x val="-3.9950062421972625E-2"/>
                  <c:y val="-5.7791537667698734E-2"/>
                </c:manualLayout>
              </c:layout>
              <c:showLegendKey val="0"/>
              <c:showVal val="1"/>
              <c:showCatName val="0"/>
              <c:showSerName val="0"/>
              <c:showPercent val="0"/>
              <c:showBubbleSize val="0"/>
              <c:extLst>
                <c:ext xmlns:c15="http://schemas.microsoft.com/office/drawing/2012/chart" uri="{CE6537A1-D6FC-4f65-9D91-7224C49458BB}"/>
              </c:extLst>
            </c:dLbl>
            <c:dLbl>
              <c:idx val="19"/>
              <c:layout>
                <c:manualLayout>
                  <c:x val="-1.2484394506866416E-2"/>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0"/>
              <c:layout>
                <c:manualLayout>
                  <c:x val="-3.495630461922606E-2"/>
                  <c:y val="2.8895768833849329E-2"/>
                </c:manualLayout>
              </c:layout>
              <c:showLegendKey val="0"/>
              <c:showVal val="1"/>
              <c:showCatName val="0"/>
              <c:showSerName val="0"/>
              <c:showPercent val="0"/>
              <c:showBubbleSize val="0"/>
              <c:extLst>
                <c:ext xmlns:c15="http://schemas.microsoft.com/office/drawing/2012/chart" uri="{CE6537A1-D6FC-4f65-9D91-7224C49458BB}"/>
              </c:extLst>
            </c:dLbl>
            <c:dLbl>
              <c:idx val="21"/>
              <c:layout>
                <c:manualLayout>
                  <c:x val="-2.247191011235955E-2"/>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2"/>
              <c:layout>
                <c:manualLayout>
                  <c:x val="-7.4906367041198503E-3"/>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3"/>
              <c:layout>
                <c:manualLayout>
                  <c:x val="-2.4968789013732832E-2"/>
                  <c:y val="2.4767801857585064E-2"/>
                </c:manualLayout>
              </c:layout>
              <c:showLegendKey val="0"/>
              <c:showVal val="1"/>
              <c:showCatName val="0"/>
              <c:showSerName val="0"/>
              <c:showPercent val="0"/>
              <c:showBubbleSize val="0"/>
              <c:extLst>
                <c:ext xmlns:c15="http://schemas.microsoft.com/office/drawing/2012/chart" uri="{CE6537A1-D6FC-4f65-9D91-7224C49458BB}"/>
              </c:extLst>
            </c:dLbl>
            <c:dLbl>
              <c:idx val="24"/>
              <c:layout>
                <c:manualLayout>
                  <c:x val="-2.4968789013733016E-2"/>
                  <c:y val="-2.4767801857585141E-2"/>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bg1"/>
              </a:solidFill>
              <a:ln>
                <a:no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Hoja1!$A$2:$A$27</c:f>
              <c:strCache>
                <c:ptCount val="26"/>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strCache>
            </c:strRef>
          </c:cat>
          <c:val>
            <c:numRef>
              <c:f>Hoja1!$B$2:$B$27</c:f>
              <c:numCache>
                <c:formatCode>0.0</c:formatCode>
                <c:ptCount val="26"/>
                <c:pt idx="0">
                  <c:v>5.5</c:v>
                </c:pt>
                <c:pt idx="1">
                  <c:v>5</c:v>
                </c:pt>
                <c:pt idx="2">
                  <c:v>11.2</c:v>
                </c:pt>
                <c:pt idx="3">
                  <c:v>1.6</c:v>
                </c:pt>
                <c:pt idx="4">
                  <c:v>4.9000000000000004</c:v>
                </c:pt>
                <c:pt idx="5">
                  <c:v>6.8</c:v>
                </c:pt>
                <c:pt idx="6">
                  <c:v>2.4</c:v>
                </c:pt>
                <c:pt idx="7">
                  <c:v>6.3</c:v>
                </c:pt>
                <c:pt idx="8">
                  <c:v>1.9</c:v>
                </c:pt>
                <c:pt idx="9">
                  <c:v>3</c:v>
                </c:pt>
                <c:pt idx="10">
                  <c:v>8.1999999999999993</c:v>
                </c:pt>
                <c:pt idx="11">
                  <c:v>4.4000000000000004</c:v>
                </c:pt>
                <c:pt idx="12">
                  <c:v>2.5</c:v>
                </c:pt>
                <c:pt idx="13">
                  <c:v>4.2</c:v>
                </c:pt>
                <c:pt idx="14">
                  <c:v>2</c:v>
                </c:pt>
                <c:pt idx="15">
                  <c:v>6.9</c:v>
                </c:pt>
                <c:pt idx="16">
                  <c:v>7.7</c:v>
                </c:pt>
                <c:pt idx="17">
                  <c:v>3.8</c:v>
                </c:pt>
                <c:pt idx="18">
                  <c:v>5.4</c:v>
                </c:pt>
                <c:pt idx="19">
                  <c:v>8.1999999999999993</c:v>
                </c:pt>
                <c:pt idx="20">
                  <c:v>2.2999999999999998</c:v>
                </c:pt>
                <c:pt idx="21">
                  <c:v>6.7</c:v>
                </c:pt>
                <c:pt idx="22">
                  <c:v>6.7</c:v>
                </c:pt>
                <c:pt idx="23">
                  <c:v>5.4</c:v>
                </c:pt>
                <c:pt idx="24">
                  <c:v>9.5</c:v>
                </c:pt>
                <c:pt idx="25">
                  <c:v>8.6999999999999993</c:v>
                </c:pt>
              </c:numCache>
            </c:numRef>
          </c:val>
          <c:smooth val="0"/>
        </c:ser>
        <c:dLbls>
          <c:showLegendKey val="0"/>
          <c:showVal val="1"/>
          <c:showCatName val="0"/>
          <c:showSerName val="0"/>
          <c:showPercent val="0"/>
          <c:showBubbleSize val="0"/>
        </c:dLbls>
        <c:gapDepth val="0"/>
        <c:axId val="440315680"/>
        <c:axId val="440324384"/>
        <c:axId val="437984400"/>
      </c:line3DChart>
      <c:catAx>
        <c:axId val="440315680"/>
        <c:scaling>
          <c:orientation val="minMax"/>
        </c:scaling>
        <c:delete val="0"/>
        <c:axPos val="b"/>
        <c:numFmt formatCode="General" sourceLinked="1"/>
        <c:majorTickMark val="out"/>
        <c:minorTickMark val="none"/>
        <c:tickLblPos val="low"/>
        <c:spPr>
          <a:noFill/>
          <a:ln w="19050" cap="flat" cmpd="sng" algn="ctr">
            <a:no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40324384"/>
        <c:crosses val="autoZero"/>
        <c:auto val="1"/>
        <c:lblAlgn val="ctr"/>
        <c:lblOffset val="100"/>
        <c:noMultiLvlLbl val="0"/>
      </c:catAx>
      <c:valAx>
        <c:axId val="440324384"/>
        <c:scaling>
          <c:orientation val="minMax"/>
          <c:max val="12"/>
          <c:min val="0"/>
        </c:scaling>
        <c:delete val="1"/>
        <c:axPos val="l"/>
        <c:numFmt formatCode="#,##0.0" sourceLinked="0"/>
        <c:majorTickMark val="out"/>
        <c:minorTickMark val="none"/>
        <c:tickLblPos val="nextTo"/>
        <c:crossAx val="440315680"/>
        <c:crosses val="autoZero"/>
        <c:crossBetween val="between"/>
        <c:majorUnit val="5"/>
      </c:valAx>
      <c:serAx>
        <c:axId val="437984400"/>
        <c:scaling>
          <c:orientation val="minMax"/>
        </c:scaling>
        <c:delete val="1"/>
        <c:axPos val="b"/>
        <c:majorTickMark val="out"/>
        <c:minorTickMark val="none"/>
        <c:tickLblPos val="nextTo"/>
        <c:crossAx val="440324384"/>
        <c:crosses val="autoZero"/>
      </c:ser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233486439195085E-2"/>
          <c:y val="0.14499000124984376"/>
          <c:w val="0.90161836541265672"/>
          <c:h val="0.66645825521809776"/>
        </c:manualLayout>
      </c:layout>
      <c:barChart>
        <c:barDir val="col"/>
        <c:grouping val="clustered"/>
        <c:varyColors val="0"/>
        <c:ser>
          <c:idx val="0"/>
          <c:order val="0"/>
          <c:tx>
            <c:strRef>
              <c:f>Hoja1!$B$1</c:f>
              <c:strCache>
                <c:ptCount val="1"/>
                <c:pt idx="0">
                  <c:v>Total ANTAD</c:v>
                </c:pt>
              </c:strCache>
            </c:strRef>
          </c:tx>
          <c:spPr>
            <a:solidFill>
              <a:srgbClr val="5B9BD5"/>
            </a:solidFill>
            <a:ln>
              <a:solidFill>
                <a:srgbClr val="5B9BD5">
                  <a:lumMod val="20000"/>
                  <a:lumOff val="80000"/>
                </a:srgbClr>
              </a:solidFill>
            </a:ln>
            <a:effectLst>
              <a:innerShdw blurRad="114300">
                <a:schemeClr val="accent1"/>
              </a:innerShdw>
            </a:effectLst>
          </c:spPr>
          <c:invertIfNegative val="0"/>
          <c:dLbls>
            <c:dLbl>
              <c:idx val="17"/>
              <c:layout>
                <c:manualLayout>
                  <c:x val="0.19907407407407407"/>
                  <c:y val="-0.32942444694413198"/>
                </c:manualLayout>
              </c:layout>
              <c:tx>
                <c:rich>
                  <a:bodyPr/>
                  <a:lstStyle/>
                  <a:p>
                    <a:r>
                      <a:rPr lang="en-US" sz="1400" b="1"/>
                      <a:t>7.8</a:t>
                    </a:r>
                  </a:p>
                </c:rich>
              </c:tx>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Hoja1!$A$2:$A$27</c:f>
              <c:strCache>
                <c:ptCount val="26"/>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strCache>
            </c:strRef>
          </c:cat>
          <c:val>
            <c:numRef>
              <c:f>Hoja1!$B$2:$B$27</c:f>
              <c:numCache>
                <c:formatCode>0.0</c:formatCode>
                <c:ptCount val="26"/>
                <c:pt idx="0">
                  <c:v>5.5</c:v>
                </c:pt>
                <c:pt idx="1">
                  <c:v>5</c:v>
                </c:pt>
                <c:pt idx="2">
                  <c:v>11.2</c:v>
                </c:pt>
                <c:pt idx="3">
                  <c:v>1.6</c:v>
                </c:pt>
                <c:pt idx="4">
                  <c:v>4.9000000000000004</c:v>
                </c:pt>
                <c:pt idx="5">
                  <c:v>6.8</c:v>
                </c:pt>
                <c:pt idx="6">
                  <c:v>2.4</c:v>
                </c:pt>
                <c:pt idx="7">
                  <c:v>6.3</c:v>
                </c:pt>
                <c:pt idx="8">
                  <c:v>1.9</c:v>
                </c:pt>
                <c:pt idx="9">
                  <c:v>3</c:v>
                </c:pt>
                <c:pt idx="10">
                  <c:v>8.1999999999999993</c:v>
                </c:pt>
                <c:pt idx="11">
                  <c:v>4.4000000000000004</c:v>
                </c:pt>
                <c:pt idx="12">
                  <c:v>2.5</c:v>
                </c:pt>
                <c:pt idx="13">
                  <c:v>4.2</c:v>
                </c:pt>
                <c:pt idx="14">
                  <c:v>2</c:v>
                </c:pt>
                <c:pt idx="15">
                  <c:v>6.9</c:v>
                </c:pt>
                <c:pt idx="16">
                  <c:v>7.7</c:v>
                </c:pt>
                <c:pt idx="17">
                  <c:v>3.8</c:v>
                </c:pt>
                <c:pt idx="18">
                  <c:v>5.4</c:v>
                </c:pt>
                <c:pt idx="19">
                  <c:v>8.1999999999999993</c:v>
                </c:pt>
                <c:pt idx="20">
                  <c:v>2.2999999999999998</c:v>
                </c:pt>
                <c:pt idx="21">
                  <c:v>6.7</c:v>
                </c:pt>
                <c:pt idx="22">
                  <c:v>6.7</c:v>
                </c:pt>
                <c:pt idx="23">
                  <c:v>5.4</c:v>
                </c:pt>
                <c:pt idx="24">
                  <c:v>9.5</c:v>
                </c:pt>
                <c:pt idx="25">
                  <c:v>8.6999999999999993</c:v>
                </c:pt>
              </c:numCache>
            </c:numRef>
          </c:val>
        </c:ser>
        <c:dLbls>
          <c:showLegendKey val="0"/>
          <c:showVal val="0"/>
          <c:showCatName val="0"/>
          <c:showSerName val="0"/>
          <c:showPercent val="0"/>
          <c:showBubbleSize val="0"/>
        </c:dLbls>
        <c:gapWidth val="0"/>
        <c:overlap val="97"/>
        <c:axId val="440326560"/>
        <c:axId val="440327104"/>
      </c:barChart>
      <c:lineChart>
        <c:grouping val="standard"/>
        <c:varyColors val="0"/>
        <c:ser>
          <c:idx val="1"/>
          <c:order val="1"/>
          <c:tx>
            <c:strRef>
              <c:f>Hoja1!$C$1</c:f>
              <c:strCache>
                <c:ptCount val="1"/>
                <c:pt idx="0">
                  <c:v>Mercancías generales</c:v>
                </c:pt>
              </c:strCache>
            </c:strRef>
          </c:tx>
          <c:spPr>
            <a:ln w="19050" cap="rnd" cmpd="dbl">
              <a:solidFill>
                <a:sysClr val="windowText" lastClr="000000">
                  <a:lumMod val="75000"/>
                  <a:lumOff val="25000"/>
                </a:sysClr>
              </a:solidFill>
              <a:prstDash val="solid"/>
              <a:round/>
            </a:ln>
            <a:effectLst/>
          </c:spPr>
          <c:marker>
            <c:symbol val="none"/>
          </c:marker>
          <c:cat>
            <c:strRef>
              <c:f>Hoja1!$A$2:$A$27</c:f>
              <c:strCache>
                <c:ptCount val="26"/>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strCache>
            </c:strRef>
          </c:cat>
          <c:val>
            <c:numRef>
              <c:f>Hoja1!$C$2:$C$27</c:f>
              <c:numCache>
                <c:formatCode>0.0</c:formatCode>
                <c:ptCount val="26"/>
                <c:pt idx="0">
                  <c:v>5.3</c:v>
                </c:pt>
                <c:pt idx="1">
                  <c:v>5.4</c:v>
                </c:pt>
                <c:pt idx="2">
                  <c:v>11.8</c:v>
                </c:pt>
                <c:pt idx="3">
                  <c:v>1.1000000000000001</c:v>
                </c:pt>
                <c:pt idx="4">
                  <c:v>4.5</c:v>
                </c:pt>
                <c:pt idx="5">
                  <c:v>7.1</c:v>
                </c:pt>
                <c:pt idx="6">
                  <c:v>1.6</c:v>
                </c:pt>
                <c:pt idx="7">
                  <c:v>6.4</c:v>
                </c:pt>
                <c:pt idx="8">
                  <c:v>1.8</c:v>
                </c:pt>
                <c:pt idx="9">
                  <c:v>3.6</c:v>
                </c:pt>
                <c:pt idx="10">
                  <c:v>10.4</c:v>
                </c:pt>
                <c:pt idx="11">
                  <c:v>3.6</c:v>
                </c:pt>
                <c:pt idx="12">
                  <c:v>3.3</c:v>
                </c:pt>
                <c:pt idx="13">
                  <c:v>4.3</c:v>
                </c:pt>
                <c:pt idx="14">
                  <c:v>1.4</c:v>
                </c:pt>
                <c:pt idx="15">
                  <c:v>6.5</c:v>
                </c:pt>
                <c:pt idx="16">
                  <c:v>8.3000000000000007</c:v>
                </c:pt>
                <c:pt idx="17">
                  <c:v>3</c:v>
                </c:pt>
                <c:pt idx="18">
                  <c:v>4.0999999999999996</c:v>
                </c:pt>
                <c:pt idx="19">
                  <c:v>8.1</c:v>
                </c:pt>
                <c:pt idx="20">
                  <c:v>0.2</c:v>
                </c:pt>
                <c:pt idx="21">
                  <c:v>5.4</c:v>
                </c:pt>
                <c:pt idx="22">
                  <c:v>5.0999999999999996</c:v>
                </c:pt>
                <c:pt idx="23">
                  <c:v>5.4</c:v>
                </c:pt>
                <c:pt idx="24">
                  <c:v>10.4</c:v>
                </c:pt>
                <c:pt idx="25">
                  <c:v>10.1</c:v>
                </c:pt>
              </c:numCache>
            </c:numRef>
          </c:val>
          <c:smooth val="0"/>
        </c:ser>
        <c:ser>
          <c:idx val="2"/>
          <c:order val="2"/>
          <c:tx>
            <c:strRef>
              <c:f>Hoja1!$D$1</c:f>
              <c:strCache>
                <c:ptCount val="1"/>
                <c:pt idx="0">
                  <c:v>Ropa y calzado</c:v>
                </c:pt>
              </c:strCache>
            </c:strRef>
          </c:tx>
          <c:spPr>
            <a:ln w="38100" cap="rnd">
              <a:solidFill>
                <a:srgbClr val="70AD47">
                  <a:lumMod val="75000"/>
                </a:srgbClr>
              </a:solidFill>
              <a:prstDash val="sysDot"/>
              <a:bevel/>
            </a:ln>
            <a:effectLst/>
          </c:spPr>
          <c:marker>
            <c:symbol val="none"/>
          </c:marker>
          <c:cat>
            <c:strRef>
              <c:f>Hoja1!$A$2:$A$27</c:f>
              <c:strCache>
                <c:ptCount val="26"/>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strCache>
            </c:strRef>
          </c:cat>
          <c:val>
            <c:numRef>
              <c:f>Hoja1!$D$2:$D$27</c:f>
              <c:numCache>
                <c:formatCode>0.0</c:formatCode>
                <c:ptCount val="26"/>
                <c:pt idx="0">
                  <c:v>6.6</c:v>
                </c:pt>
                <c:pt idx="1">
                  <c:v>8.4</c:v>
                </c:pt>
                <c:pt idx="2">
                  <c:v>13.8</c:v>
                </c:pt>
                <c:pt idx="3">
                  <c:v>1.1000000000000001</c:v>
                </c:pt>
                <c:pt idx="4">
                  <c:v>9.6999999999999993</c:v>
                </c:pt>
                <c:pt idx="5">
                  <c:v>9.6</c:v>
                </c:pt>
                <c:pt idx="6">
                  <c:v>3.3</c:v>
                </c:pt>
                <c:pt idx="7">
                  <c:v>10.9</c:v>
                </c:pt>
                <c:pt idx="8">
                  <c:v>3</c:v>
                </c:pt>
                <c:pt idx="9">
                  <c:v>4.0999999999999996</c:v>
                </c:pt>
                <c:pt idx="10">
                  <c:v>10.6</c:v>
                </c:pt>
                <c:pt idx="11">
                  <c:v>4.2</c:v>
                </c:pt>
                <c:pt idx="12">
                  <c:v>3.1</c:v>
                </c:pt>
                <c:pt idx="13">
                  <c:v>7.1</c:v>
                </c:pt>
                <c:pt idx="14">
                  <c:v>1.7</c:v>
                </c:pt>
                <c:pt idx="15">
                  <c:v>13.7</c:v>
                </c:pt>
                <c:pt idx="16">
                  <c:v>9.9</c:v>
                </c:pt>
                <c:pt idx="17">
                  <c:v>0.5</c:v>
                </c:pt>
                <c:pt idx="18">
                  <c:v>10.1</c:v>
                </c:pt>
                <c:pt idx="19">
                  <c:v>11.9</c:v>
                </c:pt>
                <c:pt idx="20">
                  <c:v>6.3</c:v>
                </c:pt>
                <c:pt idx="21">
                  <c:v>14.7</c:v>
                </c:pt>
                <c:pt idx="22">
                  <c:v>10.8</c:v>
                </c:pt>
                <c:pt idx="23">
                  <c:v>8.3000000000000007</c:v>
                </c:pt>
                <c:pt idx="24">
                  <c:v>11.1</c:v>
                </c:pt>
                <c:pt idx="25">
                  <c:v>8.4</c:v>
                </c:pt>
              </c:numCache>
            </c:numRef>
          </c:val>
          <c:smooth val="0"/>
        </c:ser>
        <c:ser>
          <c:idx val="3"/>
          <c:order val="3"/>
          <c:tx>
            <c:strRef>
              <c:f>Hoja1!$E$1</c:f>
              <c:strCache>
                <c:ptCount val="1"/>
                <c:pt idx="0">
                  <c:v>Supermercado</c:v>
                </c:pt>
              </c:strCache>
            </c:strRef>
          </c:tx>
          <c:spPr>
            <a:ln w="28575" cap="rnd">
              <a:solidFill>
                <a:srgbClr val="FF0000"/>
              </a:solidFill>
              <a:prstDash val="sysDash"/>
              <a:round/>
            </a:ln>
            <a:effectLst/>
          </c:spPr>
          <c:marker>
            <c:symbol val="none"/>
          </c:marker>
          <c:cat>
            <c:strRef>
              <c:f>Hoja1!$A$2:$A$27</c:f>
              <c:strCache>
                <c:ptCount val="26"/>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pt idx="25">
                  <c:v>F</c:v>
                </c:pt>
              </c:strCache>
            </c:strRef>
          </c:cat>
          <c:val>
            <c:numRef>
              <c:f>Hoja1!$E$2:$E$27</c:f>
              <c:numCache>
                <c:formatCode>0.0</c:formatCode>
                <c:ptCount val="26"/>
                <c:pt idx="0">
                  <c:v>5.3</c:v>
                </c:pt>
                <c:pt idx="1">
                  <c:v>4.2</c:v>
                </c:pt>
                <c:pt idx="2">
                  <c:v>10.3</c:v>
                </c:pt>
                <c:pt idx="3">
                  <c:v>2.1</c:v>
                </c:pt>
                <c:pt idx="4">
                  <c:v>4.0999999999999996</c:v>
                </c:pt>
                <c:pt idx="5">
                  <c:v>6</c:v>
                </c:pt>
                <c:pt idx="6">
                  <c:v>2.8</c:v>
                </c:pt>
                <c:pt idx="7">
                  <c:v>5.2</c:v>
                </c:pt>
                <c:pt idx="8">
                  <c:v>1.9</c:v>
                </c:pt>
                <c:pt idx="9">
                  <c:v>2.2999999999999998</c:v>
                </c:pt>
                <c:pt idx="10">
                  <c:v>5.3</c:v>
                </c:pt>
                <c:pt idx="11">
                  <c:v>5.2</c:v>
                </c:pt>
                <c:pt idx="12">
                  <c:v>1.8</c:v>
                </c:pt>
                <c:pt idx="13">
                  <c:v>3.6</c:v>
                </c:pt>
                <c:pt idx="14">
                  <c:v>2.5</c:v>
                </c:pt>
                <c:pt idx="15">
                  <c:v>5.9</c:v>
                </c:pt>
                <c:pt idx="16">
                  <c:v>6.8</c:v>
                </c:pt>
                <c:pt idx="17">
                  <c:v>5.0999999999999996</c:v>
                </c:pt>
                <c:pt idx="18">
                  <c:v>5.2</c:v>
                </c:pt>
                <c:pt idx="19">
                  <c:v>7.5</c:v>
                </c:pt>
                <c:pt idx="20">
                  <c:v>2.9</c:v>
                </c:pt>
                <c:pt idx="21">
                  <c:v>6</c:v>
                </c:pt>
                <c:pt idx="22">
                  <c:v>7.3</c:v>
                </c:pt>
                <c:pt idx="23">
                  <c:v>4.4000000000000004</c:v>
                </c:pt>
                <c:pt idx="24">
                  <c:v>8.4</c:v>
                </c:pt>
                <c:pt idx="25">
                  <c:v>7.8</c:v>
                </c:pt>
              </c:numCache>
            </c:numRef>
          </c:val>
          <c:smooth val="0"/>
        </c:ser>
        <c:dLbls>
          <c:showLegendKey val="0"/>
          <c:showVal val="0"/>
          <c:showCatName val="0"/>
          <c:showSerName val="0"/>
          <c:showPercent val="0"/>
          <c:showBubbleSize val="0"/>
        </c:dLbls>
        <c:marker val="1"/>
        <c:smooth val="0"/>
        <c:axId val="440326560"/>
        <c:axId val="440327104"/>
      </c:lineChart>
      <c:catAx>
        <c:axId val="440326560"/>
        <c:scaling>
          <c:orientation val="minMax"/>
        </c:scaling>
        <c:delete val="0"/>
        <c:axPos val="b"/>
        <c:numFmt formatCode="General" sourceLinked="0"/>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440327104"/>
        <c:crosses val="autoZero"/>
        <c:auto val="1"/>
        <c:lblAlgn val="ctr"/>
        <c:lblOffset val="100"/>
        <c:noMultiLvlLbl val="0"/>
      </c:catAx>
      <c:valAx>
        <c:axId val="440327104"/>
        <c:scaling>
          <c:orientation val="minMax"/>
          <c:max val="18"/>
          <c:min val="0"/>
        </c:scaling>
        <c:delete val="0"/>
        <c:axPos val="l"/>
        <c:majorGridlines>
          <c:spPr>
            <a:ln>
              <a:solidFill>
                <a:schemeClr val="tx1">
                  <a:lumMod val="15000"/>
                  <a:lumOff val="85000"/>
                </a:schemeClr>
              </a:solidFill>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440326560"/>
        <c:crosses val="autoZero"/>
        <c:crossBetween val="between"/>
        <c:majorUnit val="6"/>
      </c:valAx>
      <c:spPr>
        <a:noFill/>
        <a:ln>
          <a:noFill/>
        </a:ln>
        <a:effectLst/>
      </c:spPr>
    </c:plotArea>
    <c:legend>
      <c:legendPos val="b"/>
      <c:layout>
        <c:manualLayout>
          <c:xMode val="edge"/>
          <c:yMode val="edge"/>
          <c:x val="6.8518518518518534E-2"/>
          <c:y val="5.2082864641919725E-2"/>
          <c:w val="0.9"/>
          <c:h val="6.2957755280589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3061309480528973E-2"/>
          <c:y val="2.2272991423517317E-2"/>
          <c:w val="0.9869387053114087"/>
          <c:h val="0.90393030250780693"/>
        </c:manualLayout>
      </c:layout>
      <c:bar3DChart>
        <c:barDir val="col"/>
        <c:grouping val="clustered"/>
        <c:varyColors val="0"/>
        <c:ser>
          <c:idx val="0"/>
          <c:order val="0"/>
          <c:tx>
            <c:strRef>
              <c:f>Hoja1!$B$1</c:f>
              <c:strCache>
                <c:ptCount val="1"/>
                <c:pt idx="0">
                  <c:v>Mensual</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atMod val="105000"/>
                </a:schemeClr>
              </a:solidFill>
              <a:prstDash val="solid"/>
              <a:round/>
            </a:ln>
            <a:effectLst>
              <a:outerShdw blurRad="40000" dist="20000" dir="5400000" rotWithShape="0">
                <a:srgbClr val="000000">
                  <a:alpha val="38000"/>
                </a:srgbClr>
              </a:outerShdw>
            </a:effectLst>
            <a:sp3d contourW="9525">
              <a:contourClr>
                <a:schemeClr val="accent6">
                  <a:shade val="95000"/>
                  <a:satMod val="105000"/>
                </a:schemeClr>
              </a:contourClr>
            </a:sp3d>
          </c:spPr>
          <c:invertIfNegative val="0"/>
          <c:dLbls>
            <c:dLbl>
              <c:idx val="0"/>
              <c:layout>
                <c:manualLayout>
                  <c:x val="8.1981739462054417E-3"/>
                  <c:y val="2.989635419660133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1228810073954429E-3"/>
                  <c:y val="-8.180546774718853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1249373742812063E-3"/>
                  <c:y val="-1.0537004042377914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1247504318370028E-3"/>
                  <c:y val="-6.1306205337545848E-5"/>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747298681681883E-3"/>
                  <c:y val="-4.164671021961671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7.4776977655411584E-7"/>
                  <c:y val="-6.1625508490270839E-5"/>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7477772543390211E-3"/>
                  <c:y val="1.2086901546065865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7475903118948609E-3"/>
                  <c:y val="1.210861416045622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7477772543389344E-3"/>
                  <c:y val="1.210861416045622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7.1197029858447178E-3"/>
                  <c:y val="1.6185476815398076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1862432794191325E-2"/>
                  <c:y val="-1.22053630157544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0.34</c:v>
                </c:pt>
                <c:pt idx="1">
                  <c:v>0.74</c:v>
                </c:pt>
                <c:pt idx="2">
                  <c:v>0.8</c:v>
                </c:pt>
                <c:pt idx="3">
                  <c:v>0.76</c:v>
                </c:pt>
                <c:pt idx="4">
                  <c:v>0.45</c:v>
                </c:pt>
                <c:pt idx="5">
                  <c:v>1.67</c:v>
                </c:pt>
                <c:pt idx="6">
                  <c:v>0.86</c:v>
                </c:pt>
                <c:pt idx="7">
                  <c:v>0.91</c:v>
                </c:pt>
                <c:pt idx="8">
                  <c:v>0.9</c:v>
                </c:pt>
                <c:pt idx="9">
                  <c:v>1.1499999999999999</c:v>
                </c:pt>
                <c:pt idx="10">
                  <c:v>0.1</c:v>
                </c:pt>
              </c:numCache>
            </c:numRef>
          </c:val>
          <c:shape val="cylinder"/>
        </c:ser>
        <c:dLbls>
          <c:showLegendKey val="0"/>
          <c:showVal val="0"/>
          <c:showCatName val="0"/>
          <c:showSerName val="0"/>
          <c:showPercent val="0"/>
          <c:showBubbleSize val="0"/>
        </c:dLbls>
        <c:gapWidth val="45"/>
        <c:shape val="box"/>
        <c:axId val="572372656"/>
        <c:axId val="572363408"/>
        <c:axId val="0"/>
      </c:bar3DChart>
      <c:catAx>
        <c:axId val="57237265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572363408"/>
        <c:crosses val="autoZero"/>
        <c:auto val="1"/>
        <c:lblAlgn val="ctr"/>
        <c:lblOffset val="100"/>
        <c:noMultiLvlLbl val="0"/>
      </c:catAx>
      <c:valAx>
        <c:axId val="572363408"/>
        <c:scaling>
          <c:orientation val="minMax"/>
          <c:max val="1.8"/>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572372656"/>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802842826464873E-2"/>
          <c:y val="8.7141243565529769E-2"/>
          <c:w val="0.98819719055961119"/>
          <c:h val="0.84842517498055769"/>
        </c:manualLayout>
      </c:layout>
      <c:bar3DChart>
        <c:barDir val="col"/>
        <c:grouping val="clustered"/>
        <c:varyColors val="0"/>
        <c:ser>
          <c:idx val="0"/>
          <c:order val="0"/>
          <c:tx>
            <c:strRef>
              <c:f>Hoja1!$B$1</c:f>
              <c:strCache>
                <c:ptCount val="1"/>
                <c:pt idx="0">
                  <c:v>Acumulado</c:v>
                </c:pt>
              </c:strCache>
            </c:strRef>
          </c:t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round/>
            </a:ln>
            <a:effectLst>
              <a:outerShdw blurRad="40000" dist="20000" dir="5400000" rotWithShape="0">
                <a:srgbClr val="000000">
                  <a:alpha val="38000"/>
                </a:srgbClr>
              </a:outerShdw>
            </a:effectLst>
            <a:sp3d contourW="9525">
              <a:contourClr>
                <a:schemeClr val="dk1">
                  <a:shade val="95000"/>
                  <a:satMod val="105000"/>
                </a:schemeClr>
              </a:contourClr>
            </a:sp3d>
          </c:spPr>
          <c:invertIfNegative val="0"/>
          <c:dLbls>
            <c:dLbl>
              <c:idx val="0"/>
              <c:layout>
                <c:manualLayout>
                  <c:x val="9.2417803135051747E-3"/>
                  <c:y val="1.24364379794707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312442691428396E-3"/>
                  <c:y val="1.244460265776607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23456125285634E-3"/>
                  <c:y val="1.243219234675714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4579591607581129E-7"/>
                  <c:y val="8.2864952955123659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9.096598599851544E-7"/>
                  <c:y val="4.1538617295401323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703130685374122E-3"/>
                  <c:y val="8.2917206896213867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9321539290029517E-3"/>
                  <c:y val="-9.7976139544149682E-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6.982912949189954E-3"/>
                  <c:y val="1.6583441379242773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160416696988662E-2"/>
                  <c:y val="1.2467463756993046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1552680221811461E-2"/>
                  <c:y val="-7.6039492109285727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0.00</c:formatCode>
                <c:ptCount val="10"/>
                <c:pt idx="0">
                  <c:v>1.17</c:v>
                </c:pt>
                <c:pt idx="1">
                  <c:v>0.64</c:v>
                </c:pt>
                <c:pt idx="2">
                  <c:v>1.96</c:v>
                </c:pt>
                <c:pt idx="3">
                  <c:v>1.27</c:v>
                </c:pt>
                <c:pt idx="4">
                  <c:v>1.88</c:v>
                </c:pt>
                <c:pt idx="5">
                  <c:v>1.57</c:v>
                </c:pt>
                <c:pt idx="6">
                  <c:v>0.43</c:v>
                </c:pt>
                <c:pt idx="7">
                  <c:v>-0.09</c:v>
                </c:pt>
                <c:pt idx="8">
                  <c:v>1.26</c:v>
                </c:pt>
                <c:pt idx="9">
                  <c:v>1.02</c:v>
                </c:pt>
              </c:numCache>
            </c:numRef>
          </c:val>
          <c:shape val="cylinder"/>
        </c:ser>
        <c:dLbls>
          <c:showLegendKey val="0"/>
          <c:showVal val="0"/>
          <c:showCatName val="0"/>
          <c:showSerName val="0"/>
          <c:showPercent val="0"/>
          <c:showBubbleSize val="0"/>
        </c:dLbls>
        <c:gapWidth val="65"/>
        <c:shape val="box"/>
        <c:axId val="419999808"/>
        <c:axId val="420001984"/>
        <c:axId val="0"/>
      </c:bar3DChart>
      <c:catAx>
        <c:axId val="41999980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20001984"/>
        <c:crosses val="autoZero"/>
        <c:auto val="1"/>
        <c:lblAlgn val="ctr"/>
        <c:lblOffset val="100"/>
        <c:noMultiLvlLbl val="0"/>
      </c:catAx>
      <c:valAx>
        <c:axId val="420001984"/>
        <c:scaling>
          <c:orientation val="minMax"/>
          <c:max val="2.1"/>
          <c:min val="-0.5"/>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419999808"/>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2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5.0160396617089371E-4"/>
          <c:w val="1"/>
          <c:h val="0.93132302906581121"/>
        </c:manualLayout>
      </c:layout>
      <c:bar3DChart>
        <c:barDir val="col"/>
        <c:grouping val="clustered"/>
        <c:varyColors val="0"/>
        <c:ser>
          <c:idx val="0"/>
          <c:order val="0"/>
          <c:tx>
            <c:strRef>
              <c:f>Hoja1!$B$1</c:f>
              <c:strCache>
                <c:ptCount val="1"/>
                <c:pt idx="0">
                  <c:v>MÉXICO</c:v>
                </c:pt>
              </c:strCache>
            </c:strRef>
          </c:tx>
          <c:spPr>
            <a:solidFill>
              <a:srgbClr val="009900"/>
            </a:soli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8.2781333442505135E-3"/>
                  <c:y val="9.571970659092833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322270591392716E-3"/>
                  <c:y val="7.931897075915364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108030040439051E-3"/>
                  <c:y val="7.597939146495576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DICIEMBRE</c:v>
                </c:pt>
                <c:pt idx="1">
                  <c:v>ENERO</c:v>
                </c:pt>
                <c:pt idx="2">
                  <c:v>FEBRERO</c:v>
                </c:pt>
              </c:strCache>
            </c:strRef>
          </c:cat>
          <c:val>
            <c:numRef>
              <c:f>Hoja1!$B$2:$B$4</c:f>
              <c:numCache>
                <c:formatCode>0.00</c:formatCode>
                <c:ptCount val="3"/>
                <c:pt idx="0">
                  <c:v>0.49</c:v>
                </c:pt>
                <c:pt idx="1">
                  <c:v>-0.09</c:v>
                </c:pt>
                <c:pt idx="2">
                  <c:v>0.19</c:v>
                </c:pt>
              </c:numCache>
            </c:numRef>
          </c:val>
          <c:shape val="cylinder"/>
        </c:ser>
        <c:ser>
          <c:idx val="1"/>
          <c:order val="1"/>
          <c:tx>
            <c:strRef>
              <c:f>Hoja1!$C$1</c:f>
              <c:strCache>
                <c:ptCount val="1"/>
                <c:pt idx="0">
                  <c:v>ESTADOS UNIDOS DE NORTEAMÉRICA</c:v>
                </c:pt>
              </c:strCache>
            </c:strRef>
          </c:tx>
          <c:spPr>
            <a:pattFill prst="pct90">
              <a:fgClr>
                <a:schemeClr val="accent5">
                  <a:lumMod val="75000"/>
                </a:schemeClr>
              </a:fgClr>
              <a:bgClr>
                <a:schemeClr val="bg1"/>
              </a:bgClr>
            </a:pattFill>
            <a:ln w="9525" cap="flat" cmpd="sng" algn="ctr">
              <a:noFill/>
              <a:round/>
            </a:ln>
            <a:effectLst/>
            <a:sp3d/>
          </c:spPr>
          <c:invertIfNegative val="0"/>
          <c:dLbls>
            <c:dLbl>
              <c:idx val="0"/>
              <c:layout>
                <c:manualLayout>
                  <c:x val="7.4600726901992998E-6"/>
                  <c:y val="1.102762447949138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6206962431255888E-3"/>
                  <c:y val="4.133588873238352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16060080877261E-3"/>
                  <c:y val="1.586317839302345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DICIEMBRE</c:v>
                </c:pt>
                <c:pt idx="1">
                  <c:v>ENERO</c:v>
                </c:pt>
                <c:pt idx="2">
                  <c:v>FEBRERO</c:v>
                </c:pt>
              </c:strCache>
            </c:strRef>
          </c:cat>
          <c:val>
            <c:numRef>
              <c:f>Hoja1!$C$2:$C$4</c:f>
              <c:numCache>
                <c:formatCode>0.00</c:formatCode>
                <c:ptCount val="3"/>
                <c:pt idx="0">
                  <c:v>-0.33</c:v>
                </c:pt>
                <c:pt idx="1">
                  <c:v>-0.68</c:v>
                </c:pt>
                <c:pt idx="2">
                  <c:v>0.22</c:v>
                </c:pt>
              </c:numCache>
            </c:numRef>
          </c:val>
        </c:ser>
        <c:ser>
          <c:idx val="2"/>
          <c:order val="2"/>
          <c:tx>
            <c:strRef>
              <c:f>Hoja1!$D$1</c:f>
              <c:strCache>
                <c:ptCount val="1"/>
                <c:pt idx="0">
                  <c:v>CANADÁ</c:v>
                </c:pt>
              </c:strCache>
            </c:strRef>
          </c:tx>
          <c:spPr>
            <a:pattFill prst="wdUpDiag">
              <a:fgClr>
                <a:srgbClr val="C00000"/>
              </a:fgClr>
              <a:bgClr>
                <a:schemeClr val="bg1"/>
              </a:bgClr>
            </a:pattFill>
            <a:ln w="6350" cap="flat" cmpd="sng" algn="ctr">
              <a:noFill/>
              <a:prstDash val="solid"/>
              <a:miter lim="800000"/>
            </a:ln>
            <a:effectLst/>
            <a:sp3d>
              <a:contourClr>
                <a:schemeClr val="accent6"/>
              </a:contourClr>
            </a:sp3d>
          </c:spPr>
          <c:invertIfNegative val="0"/>
          <c:dLbls>
            <c:dLbl>
              <c:idx val="0"/>
              <c:layout>
                <c:manualLayout>
                  <c:x val="9.2432120161756205E-3"/>
                  <c:y val="8.155109643552619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2432120161756205E-3"/>
                  <c:y val="4.021828649717977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9324090121317154E-3"/>
                  <c:y val="4.132973114431077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DICIEMBRE</c:v>
                </c:pt>
                <c:pt idx="1">
                  <c:v>ENERO</c:v>
                </c:pt>
                <c:pt idx="2">
                  <c:v>FEBRERO</c:v>
                </c:pt>
              </c:strCache>
            </c:strRef>
          </c:cat>
          <c:val>
            <c:numRef>
              <c:f>Hoja1!$D$2:$D$4</c:f>
              <c:numCache>
                <c:formatCode>0.00</c:formatCode>
                <c:ptCount val="3"/>
                <c:pt idx="0">
                  <c:v>-0.72</c:v>
                </c:pt>
                <c:pt idx="1">
                  <c:v>-0.16</c:v>
                </c:pt>
                <c:pt idx="2">
                  <c:v>0.88</c:v>
                </c:pt>
              </c:numCache>
            </c:numRef>
          </c:val>
          <c:shape val="cylinder"/>
        </c:ser>
        <c:dLbls>
          <c:showLegendKey val="0"/>
          <c:showVal val="0"/>
          <c:showCatName val="0"/>
          <c:showSerName val="0"/>
          <c:showPercent val="0"/>
          <c:showBubbleSize val="0"/>
        </c:dLbls>
        <c:gapWidth val="33"/>
        <c:shape val="box"/>
        <c:axId val="419991648"/>
        <c:axId val="419992736"/>
        <c:axId val="0"/>
      </c:bar3DChart>
      <c:catAx>
        <c:axId val="41999164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19992736"/>
        <c:crosses val="autoZero"/>
        <c:auto val="1"/>
        <c:lblAlgn val="ctr"/>
        <c:lblOffset val="100"/>
        <c:noMultiLvlLbl val="0"/>
      </c:catAx>
      <c:valAx>
        <c:axId val="419992736"/>
        <c:scaling>
          <c:orientation val="minMax"/>
          <c:max val="1.3"/>
          <c:min val="-1"/>
        </c:scaling>
        <c:delete val="1"/>
        <c:axPos val="l"/>
        <c:numFmt formatCode="0.00" sourceLinked="1"/>
        <c:majorTickMark val="out"/>
        <c:minorTickMark val="none"/>
        <c:tickLblPos val="nextTo"/>
        <c:crossAx val="419991648"/>
        <c:crosses val="autoZero"/>
        <c:crossBetween val="between"/>
      </c:valAx>
      <c:spPr>
        <a:noFill/>
        <a:ln>
          <a:noFill/>
        </a:ln>
        <a:effectLst/>
      </c:spPr>
    </c:plotArea>
    <c:legend>
      <c:legendPos val="b"/>
      <c:layout>
        <c:manualLayout>
          <c:xMode val="edge"/>
          <c:yMode val="edge"/>
          <c:x val="0.13202709280057498"/>
          <c:y val="2.4211636302060482E-2"/>
          <c:w val="0.74749982941906967"/>
          <c:h val="0.1020992389249216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1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2516708607300374E-4"/>
          <c:y val="0.14034353693953935"/>
          <c:w val="0.99927483291392705"/>
          <c:h val="0.79050179378465268"/>
        </c:manualLayout>
      </c:layout>
      <c:bar3DChart>
        <c:barDir val="col"/>
        <c:grouping val="clustered"/>
        <c:varyColors val="0"/>
        <c:ser>
          <c:idx val="0"/>
          <c:order val="0"/>
          <c:tx>
            <c:strRef>
              <c:f>Hoja1!$B$1</c:f>
              <c:strCache>
                <c:ptCount val="1"/>
                <c:pt idx="0">
                  <c:v>MÉXICO</c:v>
                </c:pt>
              </c:strCache>
            </c:strRef>
          </c:tx>
          <c:spPr>
            <a:solidFill>
              <a:srgbClr val="C00000"/>
            </a:solidFill>
            <a:ln w="9525" cap="flat" cmpd="sng" algn="ctr">
              <a:noFill/>
              <a:round/>
            </a:ln>
            <a:effectLst/>
            <a:sp3d>
              <a:contourClr>
                <a:schemeClr val="accent5">
                  <a:lumMod val="75000"/>
                </a:schemeClr>
              </a:contourClr>
            </a:sp3d>
          </c:spPr>
          <c:invertIfNegative val="0"/>
          <c:dLbls>
            <c:dLbl>
              <c:idx val="0"/>
              <c:layout>
                <c:manualLayout>
                  <c:x val="1.4366722678183746E-3"/>
                  <c:y val="1.08648375474804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229320561733909E-3"/>
                  <c:y val="1.576760005591017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911950820963057E-3"/>
                  <c:y val="7.299522342315905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Hoja1!$B$2:$B$4</c:f>
              <c:numCache>
                <c:formatCode>0.00</c:formatCode>
                <c:ptCount val="3"/>
                <c:pt idx="0">
                  <c:v>0.9</c:v>
                </c:pt>
                <c:pt idx="1">
                  <c:v>1.1499999999999999</c:v>
                </c:pt>
                <c:pt idx="2">
                  <c:v>0.1</c:v>
                </c:pt>
              </c:numCache>
            </c:numRef>
          </c:val>
        </c:ser>
        <c:ser>
          <c:idx val="1"/>
          <c:order val="1"/>
          <c:tx>
            <c:strRef>
              <c:f>Hoja1!$C$1</c:f>
              <c:strCache>
                <c:ptCount val="1"/>
                <c:pt idx="0">
                  <c:v>ESTADOS UNIDOS DE NORTEAMÉRICA</c:v>
                </c:pt>
              </c:strCache>
            </c:strRef>
          </c:tx>
          <c:spPr>
            <a:pattFill prst="pct90">
              <a:fgClr>
                <a:schemeClr val="accent5">
                  <a:lumMod val="75000"/>
                </a:schemeClr>
              </a:fgClr>
              <a:bgClr>
                <a:schemeClr val="bg1"/>
              </a:bgClr>
            </a:patt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7.426468598641686E-3"/>
                  <c:y val="1.224743356784543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0649673945395158E-3"/>
                  <c:y val="-3.1061206106633121E-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819014891179842E-3"/>
                  <c:y val="-3.944773175542333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Hoja1!$C$2:$C$4</c:f>
              <c:numCache>
                <c:formatCode>0.00</c:formatCode>
                <c:ptCount val="3"/>
                <c:pt idx="0">
                  <c:v>0.71</c:v>
                </c:pt>
                <c:pt idx="1">
                  <c:v>0.28000000000000003</c:v>
                </c:pt>
                <c:pt idx="2">
                  <c:v>-0.46</c:v>
                </c:pt>
              </c:numCache>
            </c:numRef>
          </c:val>
          <c:shape val="cylinder"/>
        </c:ser>
        <c:ser>
          <c:idx val="2"/>
          <c:order val="2"/>
          <c:tx>
            <c:strRef>
              <c:f>Hoja1!$D$1</c:f>
              <c:strCache>
                <c:ptCount val="1"/>
                <c:pt idx="0">
                  <c:v>CANADÁ</c:v>
                </c:pt>
              </c:strCache>
            </c:strRef>
          </c:tx>
          <c:spPr>
            <a:pattFill prst="ltVert">
              <a:fgClr>
                <a:schemeClr val="accent3">
                  <a:lumMod val="75000"/>
                </a:schemeClr>
              </a:fgClr>
              <a:bgClr>
                <a:schemeClr val="bg1"/>
              </a:bgClr>
            </a:pattFill>
            <a:ln w="9525" cap="flat" cmpd="sng" algn="ctr">
              <a:noFill/>
              <a:round/>
            </a:ln>
            <a:effectLst/>
            <a:sp3d/>
          </c:spPr>
          <c:invertIfNegative val="0"/>
          <c:dLbls>
            <c:dLbl>
              <c:idx val="0"/>
              <c:layout>
                <c:manualLayout>
                  <c:x val="6.8728522336769342E-3"/>
                  <c:y val="1.183431952662721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577909270216962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8728522336769758E-3"/>
                  <c:y val="7.889546351084776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Hoja1!$D$2:$D$4</c:f>
              <c:numCache>
                <c:formatCode>0.00</c:formatCode>
                <c:ptCount val="3"/>
                <c:pt idx="0">
                  <c:v>1.24</c:v>
                </c:pt>
                <c:pt idx="1">
                  <c:v>1.1399999999999999</c:v>
                </c:pt>
                <c:pt idx="2">
                  <c:v>0.72</c:v>
                </c:pt>
              </c:numCache>
            </c:numRef>
          </c:val>
        </c:ser>
        <c:dLbls>
          <c:showLegendKey val="0"/>
          <c:showVal val="0"/>
          <c:showCatName val="0"/>
          <c:showSerName val="0"/>
          <c:showPercent val="0"/>
          <c:showBubbleSize val="0"/>
        </c:dLbls>
        <c:gapWidth val="65"/>
        <c:shape val="box"/>
        <c:axId val="425336912"/>
        <c:axId val="425328752"/>
        <c:axId val="0"/>
      </c:bar3DChart>
      <c:catAx>
        <c:axId val="42533691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es-MX"/>
          </a:p>
        </c:txPr>
        <c:crossAx val="425328752"/>
        <c:crosses val="autoZero"/>
        <c:auto val="1"/>
        <c:lblAlgn val="ctr"/>
        <c:lblOffset val="100"/>
        <c:noMultiLvlLbl val="0"/>
      </c:catAx>
      <c:valAx>
        <c:axId val="425328752"/>
        <c:scaling>
          <c:orientation val="minMax"/>
          <c:max val="1.4"/>
          <c:min val="-0.9"/>
        </c:scaling>
        <c:delete val="1"/>
        <c:axPos val="l"/>
        <c:numFmt formatCode="0.00" sourceLinked="1"/>
        <c:majorTickMark val="out"/>
        <c:minorTickMark val="none"/>
        <c:tickLblPos val="nextTo"/>
        <c:crossAx val="425336912"/>
        <c:crosses val="autoZero"/>
        <c:crossBetween val="between"/>
      </c:valAx>
      <c:spPr>
        <a:noFill/>
        <a:ln>
          <a:noFill/>
        </a:ln>
        <a:effectLst/>
      </c:spPr>
    </c:plotArea>
    <c:legend>
      <c:legendPos val="b"/>
      <c:layout>
        <c:manualLayout>
          <c:xMode val="edge"/>
          <c:yMode val="edge"/>
          <c:x val="0.13747923262169551"/>
          <c:y val="5.3747068598673689E-2"/>
          <c:w val="0.73039424195686875"/>
          <c:h val="6.2585224184255078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0"/>
      <c:depthPercent val="60"/>
      <c:rAngAx val="0"/>
      <c:perspective val="5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1723796501485219"/>
          <c:w val="0.99927483291392705"/>
          <c:h val="0.81413267952284407"/>
        </c:manualLayout>
      </c:layout>
      <c:bar3DChart>
        <c:barDir val="col"/>
        <c:grouping val="clustered"/>
        <c:varyColors val="0"/>
        <c:ser>
          <c:idx val="0"/>
          <c:order val="0"/>
          <c:tx>
            <c:strRef>
              <c:f>Hoja1!$B$1</c:f>
              <c:strCache>
                <c:ptCount val="1"/>
                <c:pt idx="0">
                  <c:v>MÉXICO</c:v>
                </c:pt>
              </c:strCache>
            </c:strRef>
          </c:tx>
          <c:spPr>
            <a:pattFill prst="pct90">
              <a:fgClr>
                <a:srgbClr val="008200"/>
              </a:fgClr>
              <a:bgClr>
                <a:schemeClr val="bg1"/>
              </a:bgClr>
            </a:patt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8.5741124464705065E-3"/>
                  <c:y val="6.724328689682982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556200211815628E-4"/>
                  <c:y val="1.20440944881889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7427821522310561E-3"/>
                  <c:y val="1.211677771047842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Hoja1!$B$2:$B$4</c:f>
              <c:numCache>
                <c:formatCode>0.00</c:formatCode>
                <c:ptCount val="3"/>
                <c:pt idx="0">
                  <c:v>3.55</c:v>
                </c:pt>
                <c:pt idx="1">
                  <c:v>4.2300000000000004</c:v>
                </c:pt>
                <c:pt idx="2">
                  <c:v>3</c:v>
                </c:pt>
              </c:numCache>
            </c:numRef>
          </c:val>
          <c:shape val="cylinder"/>
        </c:ser>
        <c:ser>
          <c:idx val="1"/>
          <c:order val="1"/>
          <c:tx>
            <c:strRef>
              <c:f>Hoja1!$C$1</c:f>
              <c:strCache>
                <c:ptCount val="1"/>
                <c:pt idx="0">
                  <c:v>ESTADOS UNIDOS DE NORTEAMÉRICA</c:v>
                </c:pt>
              </c:strCache>
            </c:strRef>
          </c:tx>
          <c:spPr>
            <a:pattFill prst="divot">
              <a:fgClr>
                <a:schemeClr val="accent5">
                  <a:lumMod val="75000"/>
                </a:schemeClr>
              </a:fgClr>
              <a:bgClr>
                <a:schemeClr val="bg1"/>
              </a:bgClr>
            </a:pattFill>
            <a:ln w="9525" cap="flat" cmpd="sng" algn="ctr">
              <a:noFill/>
              <a:round/>
            </a:ln>
            <a:effectLst/>
            <a:sp3d/>
          </c:spPr>
          <c:invertIfNegative val="0"/>
          <c:dLbls>
            <c:dLbl>
              <c:idx val="0"/>
              <c:layout>
                <c:manualLayout>
                  <c:x val="2.6998204171846938E-3"/>
                  <c:y val="8.966202301635372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7336188239627941E-5"/>
                  <c:y val="1.249731475873200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320256020629002E-3"/>
                  <c:y val="2.47584898041590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Hoja1!$C$2:$C$4</c:f>
              <c:numCache>
                <c:formatCode>0.00</c:formatCode>
                <c:ptCount val="3"/>
                <c:pt idx="0">
                  <c:v>1.98</c:v>
                </c:pt>
                <c:pt idx="1">
                  <c:v>1.1000000000000001</c:v>
                </c:pt>
                <c:pt idx="2">
                  <c:v>-7.0000000000000007E-2</c:v>
                </c:pt>
              </c:numCache>
            </c:numRef>
          </c:val>
        </c:ser>
        <c:ser>
          <c:idx val="2"/>
          <c:order val="2"/>
          <c:tx>
            <c:strRef>
              <c:f>Hoja1!$D$1</c:f>
              <c:strCache>
                <c:ptCount val="1"/>
                <c:pt idx="0">
                  <c:v>CANADÁ</c:v>
                </c:pt>
              </c:strCache>
            </c:strRef>
          </c:tx>
          <c:spPr>
            <a:solidFill>
              <a:srgbClr val="C00000"/>
            </a:solidFill>
            <a:ln w="6350" cap="flat" cmpd="sng" algn="ctr">
              <a:noFill/>
              <a:prstDash val="solid"/>
              <a:miter lim="800000"/>
            </a:ln>
            <a:effectLst/>
            <a:sp3d>
              <a:contourClr>
                <a:schemeClr val="accent4"/>
              </a:contourClr>
            </a:sp3d>
          </c:spPr>
          <c:invertIfNegative val="0"/>
          <c:dLbls>
            <c:dLbl>
              <c:idx val="0"/>
              <c:layout>
                <c:manualLayout>
                  <c:x val="6.776442418381913E-3"/>
                  <c:y val="1.2450474459923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320256020629002E-3"/>
                  <c:y val="8.458388855239248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5978265874660396E-3"/>
                  <c:y val="1.238715929739544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2013</c:v>
                </c:pt>
                <c:pt idx="1">
                  <c:v>2014</c:v>
                </c:pt>
                <c:pt idx="2">
                  <c:v>2015</c:v>
                </c:pt>
              </c:strCache>
            </c:strRef>
          </c:cat>
          <c:val>
            <c:numRef>
              <c:f>Hoja1!$D$2:$D$4</c:f>
              <c:numCache>
                <c:formatCode>0.00</c:formatCode>
                <c:ptCount val="3"/>
                <c:pt idx="0">
                  <c:v>1.24</c:v>
                </c:pt>
                <c:pt idx="1">
                  <c:v>1.1399999999999999</c:v>
                </c:pt>
                <c:pt idx="2">
                  <c:v>1.05</c:v>
                </c:pt>
              </c:numCache>
            </c:numRef>
          </c:val>
          <c:shape val="cylinder"/>
        </c:ser>
        <c:dLbls>
          <c:showLegendKey val="0"/>
          <c:showVal val="0"/>
          <c:showCatName val="0"/>
          <c:showSerName val="0"/>
          <c:showPercent val="0"/>
          <c:showBubbleSize val="0"/>
        </c:dLbls>
        <c:gapWidth val="91"/>
        <c:shape val="box"/>
        <c:axId val="425341808"/>
        <c:axId val="425342352"/>
        <c:axId val="0"/>
      </c:bar3DChart>
      <c:catAx>
        <c:axId val="42534180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425342352"/>
        <c:crosses val="autoZero"/>
        <c:auto val="1"/>
        <c:lblAlgn val="ctr"/>
        <c:lblOffset val="100"/>
        <c:noMultiLvlLbl val="0"/>
      </c:catAx>
      <c:valAx>
        <c:axId val="425342352"/>
        <c:scaling>
          <c:orientation val="minMax"/>
          <c:max val="5"/>
          <c:min val="-1"/>
        </c:scaling>
        <c:delete val="1"/>
        <c:axPos val="l"/>
        <c:numFmt formatCode="0.00" sourceLinked="1"/>
        <c:majorTickMark val="out"/>
        <c:minorTickMark val="none"/>
        <c:tickLblPos val="nextTo"/>
        <c:crossAx val="425341808"/>
        <c:crosses val="autoZero"/>
        <c:crossBetween val="between"/>
      </c:valAx>
      <c:spPr>
        <a:noFill/>
        <a:ln>
          <a:noFill/>
        </a:ln>
        <a:effectLst/>
      </c:spPr>
    </c:plotArea>
    <c:legend>
      <c:legendPos val="b"/>
      <c:layout>
        <c:manualLayout>
          <c:xMode val="edge"/>
          <c:yMode val="edge"/>
          <c:x val="0.12373352815434151"/>
          <c:y val="2.2141543684284979E-2"/>
          <c:w val="0.73039424195686875"/>
          <c:h val="6.3334747827180279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3698882013772E-4"/>
          <c:y val="1.7916980122707597E-2"/>
          <c:w val="0.9988869182429454"/>
          <c:h val="0.81434225610215305"/>
        </c:manualLayout>
      </c:layout>
      <c:bar3DChart>
        <c:barDir val="col"/>
        <c:grouping val="clustered"/>
        <c:varyColors val="0"/>
        <c:ser>
          <c:idx val="0"/>
          <c:order val="0"/>
          <c:tx>
            <c:strRef>
              <c:f>Hoja1!$B$1</c:f>
              <c:strCache>
                <c:ptCount val="1"/>
                <c:pt idx="0">
                  <c:v>Mensual</c:v>
                </c:pt>
              </c:strCache>
            </c:strRef>
          </c:tx>
          <c:spPr>
            <a:solidFill>
              <a:srgbClr val="7030A0"/>
            </a:solidFill>
            <a:ln w="34925" cap="flat" cmpd="sng" algn="ctr">
              <a:solidFill>
                <a:srgbClr val="44546A">
                  <a:lumMod val="60000"/>
                  <a:lumOff val="40000"/>
                </a:srgbClr>
              </a:solidFill>
              <a:round/>
            </a:ln>
            <a:effectLst>
              <a:outerShdw blurRad="57150" dist="19050" dir="5400000" algn="ctr" rotWithShape="0">
                <a:srgbClr val="ED7D31">
                  <a:alpha val="63000"/>
                </a:srgbClr>
              </a:outerShdw>
            </a:effectLst>
            <a:scene3d>
              <a:camera prst="orthographicFront"/>
              <a:lightRig rig="threePt" dir="t"/>
            </a:scene3d>
            <a:sp3d contourW="34925">
              <a:bevelT w="152400" h="50800" prst="softRound"/>
              <a:contourClr>
                <a:srgbClr val="44546A">
                  <a:lumMod val="60000"/>
                  <a:lumOff val="40000"/>
                </a:srgb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2.656258413529585</c:v>
                </c:pt>
                <c:pt idx="1">
                  <c:v>2.4844646992072938</c:v>
                </c:pt>
                <c:pt idx="2">
                  <c:v>-1.0644067927544398</c:v>
                </c:pt>
                <c:pt idx="3">
                  <c:v>-0.52498797609035819</c:v>
                </c:pt>
                <c:pt idx="4">
                  <c:v>-0.71058830611208634</c:v>
                </c:pt>
                <c:pt idx="5">
                  <c:v>-2.2161392997143707</c:v>
                </c:pt>
                <c:pt idx="6">
                  <c:v>-2.9445464191033182</c:v>
                </c:pt>
                <c:pt idx="7">
                  <c:v>-2.8201293543683335</c:v>
                </c:pt>
                <c:pt idx="8">
                  <c:v>3.7854069546241931E-2</c:v>
                </c:pt>
                <c:pt idx="9">
                  <c:v>-0.7664568713936859</c:v>
                </c:pt>
                <c:pt idx="10">
                  <c:v>-2.8450955055756424</c:v>
                </c:pt>
                <c:pt idx="11">
                  <c:v>-2.4685020735445704</c:v>
                </c:pt>
                <c:pt idx="12">
                  <c:v>-0.98769353907908908</c:v>
                </c:pt>
              </c:numCache>
            </c:numRef>
          </c:val>
          <c:shape val="pyramid"/>
        </c:ser>
        <c:dLbls>
          <c:showLegendKey val="0"/>
          <c:showVal val="0"/>
          <c:showCatName val="0"/>
          <c:showSerName val="0"/>
          <c:showPercent val="0"/>
          <c:showBubbleSize val="0"/>
        </c:dLbls>
        <c:gapWidth val="11"/>
        <c:gapDepth val="299"/>
        <c:shape val="cylinder"/>
        <c:axId val="306622000"/>
        <c:axId val="306616016"/>
        <c:axId val="0"/>
      </c:bar3DChart>
      <c:catAx>
        <c:axId val="306622000"/>
        <c:scaling>
          <c:orientation val="minMax"/>
        </c:scaling>
        <c:delete val="0"/>
        <c:axPos val="b"/>
        <c:numFmt formatCode="General" sourceLinked="1"/>
        <c:majorTickMark val="out"/>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306616016"/>
        <c:crosses val="autoZero"/>
        <c:auto val="1"/>
        <c:lblAlgn val="ctr"/>
        <c:lblOffset val="100"/>
        <c:noMultiLvlLbl val="0"/>
      </c:catAx>
      <c:valAx>
        <c:axId val="306616016"/>
        <c:scaling>
          <c:orientation val="minMax"/>
          <c:max val="5"/>
          <c:min val="-5"/>
        </c:scaling>
        <c:delete val="1"/>
        <c:axPos val="l"/>
        <c:numFmt formatCode="0.00" sourceLinked="1"/>
        <c:majorTickMark val="out"/>
        <c:minorTickMark val="none"/>
        <c:tickLblPos val="nextTo"/>
        <c:crossAx val="306622000"/>
        <c:crosses val="autoZero"/>
        <c:crossBetween val="between"/>
        <c:majorUnit val="2"/>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view3D>
    <c:floor>
      <c:thickness val="0"/>
      <c:spPr>
        <a:solidFill>
          <a:schemeClr val="lt1">
            <a:lumMod val="95000"/>
          </a:schemeClr>
        </a:solidFill>
        <a:ln>
          <a:noFill/>
        </a:ln>
        <a:effectLst/>
        <a:scene3d>
          <a:camera prst="orthographicFront"/>
          <a:lightRig rig="threePt" dir="t"/>
        </a:scene3d>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0.76665835322620879"/>
        </c:manualLayout>
      </c:layout>
      <c:bar3DChart>
        <c:barDir val="col"/>
        <c:grouping val="clustered"/>
        <c:varyColors val="0"/>
        <c:ser>
          <c:idx val="0"/>
          <c:order val="0"/>
          <c:tx>
            <c:strRef>
              <c:f>Hoja1!$B$1</c:f>
              <c:strCache>
                <c:ptCount val="1"/>
                <c:pt idx="0">
                  <c:v>Mensual</c:v>
                </c:pt>
              </c:strCache>
            </c:strRef>
          </c:tx>
          <c:spPr>
            <a:solidFill>
              <a:srgbClr val="FF0000"/>
            </a:solidFill>
            <a:ln w="44450" cap="flat" cmpd="sng" algn="ctr">
              <a:noFill/>
              <a:round/>
            </a:ln>
            <a:effectLst>
              <a:outerShdw blurRad="57150" dist="19050" dir="5400000" algn="ctr" rotWithShape="0">
                <a:srgbClr val="000000">
                  <a:alpha val="63000"/>
                </a:srgbClr>
              </a:outerShdw>
            </a:effectLst>
            <a:sp3d>
              <a:contourClr>
                <a:srgbClr val="FF0000"/>
              </a:contourClr>
            </a:sp3d>
          </c:spPr>
          <c:invertIfNegative val="0"/>
          <c:dLbls>
            <c:dLbl>
              <c:idx val="3"/>
              <c:layout>
                <c:manualLayout>
                  <c:x val="-9.7644330526060613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3.7466989243148561</c:v>
                </c:pt>
                <c:pt idx="1">
                  <c:v>5.1997314942201882</c:v>
                </c:pt>
                <c:pt idx="2">
                  <c:v>0.11172711866261409</c:v>
                </c:pt>
                <c:pt idx="3">
                  <c:v>-1.0089908177553895</c:v>
                </c:pt>
                <c:pt idx="4">
                  <c:v>-5.2810374565009539</c:v>
                </c:pt>
                <c:pt idx="5">
                  <c:v>-5.5557483348205352</c:v>
                </c:pt>
                <c:pt idx="6">
                  <c:v>-1.4392521562946143</c:v>
                </c:pt>
                <c:pt idx="7">
                  <c:v>-2.3998371959637552</c:v>
                </c:pt>
                <c:pt idx="8">
                  <c:v>7.4277885676551136E-2</c:v>
                </c:pt>
                <c:pt idx="9">
                  <c:v>2.7322562652950353</c:v>
                </c:pt>
                <c:pt idx="10">
                  <c:v>0.41861368787144215</c:v>
                </c:pt>
                <c:pt idx="11">
                  <c:v>-3.5701766348080497</c:v>
                </c:pt>
                <c:pt idx="12">
                  <c:v>-3.1823661773637753</c:v>
                </c:pt>
              </c:numCache>
            </c:numRef>
          </c:val>
          <c:shape val="cylinder"/>
        </c:ser>
        <c:dLbls>
          <c:showLegendKey val="0"/>
          <c:showVal val="1"/>
          <c:showCatName val="0"/>
          <c:showSerName val="0"/>
          <c:showPercent val="0"/>
          <c:showBubbleSize val="0"/>
        </c:dLbls>
        <c:gapWidth val="5"/>
        <c:gapDepth val="199"/>
        <c:shape val="box"/>
        <c:axId val="704260416"/>
        <c:axId val="704259328"/>
        <c:axId val="0"/>
      </c:bar3DChart>
      <c:catAx>
        <c:axId val="70426041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704259328"/>
        <c:crosses val="autoZero"/>
        <c:auto val="1"/>
        <c:lblAlgn val="ctr"/>
        <c:lblOffset val="100"/>
        <c:noMultiLvlLbl val="0"/>
      </c:catAx>
      <c:valAx>
        <c:axId val="704259328"/>
        <c:scaling>
          <c:orientation val="minMax"/>
          <c:max val="9"/>
          <c:min val="-12"/>
        </c:scaling>
        <c:delete val="1"/>
        <c:axPos val="l"/>
        <c:numFmt formatCode="0.00" sourceLinked="1"/>
        <c:majorTickMark val="none"/>
        <c:minorTickMark val="none"/>
        <c:tickLblPos val="nextTo"/>
        <c:crossAx val="704260416"/>
        <c:crosses val="autoZero"/>
        <c:crossBetween val="between"/>
        <c:majorUnit val="3"/>
      </c:valAx>
      <c:spPr>
        <a:noFill/>
        <a:ln>
          <a:noFill/>
        </a:ln>
        <a:effectLst>
          <a:outerShdw sx="1000" sy="1000" algn="ctr" rotWithShape="0">
            <a:srgbClr val="000000"/>
          </a:outerShdw>
        </a:effectLst>
      </c:spPr>
    </c:plotArea>
    <c:plotVisOnly val="1"/>
    <c:dispBlanksAs val="gap"/>
    <c:showDLblsOverMax val="0"/>
  </c:chart>
  <c:spPr>
    <a:noFill/>
    <a:ln w="12700"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20"/>
      <c:depthPercent val="60"/>
      <c:rAngAx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020529203720144E-2"/>
          <c:y val="2.9955666245267402E-4"/>
          <c:w val="0.98886594524575366"/>
          <c:h val="0.82120728595035064"/>
        </c:manualLayout>
      </c:layout>
      <c:bar3DChart>
        <c:barDir val="col"/>
        <c:grouping val="clustered"/>
        <c:varyColors val="0"/>
        <c:ser>
          <c:idx val="0"/>
          <c:order val="0"/>
          <c:tx>
            <c:strRef>
              <c:f>Hoja1!$B$1</c:f>
              <c:strCache>
                <c:ptCount val="1"/>
                <c:pt idx="0">
                  <c:v>Mensual</c:v>
                </c:pt>
              </c:strCache>
            </c:strRef>
          </c:tx>
          <c:spPr>
            <a:pattFill prst="sphere">
              <a:fgClr>
                <a:srgbClr val="FFFF00"/>
              </a:fgClr>
              <a:bgClr>
                <a:srgbClr val="E7E6E6">
                  <a:lumMod val="25000"/>
                </a:srgbClr>
              </a:bgClr>
            </a:pattFill>
            <a:ln w="9525" cap="flat" cmpd="sng" algn="ctr">
              <a:noFill/>
              <a:round/>
            </a:ln>
            <a:effectLst>
              <a:outerShdw blurRad="57150" dist="19050" dir="5400000" algn="ctr" rotWithShape="0">
                <a:srgbClr val="000000">
                  <a:alpha val="63000"/>
                </a:srgbClr>
              </a:outerShdw>
            </a:effectLst>
            <a:scene3d>
              <a:camera prst="orthographicFront"/>
              <a:lightRig rig="threePt" dir="t"/>
            </a:scene3d>
            <a:sp3d>
              <a:bevelT w="146050" h="196850"/>
              <a:bevelB w="50800"/>
            </a:sp3d>
          </c:spPr>
          <c:invertIfNegative val="0"/>
          <c:dLbls>
            <c:dLbl>
              <c:idx val="0"/>
              <c:layout>
                <c:manualLayout>
                  <c:x val="9.2461466808331037E-3"/>
                  <c:y val="1.605042905415536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79937997583944E-2"/>
                  <c:y val="1.60336993353882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10720887246686E-3"/>
                  <c:y val="8.0176388053717438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105360443622072E-3"/>
                  <c:y val="8.018270115513972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105360443622922E-3"/>
                  <c:y val="1.20264582080578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6210720887246686E-3"/>
                  <c:y val="8.0176388053718912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6.9316081330868763E-3"/>
                  <c:y val="8.017638805371818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4.8995552141911389</c:v>
                </c:pt>
                <c:pt idx="1">
                  <c:v>3.5313174162193661</c:v>
                </c:pt>
                <c:pt idx="2">
                  <c:v>-2.8432418335040666</c:v>
                </c:pt>
                <c:pt idx="3">
                  <c:v>-1.8520316583910272</c:v>
                </c:pt>
                <c:pt idx="4">
                  <c:v>-3.317890723563707</c:v>
                </c:pt>
                <c:pt idx="5">
                  <c:v>-4.0765703749638504</c:v>
                </c:pt>
                <c:pt idx="6">
                  <c:v>-7.9836666055575023</c:v>
                </c:pt>
                <c:pt idx="7">
                  <c:v>-2.7539594832371392</c:v>
                </c:pt>
                <c:pt idx="8">
                  <c:v>1.014641282664968</c:v>
                </c:pt>
                <c:pt idx="9">
                  <c:v>0.73586719616262997</c:v>
                </c:pt>
                <c:pt idx="10">
                  <c:v>-2.5628113084758866</c:v>
                </c:pt>
                <c:pt idx="11">
                  <c:v>-2.9172344573631506</c:v>
                </c:pt>
                <c:pt idx="12">
                  <c:v>0.36729671170580502</c:v>
                </c:pt>
              </c:numCache>
            </c:numRef>
          </c:val>
        </c:ser>
        <c:dLbls>
          <c:showLegendKey val="0"/>
          <c:showVal val="0"/>
          <c:showCatName val="0"/>
          <c:showSerName val="0"/>
          <c:showPercent val="0"/>
          <c:showBubbleSize val="0"/>
        </c:dLbls>
        <c:gapWidth val="0"/>
        <c:gapDepth val="125"/>
        <c:shape val="cone"/>
        <c:axId val="704262592"/>
        <c:axId val="704257152"/>
        <c:axId val="0"/>
      </c:bar3DChart>
      <c:catAx>
        <c:axId val="70426259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704257152"/>
        <c:crosses val="autoZero"/>
        <c:auto val="1"/>
        <c:lblAlgn val="ctr"/>
        <c:lblOffset val="100"/>
        <c:noMultiLvlLbl val="0"/>
      </c:catAx>
      <c:valAx>
        <c:axId val="704257152"/>
        <c:scaling>
          <c:orientation val="minMax"/>
          <c:max val="10"/>
          <c:min val="-12"/>
        </c:scaling>
        <c:delete val="1"/>
        <c:axPos val="l"/>
        <c:numFmt formatCode="0.00" sourceLinked="1"/>
        <c:majorTickMark val="out"/>
        <c:minorTickMark val="none"/>
        <c:tickLblPos val="nextTo"/>
        <c:crossAx val="704262592"/>
        <c:crosses val="autoZero"/>
        <c:crossBetween val="between"/>
        <c:majorUnit val="4"/>
        <c:minorUnit val="0.60000000000000064"/>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134054754246293E-2"/>
          <c:y val="0"/>
          <c:w val="0.98886594524575366"/>
          <c:h val="0.82120728595035064"/>
        </c:manualLayout>
      </c:layout>
      <c:bar3DChart>
        <c:barDir val="col"/>
        <c:grouping val="clustered"/>
        <c:varyColors val="0"/>
        <c:ser>
          <c:idx val="0"/>
          <c:order val="0"/>
          <c:tx>
            <c:strRef>
              <c:f>Hoja1!$B$1</c:f>
              <c:strCache>
                <c:ptCount val="1"/>
                <c:pt idx="0">
                  <c:v>Mensual</c:v>
                </c:pt>
              </c:strCache>
            </c:strRef>
          </c:tx>
          <c:spPr>
            <a:solidFill>
              <a:srgbClr val="002060"/>
            </a:solidFill>
            <a:ln w="38100" cap="flat" cmpd="sng" algn="ctr">
              <a:noFill/>
              <a:prstDash val="solid"/>
              <a:miter lim="800000"/>
            </a:ln>
            <a:effectLst/>
            <a:sp3d>
              <a:contourClr>
                <a:srgbClr val="FFC00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2.885619210098838</c:v>
                </c:pt>
                <c:pt idx="1">
                  <c:v>-2.5046075120557845</c:v>
                </c:pt>
                <c:pt idx="2">
                  <c:v>-6.3258500479060302</c:v>
                </c:pt>
                <c:pt idx="3">
                  <c:v>-5.0018789443904126</c:v>
                </c:pt>
                <c:pt idx="4">
                  <c:v>-1.0315845132014232</c:v>
                </c:pt>
                <c:pt idx="5">
                  <c:v>-4.3743879157945571</c:v>
                </c:pt>
                <c:pt idx="6">
                  <c:v>-11.187139114840221</c:v>
                </c:pt>
                <c:pt idx="7">
                  <c:v>-6.4861953406503119</c:v>
                </c:pt>
                <c:pt idx="8">
                  <c:v>-1.8701939290184981</c:v>
                </c:pt>
                <c:pt idx="9">
                  <c:v>-3.370655057131728</c:v>
                </c:pt>
                <c:pt idx="10">
                  <c:v>-2.288651218978444</c:v>
                </c:pt>
                <c:pt idx="11">
                  <c:v>-0.11400420540709888</c:v>
                </c:pt>
                <c:pt idx="12">
                  <c:v>4.6209426690676025</c:v>
                </c:pt>
              </c:numCache>
            </c:numRef>
          </c:val>
          <c:shape val="cylinder"/>
        </c:ser>
        <c:dLbls>
          <c:showLegendKey val="0"/>
          <c:showVal val="1"/>
          <c:showCatName val="0"/>
          <c:showSerName val="0"/>
          <c:showPercent val="0"/>
          <c:showBubbleSize val="0"/>
        </c:dLbls>
        <c:gapWidth val="18"/>
        <c:gapDepth val="129"/>
        <c:shape val="cone"/>
        <c:axId val="704261504"/>
        <c:axId val="704252256"/>
        <c:axId val="0"/>
      </c:bar3DChart>
      <c:catAx>
        <c:axId val="704261504"/>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704252256"/>
        <c:crosses val="autoZero"/>
        <c:auto val="1"/>
        <c:lblAlgn val="ctr"/>
        <c:lblOffset val="100"/>
        <c:noMultiLvlLbl val="0"/>
      </c:catAx>
      <c:valAx>
        <c:axId val="704252256"/>
        <c:scaling>
          <c:orientation val="minMax"/>
          <c:max val="10"/>
          <c:min val="-15"/>
        </c:scaling>
        <c:delete val="1"/>
        <c:axPos val="l"/>
        <c:numFmt formatCode="0.00" sourceLinked="1"/>
        <c:majorTickMark val="out"/>
        <c:minorTickMark val="none"/>
        <c:tickLblPos val="nextTo"/>
        <c:crossAx val="704261504"/>
        <c:crosses val="autoZero"/>
        <c:crossBetween val="between"/>
        <c:majorUnit val="4"/>
        <c:minorUnit val="0.60000000000000064"/>
      </c:valAx>
      <c:spPr>
        <a:noFill/>
        <a:ln w="25400">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perspective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3698882013772E-4"/>
          <c:y val="1.7916980122707597E-2"/>
          <c:w val="0.9988869182429454"/>
          <c:h val="0.81434225610215305"/>
        </c:manualLayout>
      </c:layout>
      <c:bar3DChart>
        <c:barDir val="col"/>
        <c:grouping val="clustered"/>
        <c:varyColors val="0"/>
        <c:ser>
          <c:idx val="0"/>
          <c:order val="0"/>
          <c:tx>
            <c:strRef>
              <c:f>Hoja1!$B$1</c:f>
              <c:strCache>
                <c:ptCount val="1"/>
                <c:pt idx="0">
                  <c:v>Mensual</c:v>
                </c:pt>
              </c:strCache>
            </c:strRef>
          </c:tx>
          <c:spPr>
            <a:solidFill>
              <a:srgbClr val="ED7D31">
                <a:lumMod val="40000"/>
                <a:lumOff val="60000"/>
              </a:srgbClr>
            </a:solidFill>
            <a:ln w="6350" cap="flat" cmpd="sng" algn="ctr">
              <a:solidFill>
                <a:srgbClr val="5B9BD5"/>
              </a:solidFill>
              <a:prstDash val="solid"/>
              <a:miter lim="800000"/>
            </a:ln>
            <a:effectLst>
              <a:outerShdw blurRad="50800" dist="76200" dir="7200000" algn="ctr" rotWithShape="0">
                <a:srgbClr val="E7E6E6">
                  <a:lumMod val="75000"/>
                </a:srgbClr>
              </a:outerShdw>
            </a:effectLst>
            <a:scene3d>
              <a:camera prst="orthographicFront"/>
              <a:lightRig rig="threePt" dir="t"/>
            </a:scene3d>
            <a:sp3d contourW="6350">
              <a:bevelT w="88900" h="133350"/>
              <a:contourClr>
                <a:srgbClr val="5B9BD5"/>
              </a:contourClr>
            </a:sp3d>
          </c:spPr>
          <c:invertIfNegative val="0"/>
          <c:dLbls>
            <c:dLbl>
              <c:idx val="4"/>
              <c:layout>
                <c:manualLayout>
                  <c:x val="4.5413260672116261E-3"/>
                  <c:y val="4.774409166865600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5413260672116261E-3"/>
                  <c:y val="1.9097636667462402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70663033605813E-3"/>
                  <c:y val="4.774409166865600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-0.19566812875905271</c:v>
                </c:pt>
                <c:pt idx="1">
                  <c:v>2.0329651762121017</c:v>
                </c:pt>
                <c:pt idx="2">
                  <c:v>2.6117546634780524</c:v>
                </c:pt>
                <c:pt idx="3">
                  <c:v>2.2116240118594988</c:v>
                </c:pt>
                <c:pt idx="4">
                  <c:v>4.2359445161344667</c:v>
                </c:pt>
                <c:pt idx="5">
                  <c:v>1.5321204308065717</c:v>
                </c:pt>
                <c:pt idx="6">
                  <c:v>2.9431043267748862</c:v>
                </c:pt>
                <c:pt idx="7">
                  <c:v>-0.48000285774766382</c:v>
                </c:pt>
                <c:pt idx="8">
                  <c:v>-0.35890402386590381</c:v>
                </c:pt>
                <c:pt idx="9">
                  <c:v>-1.8022003233255361</c:v>
                </c:pt>
                <c:pt idx="10">
                  <c:v>-4.8577815711359875</c:v>
                </c:pt>
                <c:pt idx="11">
                  <c:v>-3.1534978500451132</c:v>
                </c:pt>
                <c:pt idx="12">
                  <c:v>-1.4471963385525157</c:v>
                </c:pt>
              </c:numCache>
            </c:numRef>
          </c:val>
          <c:shape val="box"/>
        </c:ser>
        <c:dLbls>
          <c:showLegendKey val="0"/>
          <c:showVal val="0"/>
          <c:showCatName val="0"/>
          <c:showSerName val="0"/>
          <c:showPercent val="0"/>
          <c:showBubbleSize val="0"/>
        </c:dLbls>
        <c:gapWidth val="42"/>
        <c:gapDepth val="288"/>
        <c:shape val="cylinder"/>
        <c:axId val="704249536"/>
        <c:axId val="704257696"/>
        <c:axId val="0"/>
      </c:bar3DChart>
      <c:catAx>
        <c:axId val="70424953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704257696"/>
        <c:crosses val="autoZero"/>
        <c:auto val="1"/>
        <c:lblAlgn val="ctr"/>
        <c:lblOffset val="100"/>
        <c:noMultiLvlLbl val="0"/>
      </c:catAx>
      <c:valAx>
        <c:axId val="704257696"/>
        <c:scaling>
          <c:orientation val="minMax"/>
          <c:max val="8"/>
          <c:min val="-8"/>
        </c:scaling>
        <c:delete val="1"/>
        <c:axPos val="l"/>
        <c:numFmt formatCode="0.00" sourceLinked="1"/>
        <c:majorTickMark val="out"/>
        <c:minorTickMark val="none"/>
        <c:tickLblPos val="nextTo"/>
        <c:crossAx val="704249536"/>
        <c:crosses val="autoZero"/>
        <c:crossBetween val="between"/>
        <c:majorUnit val="2"/>
        <c:minorUnit val="2"/>
      </c:valAx>
      <c:spPr>
        <a:noFill/>
        <a:ln w="25400">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20"/>
      <c:depthPercent val="60"/>
      <c:rAngAx val="0"/>
      <c:perspective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7943172634754E-4"/>
          <c:y val="1.7917062149913773E-2"/>
          <c:w val="0.9988869182429454"/>
          <c:h val="0.81434225610215305"/>
        </c:manualLayout>
      </c:layout>
      <c:bar3DChart>
        <c:barDir val="col"/>
        <c:grouping val="clustered"/>
        <c:varyColors val="0"/>
        <c:ser>
          <c:idx val="0"/>
          <c:order val="0"/>
          <c:tx>
            <c:strRef>
              <c:f>Hoja1!$B$1</c:f>
              <c:strCache>
                <c:ptCount val="1"/>
                <c:pt idx="0">
                  <c:v>Columna1</c:v>
                </c:pt>
              </c:strCache>
            </c:strRef>
          </c:tx>
          <c:spPr>
            <a:pattFill prst="solidDmnd">
              <a:fgClr>
                <a:srgbClr val="FF0000"/>
              </a:fgClr>
              <a:bgClr>
                <a:srgbClr val="FFFF00"/>
              </a:bgClr>
            </a:patt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2.0814170694310614E-17"/>
                  <c:y val="8.488964346349745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119891008174387E-3"/>
                  <c:y val="1.273344651952461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811989100817397E-3"/>
                  <c:y val="1.273344651952461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1628341388621228E-17"/>
                  <c:y val="1.6977928692699491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270663033605813E-3"/>
                  <c:y val="1.2733446519524618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5413260672115428E-3"/>
                  <c:y val="8.4889643463497456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0"/>
                  <c:y val="8.4889643463497456E-3"/>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9.0826521344232521E-3"/>
                  <c:y val="4.24448217317487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F</c:v>
                </c:pt>
                <c:pt idx="1">
                  <c:v>M</c:v>
                </c:pt>
                <c:pt idx="2">
                  <c:v>A</c:v>
                </c:pt>
                <c:pt idx="3">
                  <c:v>M</c:v>
                </c:pt>
                <c:pt idx="4">
                  <c:v>J</c:v>
                </c:pt>
                <c:pt idx="5">
                  <c:v>J</c:v>
                </c:pt>
                <c:pt idx="6">
                  <c:v>A</c:v>
                </c:pt>
                <c:pt idx="7">
                  <c:v>S</c:v>
                </c:pt>
                <c:pt idx="8">
                  <c:v>O</c:v>
                </c:pt>
                <c:pt idx="9">
                  <c:v>N</c:v>
                </c:pt>
                <c:pt idx="10">
                  <c:v>D</c:v>
                </c:pt>
                <c:pt idx="11">
                  <c:v>E</c:v>
                </c:pt>
                <c:pt idx="12">
                  <c:v>F</c:v>
                </c:pt>
              </c:strCache>
            </c:strRef>
          </c:cat>
          <c:val>
            <c:numRef>
              <c:f>Hoja1!$B$2:$B$14</c:f>
              <c:numCache>
                <c:formatCode>0.00</c:formatCode>
                <c:ptCount val="13"/>
                <c:pt idx="0">
                  <c:v>6.1843790012804334</c:v>
                </c:pt>
                <c:pt idx="1">
                  <c:v>7.9194731069806465</c:v>
                </c:pt>
                <c:pt idx="2">
                  <c:v>-1.6174944797680411</c:v>
                </c:pt>
                <c:pt idx="3">
                  <c:v>3.747870528109047</c:v>
                </c:pt>
                <c:pt idx="4">
                  <c:v>-0.48684930717598718</c:v>
                </c:pt>
                <c:pt idx="5">
                  <c:v>0.43172870436652033</c:v>
                </c:pt>
                <c:pt idx="6">
                  <c:v>-5.7035933289947423</c:v>
                </c:pt>
                <c:pt idx="7">
                  <c:v>-6.6441979393470234</c:v>
                </c:pt>
                <c:pt idx="8">
                  <c:v>4.1797145710717842</c:v>
                </c:pt>
                <c:pt idx="9">
                  <c:v>-3.3198611820297828</c:v>
                </c:pt>
                <c:pt idx="10">
                  <c:v>-5.3399966309169713</c:v>
                </c:pt>
                <c:pt idx="11">
                  <c:v>0.12101079606119924</c:v>
                </c:pt>
                <c:pt idx="12">
                  <c:v>-4.8899621316063815</c:v>
                </c:pt>
              </c:numCache>
            </c:numRef>
          </c:val>
          <c:shape val="pyramid"/>
        </c:ser>
        <c:dLbls>
          <c:showLegendKey val="0"/>
          <c:showVal val="1"/>
          <c:showCatName val="0"/>
          <c:showSerName val="0"/>
          <c:showPercent val="0"/>
          <c:showBubbleSize val="0"/>
        </c:dLbls>
        <c:gapWidth val="24"/>
        <c:gapDepth val="262"/>
        <c:shape val="cylinder"/>
        <c:axId val="704258240"/>
        <c:axId val="704252800"/>
        <c:axId val="0"/>
      </c:bar3DChart>
      <c:catAx>
        <c:axId val="70425824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704252800"/>
        <c:crosses val="autoZero"/>
        <c:auto val="1"/>
        <c:lblAlgn val="ctr"/>
        <c:lblOffset val="100"/>
        <c:tickLblSkip val="1"/>
        <c:noMultiLvlLbl val="0"/>
      </c:catAx>
      <c:valAx>
        <c:axId val="704252800"/>
        <c:scaling>
          <c:orientation val="minMax"/>
          <c:max val="10"/>
          <c:min val="-10"/>
        </c:scaling>
        <c:delete val="1"/>
        <c:axPos val="l"/>
        <c:numFmt formatCode="0.00" sourceLinked="1"/>
        <c:majorTickMark val="out"/>
        <c:minorTickMark val="none"/>
        <c:tickLblPos val="nextTo"/>
        <c:crossAx val="704258240"/>
        <c:crosses val="autoZero"/>
        <c:crossBetween val="between"/>
        <c:majorUnit val="2.5"/>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139578895067158E-2"/>
          <c:y val="5.6625707886496769E-2"/>
          <c:w val="0.97727786767548197"/>
          <c:h val="0.77267369535609998"/>
        </c:manualLayout>
      </c:layout>
      <c:lineChart>
        <c:grouping val="standard"/>
        <c:varyColors val="0"/>
        <c:ser>
          <c:idx val="0"/>
          <c:order val="0"/>
          <c:tx>
            <c:strRef>
              <c:f>Hoja1!$B$1</c:f>
              <c:strCache>
                <c:ptCount val="1"/>
                <c:pt idx="0">
                  <c:v>Interanual</c:v>
                </c:pt>
              </c:strCache>
            </c:strRef>
          </c:tx>
          <c:spPr>
            <a:ln w="25400" cap="flat" cmpd="sng" algn="ctr">
              <a:solidFill>
                <a:schemeClr val="accent2"/>
              </a:solidFill>
              <a:prstDash val="sysDot"/>
              <a:round/>
            </a:ln>
            <a:effectLst>
              <a:glow rad="63500">
                <a:schemeClr val="accent2">
                  <a:lumMod val="60000"/>
                  <a:lumOff val="40000"/>
                  <a:alpha val="40000"/>
                </a:schemeClr>
              </a:glow>
            </a:effectLst>
          </c:spPr>
          <c:marker>
            <c:symbol val="none"/>
          </c:marke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layout>
                <c:manualLayout>
                  <c:x val="-4.8727006943599382E-3"/>
                  <c:y val="-6.6190559136039023E-2"/>
                </c:manualLayout>
              </c:layout>
              <c:showLegendKey val="0"/>
              <c:showVal val="1"/>
              <c:showCatName val="0"/>
              <c:showSerName val="0"/>
              <c:showPercent val="0"/>
              <c:showBubbleSize val="0"/>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delete val="1"/>
              <c:extLst>
                <c:ext xmlns:c15="http://schemas.microsoft.com/office/drawing/2012/chart" uri="{CE6537A1-D6FC-4f65-9D91-7224C49458BB}"/>
              </c:extLst>
            </c:dLbl>
            <c:dLbl>
              <c:idx val="22"/>
              <c:delete val="1"/>
              <c:extLst>
                <c:ext xmlns:c15="http://schemas.microsoft.com/office/drawing/2012/chart" uri="{CE6537A1-D6FC-4f65-9D91-7224C49458BB}"/>
              </c:extLst>
            </c:dLbl>
            <c:dLbl>
              <c:idx val="23"/>
              <c:layout>
                <c:manualLayout>
                  <c:x val="-0.11207211597027661"/>
                  <c:y val="-5.5739418219822333E-2"/>
                </c:manualLayout>
              </c:layout>
              <c:showLegendKey val="0"/>
              <c:showVal val="1"/>
              <c:showCatName val="0"/>
              <c:showSerName val="0"/>
              <c:showPercent val="0"/>
              <c:showBubbleSize val="0"/>
              <c:extLst>
                <c:ext xmlns:c15="http://schemas.microsoft.com/office/drawing/2012/chart" uri="{CE6537A1-D6FC-4f65-9D91-7224C49458BB}"/>
              </c:extLst>
            </c:dLbl>
            <c:dLbl>
              <c:idx val="24"/>
              <c:layout>
                <c:manualLayout>
                  <c:x val="-7.3090510415397738E-3"/>
                  <c:y val="-5.9223131858561352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solidFill>
                  <a:srgbClr val="5B9BD5"/>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Hoja1!$A$2:$A$27</c:f>
              <c:strCache>
                <c:ptCount val="25"/>
                <c:pt idx="0">
                  <c:v>F</c:v>
                </c:pt>
                <c:pt idx="1">
                  <c:v>M</c:v>
                </c:pt>
                <c:pt idx="2">
                  <c:v>A</c:v>
                </c:pt>
                <c:pt idx="3">
                  <c:v>M</c:v>
                </c:pt>
                <c:pt idx="4">
                  <c:v>J</c:v>
                </c:pt>
                <c:pt idx="5">
                  <c:v>J</c:v>
                </c:pt>
                <c:pt idx="6">
                  <c:v>A</c:v>
                </c:pt>
                <c:pt idx="7">
                  <c:v>S</c:v>
                </c:pt>
                <c:pt idx="8">
                  <c:v>O</c:v>
                </c:pt>
                <c:pt idx="9">
                  <c:v>N</c:v>
                </c:pt>
                <c:pt idx="10">
                  <c:v>D</c:v>
                </c:pt>
                <c:pt idx="11">
                  <c:v>E</c:v>
                </c:pt>
                <c:pt idx="12">
                  <c:v>F</c:v>
                </c:pt>
                <c:pt idx="13">
                  <c:v>M</c:v>
                </c:pt>
                <c:pt idx="14">
                  <c:v>A</c:v>
                </c:pt>
                <c:pt idx="15">
                  <c:v>M</c:v>
                </c:pt>
                <c:pt idx="16">
                  <c:v>J</c:v>
                </c:pt>
                <c:pt idx="17">
                  <c:v>J</c:v>
                </c:pt>
                <c:pt idx="18">
                  <c:v>A</c:v>
                </c:pt>
                <c:pt idx="19">
                  <c:v>S</c:v>
                </c:pt>
                <c:pt idx="20">
                  <c:v>O</c:v>
                </c:pt>
                <c:pt idx="21">
                  <c:v>N</c:v>
                </c:pt>
                <c:pt idx="22">
                  <c:v>D</c:v>
                </c:pt>
                <c:pt idx="23">
                  <c:v>E</c:v>
                </c:pt>
                <c:pt idx="24">
                  <c:v>F</c:v>
                </c:pt>
              </c:strCache>
            </c:strRef>
          </c:cat>
          <c:val>
            <c:numRef>
              <c:f>Hoja1!$B$2:$B$27</c:f>
              <c:numCache>
                <c:formatCode>0.00</c:formatCode>
                <c:ptCount val="26"/>
                <c:pt idx="0">
                  <c:v>3.55</c:v>
                </c:pt>
                <c:pt idx="1">
                  <c:v>4.25</c:v>
                </c:pt>
                <c:pt idx="2">
                  <c:v>4.6500000000000004</c:v>
                </c:pt>
                <c:pt idx="3">
                  <c:v>4.63</c:v>
                </c:pt>
                <c:pt idx="4">
                  <c:v>4.09</c:v>
                </c:pt>
                <c:pt idx="5">
                  <c:v>3.47</c:v>
                </c:pt>
                <c:pt idx="6">
                  <c:v>3.46</c:v>
                </c:pt>
                <c:pt idx="7">
                  <c:v>3.39</c:v>
                </c:pt>
                <c:pt idx="8">
                  <c:v>3.36</c:v>
                </c:pt>
                <c:pt idx="9">
                  <c:v>3.62</c:v>
                </c:pt>
                <c:pt idx="10">
                  <c:v>3.97</c:v>
                </c:pt>
                <c:pt idx="11">
                  <c:v>4.4800000000000004</c:v>
                </c:pt>
                <c:pt idx="12">
                  <c:v>4.2300000000000004</c:v>
                </c:pt>
                <c:pt idx="13">
                  <c:v>3.76</c:v>
                </c:pt>
                <c:pt idx="14">
                  <c:v>3.5</c:v>
                </c:pt>
                <c:pt idx="15">
                  <c:v>3.51</c:v>
                </c:pt>
                <c:pt idx="16">
                  <c:v>3.75</c:v>
                </c:pt>
                <c:pt idx="17">
                  <c:v>4.07</c:v>
                </c:pt>
                <c:pt idx="18">
                  <c:v>4.1500000000000004</c:v>
                </c:pt>
                <c:pt idx="19">
                  <c:v>4.22</c:v>
                </c:pt>
                <c:pt idx="20">
                  <c:v>4.3</c:v>
                </c:pt>
                <c:pt idx="21">
                  <c:v>4.17</c:v>
                </c:pt>
                <c:pt idx="22">
                  <c:v>4.08</c:v>
                </c:pt>
                <c:pt idx="23">
                  <c:v>3.07</c:v>
                </c:pt>
                <c:pt idx="24">
                  <c:v>3</c:v>
                </c:pt>
              </c:numCache>
            </c:numRef>
          </c:val>
          <c:smooth val="0"/>
        </c:ser>
        <c:dLbls>
          <c:showLegendKey val="0"/>
          <c:showVal val="0"/>
          <c:showCatName val="0"/>
          <c:showSerName val="0"/>
          <c:showPercent val="0"/>
          <c:showBubbleSize val="0"/>
        </c:dLbls>
        <c:dropLines>
          <c:spPr>
            <a:ln w="9525" cap="flat" cmpd="sng" algn="ctr">
              <a:solidFill>
                <a:schemeClr val="bg1">
                  <a:lumMod val="95000"/>
                </a:schemeClr>
              </a:solidFill>
              <a:round/>
            </a:ln>
            <a:effectLst/>
          </c:spPr>
        </c:dropLines>
        <c:smooth val="0"/>
        <c:axId val="572378096"/>
        <c:axId val="572380272"/>
      </c:lineChart>
      <c:catAx>
        <c:axId val="572378096"/>
        <c:scaling>
          <c:orientation val="minMax"/>
        </c:scaling>
        <c:delete val="0"/>
        <c:axPos val="b"/>
        <c:numFmt formatCode="General" sourceLinked="1"/>
        <c:majorTickMark val="none"/>
        <c:min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dk1"/>
                </a:solidFill>
                <a:latin typeface="Times New Roman" panose="02020603050405020304" pitchFamily="18" charset="0"/>
                <a:ea typeface="+mn-ea"/>
                <a:cs typeface="Times New Roman" panose="02020603050405020304" pitchFamily="18" charset="0"/>
              </a:defRPr>
            </a:pPr>
            <a:endParaRPr lang="es-MX"/>
          </a:p>
        </c:txPr>
        <c:crossAx val="572380272"/>
        <c:crosses val="autoZero"/>
        <c:auto val="1"/>
        <c:lblAlgn val="ctr"/>
        <c:lblOffset val="100"/>
        <c:tickLblSkip val="2"/>
        <c:noMultiLvlLbl val="0"/>
      </c:catAx>
      <c:valAx>
        <c:axId val="572380272"/>
        <c:scaling>
          <c:orientation val="minMax"/>
          <c:max val="4.9000000000000004"/>
          <c:min val="2.9"/>
        </c:scaling>
        <c:delete val="1"/>
        <c:axPos val="l"/>
        <c:numFmt formatCode="#,##0.0" sourceLinked="0"/>
        <c:majorTickMark val="out"/>
        <c:minorTickMark val="none"/>
        <c:tickLblPos val="nextTo"/>
        <c:crossAx val="572378096"/>
        <c:crosses val="autoZero"/>
        <c:crossBetween val="between"/>
      </c:valAx>
      <c:spPr>
        <a:noFill/>
        <a:ln>
          <a:noFill/>
        </a:ln>
        <a:effectLst/>
      </c:spPr>
    </c:plotArea>
    <c:plotVisOnly val="1"/>
    <c:dispBlanksAs val="gap"/>
    <c:showDLblsOverMax val="0"/>
  </c:chart>
  <c:spPr>
    <a:noFill/>
    <a:ln w="9525" cap="flat" cmpd="sng" algn="ctr">
      <a:solidFill>
        <a:schemeClr val="bg1">
          <a:lumMod val="85000"/>
        </a:schemeClr>
      </a:solidFill>
      <a:prstDash val="solid"/>
      <a:round/>
    </a:ln>
    <a:effectLst>
      <a:outerShdw blurRad="40000" dist="20000" dir="5400000" rotWithShape="0">
        <a:srgbClr val="000000">
          <a:alpha val="38000"/>
        </a:srgbClr>
      </a:outerShdw>
    </a:effectLst>
  </c:spPr>
  <c:txPr>
    <a:bodyPr/>
    <a:lstStyle/>
    <a:p>
      <a:pPr>
        <a:defRPr>
          <a:solidFill>
            <a:schemeClr val="dk1"/>
          </a:solidFill>
          <a:latin typeface="Times New Roman" panose="02020603050405020304" pitchFamily="18" charset="0"/>
          <a:ea typeface="+mn-ea"/>
          <a:cs typeface="Times New Roman" panose="02020603050405020304" pitchFamily="18" charset="0"/>
        </a:defRPr>
      </a:pPr>
      <a:endParaRPr lang="es-MX"/>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413793103448337E-2"/>
          <c:y val="0.14028776978417271"/>
          <c:w val="0.85172413793103463"/>
          <c:h val="0.65107913669064776"/>
        </c:manualLayout>
      </c:layout>
      <c:barChart>
        <c:barDir val="col"/>
        <c:grouping val="clustered"/>
        <c:varyColors val="0"/>
        <c:ser>
          <c:idx val="2"/>
          <c:order val="2"/>
          <c:tx>
            <c:strRef>
              <c:f>Sheet1!$A$4</c:f>
              <c:strCache>
                <c:ptCount val="1"/>
                <c:pt idx="0">
                  <c:v>Existencias al final del ejercicio (eje de la derecha)</c:v>
                </c:pt>
              </c:strCache>
            </c:strRef>
          </c:tx>
          <c:spPr>
            <a:gradFill>
              <a:gsLst>
                <a:gs pos="0">
                  <a:srgbClr val="9D963D"/>
                </a:gs>
                <a:gs pos="40000">
                  <a:srgbClr val="EEECE1">
                    <a:lumMod val="50000"/>
                  </a:srgbClr>
                </a:gs>
                <a:gs pos="100000">
                  <a:srgbClr val="EEECE1">
                    <a:lumMod val="90000"/>
                  </a:srgbClr>
                </a:gs>
              </a:gsLst>
              <a:lin ang="5400000" scaled="0"/>
            </a:gradFill>
            <a:ln w="47625">
              <a:solidFill>
                <a:prstClr val="black"/>
              </a:solidFill>
              <a:prstDash val="solid"/>
            </a:ln>
            <a:effectLst>
              <a:glow rad="63500">
                <a:srgbClr val="EEECE1">
                  <a:lumMod val="50000"/>
                  <a:alpha val="40000"/>
                </a:srgbClr>
              </a:glow>
              <a:softEdge rad="50800"/>
            </a:effectLst>
          </c:spPr>
          <c:invertIfNegative val="0"/>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Sheet1!$B$4:$L$4</c:f>
              <c:numCache>
                <c:formatCode>General</c:formatCode>
                <c:ptCount val="11"/>
                <c:pt idx="0">
                  <c:v>472.9</c:v>
                </c:pt>
                <c:pt idx="1">
                  <c:v>468.4</c:v>
                </c:pt>
                <c:pt idx="2">
                  <c:v>422.2</c:v>
                </c:pt>
                <c:pt idx="3">
                  <c:v>419</c:v>
                </c:pt>
                <c:pt idx="4">
                  <c:v>501.1</c:v>
                </c:pt>
                <c:pt idx="5">
                  <c:v>522.9</c:v>
                </c:pt>
                <c:pt idx="6">
                  <c:v>501.8</c:v>
                </c:pt>
                <c:pt idx="7">
                  <c:v>522.29999999999995</c:v>
                </c:pt>
                <c:pt idx="8">
                  <c:v>506.1</c:v>
                </c:pt>
                <c:pt idx="9">
                  <c:v>578.6</c:v>
                </c:pt>
                <c:pt idx="10">
                  <c:v>630.5</c:v>
                </c:pt>
              </c:numCache>
            </c:numRef>
          </c:val>
        </c:ser>
        <c:dLbls>
          <c:showLegendKey val="0"/>
          <c:showVal val="0"/>
          <c:showCatName val="0"/>
          <c:showSerName val="0"/>
          <c:showPercent val="0"/>
          <c:showBubbleSize val="0"/>
        </c:dLbls>
        <c:gapWidth val="109"/>
        <c:axId val="704264768"/>
        <c:axId val="704253888"/>
      </c:barChart>
      <c:lineChart>
        <c:grouping val="standard"/>
        <c:varyColors val="0"/>
        <c:ser>
          <c:idx val="3"/>
          <c:order val="0"/>
          <c:tx>
            <c:strRef>
              <c:f>Sheet1!$A$2</c:f>
              <c:strCache>
                <c:ptCount val="1"/>
                <c:pt idx="0">
                  <c:v>Producción (eje de la izquierda)</c:v>
                </c:pt>
              </c:strCache>
            </c:strRef>
          </c:tx>
          <c:spPr>
            <a:ln w="28575" cap="flat" cmpd="sng" algn="ctr">
              <a:solidFill>
                <a:srgbClr val="4BACC6">
                  <a:lumMod val="75000"/>
                </a:srgbClr>
              </a:solidFill>
              <a:prstDash val="solid"/>
            </a:ln>
            <a:effectLst>
              <a:outerShdw blurRad="40000" dist="23000" dir="5400000" rotWithShape="0">
                <a:srgbClr val="000000">
                  <a:alpha val="35000"/>
                </a:srgbClr>
              </a:outerShdw>
            </a:effectLst>
          </c:spPr>
          <c:marker>
            <c:symbol val="none"/>
          </c:marker>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Sheet1!$B$2:$L$2</c:f>
              <c:numCache>
                <c:formatCode>General</c:formatCode>
                <c:ptCount val="11"/>
                <c:pt idx="0">
                  <c:v>2074.6</c:v>
                </c:pt>
                <c:pt idx="1">
                  <c:v>2052.5</c:v>
                </c:pt>
                <c:pt idx="2">
                  <c:v>2020</c:v>
                </c:pt>
                <c:pt idx="3">
                  <c:v>2134.8000000000002</c:v>
                </c:pt>
                <c:pt idx="4">
                  <c:v>2288.5</c:v>
                </c:pt>
                <c:pt idx="5">
                  <c:v>2266.1</c:v>
                </c:pt>
                <c:pt idx="6">
                  <c:v>2257.4</c:v>
                </c:pt>
                <c:pt idx="7">
                  <c:v>2353.6999999999998</c:v>
                </c:pt>
                <c:pt idx="8">
                  <c:v>2304.4</c:v>
                </c:pt>
                <c:pt idx="9">
                  <c:v>2525.1999999999998</c:v>
                </c:pt>
                <c:pt idx="10">
                  <c:v>2533.5</c:v>
                </c:pt>
              </c:numCache>
            </c:numRef>
          </c:val>
          <c:smooth val="0"/>
        </c:ser>
        <c:ser>
          <c:idx val="0"/>
          <c:order val="1"/>
          <c:tx>
            <c:strRef>
              <c:f>Sheet1!$A$3</c:f>
              <c:strCache>
                <c:ptCount val="1"/>
                <c:pt idx="0">
                  <c:v>Utilización (eje de la izquierda)</c:v>
                </c:pt>
              </c:strCache>
            </c:strRef>
          </c:tx>
          <c:spPr>
            <a:ln w="38100" cap="flat" cmpd="thickThin" algn="ctr">
              <a:solidFill>
                <a:srgbClr val="FF0000"/>
              </a:solidFill>
              <a:prstDash val="sysDash"/>
            </a:ln>
            <a:effectLst>
              <a:outerShdw blurRad="40000" dist="23000" dir="5400000" rotWithShape="0">
                <a:srgbClr val="000000">
                  <a:alpha val="35000"/>
                </a:srgbClr>
              </a:outerShdw>
            </a:effectLst>
          </c:spPr>
          <c:marker>
            <c:symbol val="none"/>
          </c:marker>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Sheet1!$B$3:$L$3</c:f>
              <c:numCache>
                <c:formatCode>General</c:formatCode>
                <c:ptCount val="11"/>
                <c:pt idx="0">
                  <c:v>2023.6</c:v>
                </c:pt>
                <c:pt idx="1">
                  <c:v>2045.4</c:v>
                </c:pt>
                <c:pt idx="2">
                  <c:v>2074.9</c:v>
                </c:pt>
                <c:pt idx="3">
                  <c:v>2142.1999999999998</c:v>
                </c:pt>
                <c:pt idx="4">
                  <c:v>2191.6999999999998</c:v>
                </c:pt>
                <c:pt idx="5">
                  <c:v>2233.1</c:v>
                </c:pt>
                <c:pt idx="6">
                  <c:v>2272.6</c:v>
                </c:pt>
                <c:pt idx="7">
                  <c:v>2325.6</c:v>
                </c:pt>
                <c:pt idx="8" formatCode="0.0">
                  <c:v>2328.1999999999998</c:v>
                </c:pt>
                <c:pt idx="9" formatCode="0.0">
                  <c:v>2416.4</c:v>
                </c:pt>
                <c:pt idx="10" formatCode="0.0">
                  <c:v>2466.9</c:v>
                </c:pt>
              </c:numCache>
            </c:numRef>
          </c:val>
          <c:smooth val="0"/>
        </c:ser>
        <c:dLbls>
          <c:showLegendKey val="0"/>
          <c:showVal val="0"/>
          <c:showCatName val="0"/>
          <c:showSerName val="0"/>
          <c:showPercent val="0"/>
          <c:showBubbleSize val="0"/>
        </c:dLbls>
        <c:marker val="1"/>
        <c:smooth val="0"/>
        <c:axId val="704251712"/>
        <c:axId val="704256064"/>
      </c:lineChart>
      <c:catAx>
        <c:axId val="704264768"/>
        <c:scaling>
          <c:orientation val="minMax"/>
        </c:scaling>
        <c:delete val="0"/>
        <c:axPos val="b"/>
        <c:numFmt formatCode="General" sourceLinked="1"/>
        <c:majorTickMark val="cross"/>
        <c:minorTickMark val="none"/>
        <c:tickLblPos val="nextTo"/>
        <c:spPr>
          <a:ln w="3168">
            <a:solidFill>
              <a:srgbClr val="000000"/>
            </a:solidFill>
            <a:prstDash val="solid"/>
          </a:ln>
        </c:spPr>
        <c:txPr>
          <a:bodyPr rot="-2700000" vert="horz"/>
          <a:lstStyle/>
          <a:p>
            <a:pPr>
              <a:defRPr sz="998" b="0" i="0" u="none" strike="noStrike" baseline="0">
                <a:solidFill>
                  <a:srgbClr val="000000"/>
                </a:solidFill>
                <a:latin typeface="Times New Roman"/>
                <a:ea typeface="Times New Roman"/>
                <a:cs typeface="Times New Roman"/>
              </a:defRPr>
            </a:pPr>
            <a:endParaRPr lang="es-MX"/>
          </a:p>
        </c:txPr>
        <c:crossAx val="704253888"/>
        <c:crosses val="autoZero"/>
        <c:auto val="0"/>
        <c:lblAlgn val="ctr"/>
        <c:lblOffset val="100"/>
        <c:tickLblSkip val="1"/>
        <c:tickMarkSkip val="1"/>
        <c:noMultiLvlLbl val="0"/>
      </c:catAx>
      <c:valAx>
        <c:axId val="704253888"/>
        <c:scaling>
          <c:orientation val="minMax"/>
          <c:max val="800"/>
          <c:min val="0"/>
        </c:scaling>
        <c:delete val="0"/>
        <c:axPos val="l"/>
        <c:numFmt formatCode="General" sourceLinked="1"/>
        <c:majorTickMark val="cross"/>
        <c:minorTickMark val="none"/>
        <c:tickLblPos val="nextTo"/>
        <c:spPr>
          <a:ln w="3168">
            <a:solidFill>
              <a:srgbClr val="000000"/>
            </a:solidFill>
            <a:prstDash val="solid"/>
          </a:ln>
        </c:spPr>
        <c:txPr>
          <a:bodyPr rot="0" vert="horz"/>
          <a:lstStyle/>
          <a:p>
            <a:pPr>
              <a:defRPr sz="998" b="0" i="0" u="none" strike="noStrike" baseline="0">
                <a:solidFill>
                  <a:srgbClr val="000000"/>
                </a:solidFill>
                <a:latin typeface="Times New Roman"/>
                <a:ea typeface="Times New Roman"/>
                <a:cs typeface="Times New Roman"/>
              </a:defRPr>
            </a:pPr>
            <a:endParaRPr lang="es-MX"/>
          </a:p>
        </c:txPr>
        <c:crossAx val="704264768"/>
        <c:crosses val="autoZero"/>
        <c:crossBetween val="between"/>
        <c:majorUnit val="200"/>
      </c:valAx>
      <c:catAx>
        <c:axId val="704251712"/>
        <c:scaling>
          <c:orientation val="minMax"/>
        </c:scaling>
        <c:delete val="1"/>
        <c:axPos val="b"/>
        <c:numFmt formatCode="General" sourceLinked="1"/>
        <c:majorTickMark val="out"/>
        <c:minorTickMark val="none"/>
        <c:tickLblPos val="none"/>
        <c:crossAx val="704256064"/>
        <c:crosses val="autoZero"/>
        <c:auto val="0"/>
        <c:lblAlgn val="ctr"/>
        <c:lblOffset val="100"/>
        <c:noMultiLvlLbl val="0"/>
      </c:catAx>
      <c:valAx>
        <c:axId val="704256064"/>
        <c:scaling>
          <c:orientation val="minMax"/>
          <c:max val="2600"/>
          <c:min val="1800"/>
        </c:scaling>
        <c:delete val="0"/>
        <c:axPos val="r"/>
        <c:numFmt formatCode="0\ 000" sourceLinked="0"/>
        <c:majorTickMark val="cross"/>
        <c:minorTickMark val="none"/>
        <c:tickLblPos val="nextTo"/>
        <c:spPr>
          <a:ln w="3168">
            <a:solidFill>
              <a:srgbClr val="000000"/>
            </a:solidFill>
            <a:prstDash val="solid"/>
          </a:ln>
        </c:spPr>
        <c:txPr>
          <a:bodyPr rot="0" vert="horz"/>
          <a:lstStyle/>
          <a:p>
            <a:pPr>
              <a:defRPr sz="998" b="0" i="0" u="none" strike="noStrike" baseline="0">
                <a:solidFill>
                  <a:srgbClr val="000000"/>
                </a:solidFill>
                <a:latin typeface="Times New Roman"/>
                <a:ea typeface="Times New Roman"/>
                <a:cs typeface="Times New Roman"/>
              </a:defRPr>
            </a:pPr>
            <a:endParaRPr lang="es-MX"/>
          </a:p>
        </c:txPr>
        <c:crossAx val="704251712"/>
        <c:crosses val="max"/>
        <c:crossBetween val="between"/>
        <c:majorUnit val="200"/>
      </c:valAx>
      <c:spPr>
        <a:noFill/>
        <a:ln w="25345">
          <a:noFill/>
        </a:ln>
      </c:spPr>
    </c:plotArea>
    <c:legend>
      <c:legendPos val="t"/>
      <c:layout>
        <c:manualLayout>
          <c:xMode val="edge"/>
          <c:yMode val="edge"/>
          <c:x val="0.11620668077436652"/>
          <c:y val="5.0902360018509951E-2"/>
          <c:w val="0.56834342681615835"/>
          <c:h val="0.17717957130358694"/>
        </c:manualLayout>
      </c:layout>
      <c:overlay val="0"/>
      <c:txPr>
        <a:bodyPr/>
        <a:lstStyle/>
        <a:p>
          <a:pPr>
            <a:defRPr sz="950">
              <a:latin typeface="Times New Roman" pitchFamily="18" charset="0"/>
              <a:cs typeface="Times New Roman" pitchFamily="18" charset="0"/>
            </a:defRPr>
          </a:pPr>
          <a:endParaRPr lang="es-MX"/>
        </a:p>
      </c:txPr>
    </c:legend>
    <c:plotVisOnly val="1"/>
    <c:dispBlanksAs val="gap"/>
    <c:showDLblsOverMax val="0"/>
  </c:chart>
  <c:spPr>
    <a:gradFill flip="none" rotWithShape="1">
      <a:gsLst>
        <a:gs pos="0">
          <a:srgbClr val="4F81BD">
            <a:lumMod val="5000"/>
            <a:lumOff val="95000"/>
          </a:srgbClr>
        </a:gs>
        <a:gs pos="74000">
          <a:sysClr val="window" lastClr="FFFFFF">
            <a:lumMod val="85000"/>
          </a:sysClr>
        </a:gs>
        <a:gs pos="83000">
          <a:sysClr val="window" lastClr="FFFFFF">
            <a:lumMod val="85000"/>
          </a:sysClr>
        </a:gs>
        <a:gs pos="100000">
          <a:sysClr val="window" lastClr="FFFFFF">
            <a:lumMod val="75000"/>
          </a:sysClr>
        </a:gs>
      </a:gsLst>
      <a:lin ang="5400000" scaled="1"/>
      <a:tileRect/>
    </a:gradFill>
    <a:ln>
      <a:noFill/>
    </a:ln>
  </c:spPr>
  <c:txPr>
    <a:bodyPr/>
    <a:lstStyle/>
    <a:p>
      <a:pPr>
        <a:defRPr sz="998" b="0" i="0" u="none" strike="noStrike" baseline="0">
          <a:solidFill>
            <a:srgbClr val="000000"/>
          </a:solidFill>
          <a:latin typeface="Arial"/>
          <a:ea typeface="Arial"/>
          <a:cs typeface="Arial"/>
        </a:defRPr>
      </a:pPr>
      <a:endParaRPr lang="es-MX"/>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0"/>
      <c:rotY val="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1862408115060135E-2"/>
          <c:w val="0.99873908860939897"/>
          <c:h val="0.74104756014390083"/>
        </c:manualLayout>
      </c:layout>
      <c:bar3DChart>
        <c:barDir val="col"/>
        <c:grouping val="clustered"/>
        <c:varyColors val="0"/>
        <c:ser>
          <c:idx val="0"/>
          <c:order val="0"/>
          <c:tx>
            <c:strRef>
              <c:f>Hoja1!$B$1</c:f>
              <c:strCache>
                <c:ptCount val="1"/>
                <c:pt idx="0">
                  <c:v>OCDE</c:v>
                </c:pt>
              </c:strCache>
            </c:strRef>
          </c:tx>
          <c:spPr>
            <a:gradFill rotWithShape="1">
              <a:gsLst>
                <a:gs pos="0">
                  <a:srgbClr val="FFC000">
                    <a:satMod val="103000"/>
                    <a:lumMod val="102000"/>
                    <a:tint val="94000"/>
                  </a:srgbClr>
                </a:gs>
                <a:gs pos="50000">
                  <a:srgbClr val="FFC000">
                    <a:satMod val="110000"/>
                    <a:lumMod val="100000"/>
                    <a:shade val="100000"/>
                  </a:srgbClr>
                </a:gs>
                <a:gs pos="100000">
                  <a:srgbClr val="FFC000">
                    <a:lumMod val="99000"/>
                    <a:satMod val="120000"/>
                    <a:shade val="78000"/>
                  </a:srgbClr>
                </a:gs>
              </a:gsLst>
              <a:lin ang="5400000" scaled="0"/>
            </a:gra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2.26369045498272E-3"/>
                  <c:y val="-1.180391629075941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24434389140274E-3"/>
                  <c:y val="-8.177362696188877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624434389141102E-3"/>
                  <c:y val="7.162980179618913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622652937613567E-3"/>
                  <c:y val="-1.993409840478217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Hoja1!$B$2:$B$5</c:f>
              <c:numCache>
                <c:formatCode>0.0</c:formatCode>
                <c:ptCount val="4"/>
                <c:pt idx="0">
                  <c:v>0.5</c:v>
                </c:pt>
                <c:pt idx="1">
                  <c:v>2.2999999999999998</c:v>
                </c:pt>
                <c:pt idx="2">
                  <c:v>-12</c:v>
                </c:pt>
                <c:pt idx="3">
                  <c:v>1.7</c:v>
                </c:pt>
              </c:numCache>
            </c:numRef>
          </c:val>
        </c:ser>
        <c:ser>
          <c:idx val="1"/>
          <c:order val="1"/>
          <c:tx>
            <c:strRef>
              <c:f>Hoja1!$C$1</c:f>
              <c:strCache>
                <c:ptCount val="1"/>
                <c:pt idx="0">
                  <c:v>Estados Unidos de Norteamérica</c:v>
                </c:pt>
              </c:strCache>
            </c:strRef>
          </c:tx>
          <c:spPr>
            <a:pattFill prst="wdDnDiag">
              <a:fgClr>
                <a:sysClr val="windowText" lastClr="000000">
                  <a:lumMod val="50000"/>
                  <a:lumOff val="50000"/>
                </a:sysClr>
              </a:fgClr>
              <a:bgClr>
                <a:sysClr val="window" lastClr="FFFFFF"/>
              </a:bgClr>
            </a:pattFill>
            <a:ln w="9525" cap="flat" cmpd="sng" algn="ctr">
              <a:noFill/>
              <a:round/>
            </a:ln>
            <a:effectLst/>
            <a:sp3d/>
          </c:spPr>
          <c:invertIfNegative val="0"/>
          <c:dLbls>
            <c:dLbl>
              <c:idx val="0"/>
              <c:layout>
                <c:manualLayout>
                  <c:x val="-2.2635123098300701E-3"/>
                  <c:y val="7.647790905337978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814515271187349E-7"/>
                  <c:y val="-8.62225139084424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706381159369481E-3"/>
                  <c:y val="2.5919076228396362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624434389140274E-3"/>
                  <c:y val="-7.740034992265176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Hoja1!$C$2:$C$5</c:f>
              <c:numCache>
                <c:formatCode>0.0</c:formatCode>
                <c:ptCount val="4"/>
                <c:pt idx="0">
                  <c:v>-0.1</c:v>
                </c:pt>
                <c:pt idx="1">
                  <c:v>3.3</c:v>
                </c:pt>
                <c:pt idx="2">
                  <c:v>-19.600000000000001</c:v>
                </c:pt>
                <c:pt idx="3">
                  <c:v>1.6</c:v>
                </c:pt>
              </c:numCache>
            </c:numRef>
          </c:val>
          <c:shape val="cylinder"/>
        </c:ser>
        <c:ser>
          <c:idx val="2"/>
          <c:order val="2"/>
          <c:tx>
            <c:strRef>
              <c:f>Hoja1!$D$1</c:f>
              <c:strCache>
                <c:ptCount val="1"/>
                <c:pt idx="0">
                  <c:v>Área del Euro*</c:v>
                </c:pt>
              </c:strCache>
            </c:strRef>
          </c:tx>
          <c:spPr>
            <a:solidFill>
              <a:srgbClr val="C00000"/>
            </a:solidFill>
            <a:ln w="9525" cap="flat" cmpd="sng" algn="ctr">
              <a:noFill/>
              <a:round/>
            </a:ln>
            <a:effectLst/>
            <a:sp3d/>
          </c:spPr>
          <c:invertIfNegative val="0"/>
          <c:dLbls>
            <c:dLbl>
              <c:idx val="0"/>
              <c:layout>
                <c:manualLayout>
                  <c:x val="-2.2599494067766829E-3"/>
                  <c:y val="1.082189481452133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5629030534079165E-7"/>
                  <c:y val="1.07952801271456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878647522001756E-3"/>
                  <c:y val="2.669937047191167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241742972173728E-3"/>
                  <c:y val="-1.24868249736500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Hoja1!$D$2:$D$5</c:f>
              <c:numCache>
                <c:formatCode>0.0</c:formatCode>
                <c:ptCount val="4"/>
                <c:pt idx="0">
                  <c:v>-0.6</c:v>
                </c:pt>
                <c:pt idx="1">
                  <c:v>-0.5</c:v>
                </c:pt>
                <c:pt idx="2">
                  <c:v>-9.3000000000000007</c:v>
                </c:pt>
                <c:pt idx="3">
                  <c:v>0.6</c:v>
                </c:pt>
              </c:numCache>
            </c:numRef>
          </c:val>
        </c:ser>
        <c:dLbls>
          <c:showLegendKey val="0"/>
          <c:showVal val="0"/>
          <c:showCatName val="0"/>
          <c:showSerName val="0"/>
          <c:showPercent val="0"/>
          <c:showBubbleSize val="0"/>
        </c:dLbls>
        <c:gapWidth val="25"/>
        <c:shape val="box"/>
        <c:axId val="704264224"/>
        <c:axId val="704266400"/>
        <c:axId val="0"/>
      </c:bar3DChart>
      <c:catAx>
        <c:axId val="7042642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low"/>
        <c:spPr>
          <a:noFill/>
          <a:ln w="19050" cap="flat" cmpd="sng" algn="ctr">
            <a:noFill/>
            <a:round/>
          </a:ln>
          <a:effectLst/>
        </c:spPr>
        <c:txPr>
          <a:bodyPr rot="-60000000" spcFirstLastPara="1" vertOverflow="ellipsis" vert="horz" wrap="square" anchor="ctr" anchorCtr="1"/>
          <a:lstStyle/>
          <a:p>
            <a:pPr>
              <a:defRPr sz="105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704266400"/>
        <c:crosses val="autoZero"/>
        <c:auto val="1"/>
        <c:lblAlgn val="ctr"/>
        <c:lblOffset val="100"/>
        <c:noMultiLvlLbl val="0"/>
      </c:catAx>
      <c:valAx>
        <c:axId val="704266400"/>
        <c:scaling>
          <c:orientation val="minMax"/>
          <c:max val="30"/>
          <c:min val="-30"/>
        </c:scaling>
        <c:delete val="1"/>
        <c:axPos val="l"/>
        <c:numFmt formatCode="0.0" sourceLinked="1"/>
        <c:majorTickMark val="out"/>
        <c:minorTickMark val="none"/>
        <c:tickLblPos val="nextTo"/>
        <c:crossAx val="704264224"/>
        <c:crosses val="autoZero"/>
        <c:crossBetween val="between"/>
        <c:majorUnit val="20"/>
        <c:minorUnit val="20"/>
      </c:valAx>
      <c:spPr>
        <a:noFill/>
        <a:ln>
          <a:noFill/>
        </a:ln>
        <a:effectLst/>
      </c:spPr>
    </c:plotArea>
    <c:legend>
      <c:legendPos val="r"/>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13689582071471834"/>
          <c:y val="3.3120163801303192E-3"/>
          <c:w val="0.74998200733958031"/>
          <c:h val="5.6175741619775912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9180289833864914E-2"/>
          <c:y val="2.5638146375274118E-2"/>
          <c:w val="0.98055034354352855"/>
          <c:h val="0.90155770217363995"/>
        </c:manualLayout>
      </c:layout>
      <c:bar3DChart>
        <c:barDir val="col"/>
        <c:grouping val="clustered"/>
        <c:varyColors val="0"/>
        <c:ser>
          <c:idx val="0"/>
          <c:order val="0"/>
          <c:tx>
            <c:strRef>
              <c:f>Hoja1!$B$1</c:f>
              <c:strCache>
                <c:ptCount val="1"/>
                <c:pt idx="0">
                  <c:v>Mensual</c:v>
                </c:pt>
              </c:strCache>
            </c:strRef>
          </c:tx>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a:sp3d contourW="9525">
              <a:contourClr>
                <a:schemeClr val="accent3">
                  <a:shade val="95000"/>
                  <a:satMod val="105000"/>
                </a:schemeClr>
              </a:contourClr>
            </a:sp3d>
          </c:spPr>
          <c:invertIfNegative val="0"/>
          <c:dLbls>
            <c:dLbl>
              <c:idx val="0"/>
              <c:layout>
                <c:manualLayout>
                  <c:x val="3.2320143867577136E-3"/>
                  <c:y val="1.022971302140951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882629126060081E-3"/>
                  <c:y val="3.846054895646212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3310465730847098E-3"/>
                  <c:y val="7.696044529125313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439389140423957E-3"/>
                  <c:y val="7.693320479856412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512555199458445E-3"/>
                  <c:y val="7.68484565990850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4370073926600964E-3"/>
                  <c:y val="7.6866616927544831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1552535636269069E-6"/>
                  <c:y val="1.1531808571977706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7.3348974182970983E-3"/>
                  <c:y val="3.850594977761094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8884554548667396E-3"/>
                  <c:y val="7.6908991027284379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4.8871076590424932E-3"/>
                  <c:y val="7.6933204798564124E-3"/>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2226626091594278E-2"/>
                  <c:y val="3.852713682748142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4.2699999999999996</c:v>
                </c:pt>
                <c:pt idx="1">
                  <c:v>3.75</c:v>
                </c:pt>
                <c:pt idx="2">
                  <c:v>4.1100000000000003</c:v>
                </c:pt>
                <c:pt idx="3">
                  <c:v>3.72</c:v>
                </c:pt>
                <c:pt idx="4">
                  <c:v>6.2</c:v>
                </c:pt>
                <c:pt idx="5">
                  <c:v>4.83</c:v>
                </c:pt>
                <c:pt idx="6">
                  <c:v>3.57</c:v>
                </c:pt>
                <c:pt idx="7">
                  <c:v>3.87</c:v>
                </c:pt>
                <c:pt idx="8">
                  <c:v>3.55</c:v>
                </c:pt>
                <c:pt idx="9">
                  <c:v>4.2300000000000004</c:v>
                </c:pt>
                <c:pt idx="10">
                  <c:v>3</c:v>
                </c:pt>
              </c:numCache>
            </c:numRef>
          </c:val>
        </c:ser>
        <c:dLbls>
          <c:showLegendKey val="0"/>
          <c:showVal val="0"/>
          <c:showCatName val="0"/>
          <c:showSerName val="0"/>
          <c:showPercent val="0"/>
          <c:showBubbleSize val="0"/>
        </c:dLbls>
        <c:gapWidth val="41"/>
        <c:shape val="box"/>
        <c:axId val="572375376"/>
        <c:axId val="572366128"/>
        <c:axId val="0"/>
      </c:bar3DChart>
      <c:catAx>
        <c:axId val="572375376"/>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572366128"/>
        <c:crosses val="autoZero"/>
        <c:auto val="1"/>
        <c:lblAlgn val="ctr"/>
        <c:lblOffset val="100"/>
        <c:noMultiLvlLbl val="0"/>
      </c:catAx>
      <c:valAx>
        <c:axId val="572366128"/>
        <c:scaling>
          <c:orientation val="minMax"/>
          <c:max val="7.5"/>
          <c:min val="0"/>
        </c:scaling>
        <c:delete val="1"/>
        <c:axPos val="l"/>
        <c:majorGridlines>
          <c:spPr>
            <a:ln w="9525" cap="flat" cmpd="sng" algn="ctr">
              <a:solidFill>
                <a:schemeClr val="bg1">
                  <a:lumMod val="95000"/>
                </a:schemeClr>
              </a:solidFill>
              <a:round/>
            </a:ln>
            <a:effectLst/>
          </c:spPr>
        </c:majorGridlines>
        <c:numFmt formatCode="0.00" sourceLinked="1"/>
        <c:majorTickMark val="none"/>
        <c:minorTickMark val="none"/>
        <c:tickLblPos val="nextTo"/>
        <c:crossAx val="572375376"/>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8.7141243565529769E-2"/>
          <c:w val="0.99871073702289226"/>
          <c:h val="0.84842517498055769"/>
        </c:manualLayout>
      </c:layout>
      <c:bar3DChart>
        <c:barDir val="col"/>
        <c:grouping val="clustered"/>
        <c:varyColors val="0"/>
        <c:ser>
          <c:idx val="0"/>
          <c:order val="0"/>
          <c:tx>
            <c:strRef>
              <c:f>Hoja1!$B$1</c:f>
              <c:strCache>
                <c:ptCount val="1"/>
                <c:pt idx="0">
                  <c:v>Acumuladas</c:v>
                </c:pt>
              </c:strCache>
            </c:strRef>
          </c:tx>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atMod val="105000"/>
                </a:schemeClr>
              </a:solidFill>
              <a:prstDash val="solid"/>
              <a:round/>
            </a:ln>
            <a:effectLst>
              <a:outerShdw blurRad="40000" dist="20000" dir="5400000" rotWithShape="0">
                <a:srgbClr val="000000">
                  <a:alpha val="38000"/>
                </a:srgbClr>
              </a:outerShdw>
            </a:effectLst>
            <a:sp3d contourW="9525">
              <a:contourClr>
                <a:schemeClr val="accent4">
                  <a:shade val="95000"/>
                  <a:satMod val="105000"/>
                </a:schemeClr>
              </a:contourClr>
            </a:sp3d>
          </c:spPr>
          <c:invertIfNegative val="0"/>
          <c:dLbls>
            <c:dLbl>
              <c:idx val="0"/>
              <c:layout>
                <c:manualLayout>
                  <c:x val="9.7488635688252629E-3"/>
                  <c:y val="7.670552027608182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3130376599200202E-3"/>
                  <c:y val="1.1488293277987977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8973425436502687E-3"/>
                  <c:y val="3.831950455223621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476322338132482E-3"/>
                  <c:y val="7.6586327382432073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006620154056811E-6"/>
                  <c:y val="3.833764396267584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4448368351326429E-3"/>
                  <c:y val="1.5369824788411335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4333335250551679E-3"/>
                  <c:y val="3.8361829843260378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8739524798260703E-3"/>
                  <c:y val="1.1509758247007375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7.3065191175426501E-3"/>
                  <c:y val="7.6620869694033139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9.7381271460862864E-3"/>
                  <c:y val="1.1512176835065864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1.4609203798392988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0.7</c:v>
                </c:pt>
                <c:pt idx="1">
                  <c:v>0.68</c:v>
                </c:pt>
                <c:pt idx="2">
                  <c:v>1.05</c:v>
                </c:pt>
                <c:pt idx="3">
                  <c:v>1.03</c:v>
                </c:pt>
                <c:pt idx="4">
                  <c:v>0.82</c:v>
                </c:pt>
                <c:pt idx="5">
                  <c:v>2.15</c:v>
                </c:pt>
                <c:pt idx="6">
                  <c:v>1.43</c:v>
                </c:pt>
                <c:pt idx="7">
                  <c:v>1.46</c:v>
                </c:pt>
                <c:pt idx="8">
                  <c:v>1.45</c:v>
                </c:pt>
                <c:pt idx="9">
                  <c:v>2.0099999999999998</c:v>
                </c:pt>
                <c:pt idx="10">
                  <c:v>0.37</c:v>
                </c:pt>
              </c:numCache>
            </c:numRef>
          </c:val>
          <c:shape val="cylinder"/>
        </c:ser>
        <c:dLbls>
          <c:showLegendKey val="0"/>
          <c:showVal val="0"/>
          <c:showCatName val="0"/>
          <c:showSerName val="0"/>
          <c:showPercent val="0"/>
          <c:showBubbleSize val="0"/>
        </c:dLbls>
        <c:gapWidth val="33"/>
        <c:shape val="box"/>
        <c:axId val="572378640"/>
        <c:axId val="572379728"/>
        <c:axId val="0"/>
      </c:bar3DChart>
      <c:catAx>
        <c:axId val="572378640"/>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572379728"/>
        <c:crosses val="autoZero"/>
        <c:auto val="1"/>
        <c:lblAlgn val="ctr"/>
        <c:lblOffset val="100"/>
        <c:noMultiLvlLbl val="0"/>
      </c:catAx>
      <c:valAx>
        <c:axId val="572379728"/>
        <c:scaling>
          <c:orientation val="minMax"/>
          <c:max val="2.5"/>
          <c:min val="0"/>
        </c:scaling>
        <c:delete val="1"/>
        <c:axPos val="l"/>
        <c:majorGridlines>
          <c:spPr>
            <a:ln w="9525" cap="flat" cmpd="sng" algn="ctr">
              <a:solidFill>
                <a:schemeClr val="bg1">
                  <a:lumMod val="95000"/>
                </a:schemeClr>
              </a:solidFill>
              <a:round/>
            </a:ln>
            <a:effectLst/>
          </c:spPr>
        </c:majorGridlines>
        <c:numFmt formatCode="0.00" sourceLinked="1"/>
        <c:majorTickMark val="out"/>
        <c:minorTickMark val="none"/>
        <c:tickLblPos val="nextTo"/>
        <c:crossAx val="572378640"/>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100"/>
      <c:rAngAx val="0"/>
      <c:perspective val="0"/>
    </c:view3D>
    <c:floor>
      <c:thickness val="0"/>
      <c:spPr>
        <a:solidFill>
          <a:sysClr val="window" lastClr="FFFFFF">
            <a:lumMod val="75000"/>
            <a:alpha val="56000"/>
          </a:sysClr>
        </a:solid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cene3d>
          <a:camera prst="orthographicFront"/>
          <a:lightRig rig="threePt" dir="t"/>
        </a:scene3d>
        <a:sp3d/>
      </c:spPr>
    </c:backWall>
    <c:plotArea>
      <c:layout>
        <c:manualLayout>
          <c:layoutTarget val="inner"/>
          <c:xMode val="edge"/>
          <c:yMode val="edge"/>
          <c:x val="1.1233994765324155E-2"/>
          <c:y val="5.7664351050236186E-2"/>
          <c:w val="0.98622675768633139"/>
          <c:h val="0.80967509386438852"/>
        </c:manualLayout>
      </c:layout>
      <c:bar3DChart>
        <c:barDir val="col"/>
        <c:grouping val="clustered"/>
        <c:varyColors val="0"/>
        <c:ser>
          <c:idx val="0"/>
          <c:order val="0"/>
          <c:tx>
            <c:strRef>
              <c:f>Hoja1!$B$1</c:f>
              <c:strCache>
                <c:ptCount val="1"/>
                <c:pt idx="0">
                  <c:v>2014</c:v>
                </c:pt>
              </c:strCache>
            </c:strRef>
          </c:tx>
          <c:spPr>
            <a:solidFill>
              <a:schemeClr val="accent1">
                <a:lumMod val="50000"/>
                <a:alpha val="78000"/>
              </a:schemeClr>
            </a:solidFill>
            <a:ln w="9525" cap="flat" cmpd="sng" algn="ctr">
              <a:noFill/>
              <a:prstDash val="solid"/>
            </a:ln>
            <a:effectLst>
              <a:outerShdw blurRad="40000" dist="20000" dir="5400000" rotWithShape="0">
                <a:srgbClr val="000000">
                  <a:alpha val="38000"/>
                </a:srgbClr>
              </a:outerShdw>
            </a:effectLst>
            <a:sp3d>
              <a:contourClr>
                <a:schemeClr val="accent1">
                  <a:shade val="95000"/>
                  <a:satMod val="105000"/>
                </a:schemeClr>
              </a:contourClr>
            </a:sp3d>
          </c:spPr>
          <c:invertIfNegative val="0"/>
          <c:dLbls>
            <c:dLbl>
              <c:idx val="0"/>
              <c:layout>
                <c:manualLayout>
                  <c:x val="1.347637365956415E-3"/>
                  <c:y val="8.924413682160696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6306644850617315E-6"/>
                  <c:y val="7.476153723616560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6285786861512221E-7"/>
                  <c:y val="1.120458317149811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192969898428526E-3"/>
                  <c:y val="1.167056215002449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097717624006677E-3"/>
                  <c:y val="1.121252780622153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110417649406727E-3"/>
                  <c:y val="1.1212822051952027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7470587393408748E-6"/>
                  <c:y val="7.4739212146711954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5.0800101601892891E-6"/>
                  <c:y val="1.1574450054729638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7214340142965998E-6"/>
                  <c:y val="1.133375704718524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Hoja1!$B$2:$B$10</c:f>
              <c:numCache>
                <c:formatCode>0.00</c:formatCode>
                <c:ptCount val="9"/>
                <c:pt idx="0">
                  <c:v>1.1499999999999999</c:v>
                </c:pt>
                <c:pt idx="1">
                  <c:v>1.1399999999999999</c:v>
                </c:pt>
                <c:pt idx="2">
                  <c:v>0.47</c:v>
                </c:pt>
                <c:pt idx="3">
                  <c:v>1.1200000000000001</c:v>
                </c:pt>
                <c:pt idx="4">
                  <c:v>0.46</c:v>
                </c:pt>
                <c:pt idx="5">
                  <c:v>0.38</c:v>
                </c:pt>
                <c:pt idx="6">
                  <c:v>1.73</c:v>
                </c:pt>
                <c:pt idx="7">
                  <c:v>0.56999999999999995</c:v>
                </c:pt>
                <c:pt idx="8">
                  <c:v>2.4700000000000002</c:v>
                </c:pt>
              </c:numCache>
            </c:numRef>
          </c:val>
        </c:ser>
        <c:ser>
          <c:idx val="1"/>
          <c:order val="1"/>
          <c:tx>
            <c:strRef>
              <c:f>Hoja1!$C$1</c:f>
              <c:strCache>
                <c:ptCount val="1"/>
                <c:pt idx="0">
                  <c:v>2015</c:v>
                </c:pt>
              </c:strCache>
            </c:strRef>
          </c:tx>
          <c:spPr>
            <a:pattFill prst="ltVert">
              <a:fgClr>
                <a:schemeClr val="accent1">
                  <a:lumMod val="50000"/>
                </a:schemeClr>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invertIfNegative val="0"/>
          <c:dLbls>
            <c:dLbl>
              <c:idx val="0"/>
              <c:layout>
                <c:manualLayout>
                  <c:x val="2.9028629485830399E-6"/>
                  <c:y val="7.495027247154643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458283431739859E-6"/>
                  <c:y val="3.741017439055104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8534779926702711E-3"/>
                  <c:y val="1.12142932806044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4916566862666758E-6"/>
                  <c:y val="-2.321402091556805E-4"/>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7170585960007033E-6"/>
                  <c:y val="1.4936065055855667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7562320838927393E-4"/>
                  <c:y val="7.4756070289420098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9.7971624515522437E-6"/>
                  <c:y val="7.4700163600625469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5.2614390943067596E-6"/>
                  <c:y val="1.0989783788237164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8.2057370323166359E-6"/>
                  <c:y val="1.122076668667535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Hoja1!$C$2:$C$10</c:f>
              <c:numCache>
                <c:formatCode>0.00</c:formatCode>
                <c:ptCount val="9"/>
                <c:pt idx="0">
                  <c:v>0.1</c:v>
                </c:pt>
                <c:pt idx="1">
                  <c:v>-0.33</c:v>
                </c:pt>
                <c:pt idx="2">
                  <c:v>0.3</c:v>
                </c:pt>
                <c:pt idx="3">
                  <c:v>-0.23</c:v>
                </c:pt>
                <c:pt idx="4">
                  <c:v>0.75</c:v>
                </c:pt>
                <c:pt idx="5">
                  <c:v>0.87</c:v>
                </c:pt>
                <c:pt idx="6">
                  <c:v>0.1</c:v>
                </c:pt>
                <c:pt idx="7">
                  <c:v>0.26</c:v>
                </c:pt>
                <c:pt idx="8">
                  <c:v>1.1599999999999999</c:v>
                </c:pt>
              </c:numCache>
            </c:numRef>
          </c:val>
          <c:shape val="cylinder"/>
        </c:ser>
        <c:dLbls>
          <c:showLegendKey val="0"/>
          <c:showVal val="0"/>
          <c:showCatName val="0"/>
          <c:showSerName val="0"/>
          <c:showPercent val="0"/>
          <c:showBubbleSize val="0"/>
        </c:dLbls>
        <c:gapWidth val="35"/>
        <c:gapDepth val="117"/>
        <c:shape val="box"/>
        <c:axId val="572364496"/>
        <c:axId val="572381360"/>
        <c:axId val="0"/>
      </c:bar3DChart>
      <c:catAx>
        <c:axId val="572364496"/>
        <c:scaling>
          <c:orientation val="minMax"/>
        </c:scaling>
        <c:delete val="0"/>
        <c:axPos val="b"/>
        <c:majorGridlines>
          <c:spPr>
            <a:ln w="9525" cap="flat" cmpd="sng" algn="ctr">
              <a:solidFill>
                <a:sysClr val="window" lastClr="FFFFFF">
                  <a:lumMod val="85000"/>
                </a:sysClr>
              </a:solidFill>
              <a:prstDash val="solid"/>
              <a:round/>
            </a:ln>
            <a:effectLst/>
          </c:spPr>
        </c:majorGridlines>
        <c:numFmt formatCode="General" sourceLinked="1"/>
        <c:majorTickMark val="none"/>
        <c:minorTickMark val="none"/>
        <c:tickLblPos val="low"/>
        <c:spPr>
          <a:noFill/>
          <a:ln w="12563" cap="flat" cmpd="sng" algn="ctr">
            <a:solidFill>
              <a:sysClr val="window" lastClr="FFFFFF">
                <a:lumMod val="85000"/>
              </a:sysClr>
            </a:solidFill>
            <a:prstDash val="solid"/>
            <a:round/>
          </a:ln>
          <a:effectLst/>
        </c:spPr>
        <c:txPr>
          <a:bodyPr rot="0" spcFirstLastPara="1" vertOverflow="ellipsis" wrap="square" anchor="b" anchorCtr="1"/>
          <a:lstStyle/>
          <a:p>
            <a:pPr>
              <a:defRPr sz="700" b="1" i="0" u="none" strike="noStrike" kern="600" spc="0" baseline="0">
                <a:solidFill>
                  <a:schemeClr val="tx1"/>
                </a:solidFill>
                <a:latin typeface="Times New Roman" pitchFamily="18" charset="0"/>
                <a:ea typeface="+mn-ea"/>
                <a:cs typeface="Times New Roman" pitchFamily="18" charset="0"/>
              </a:defRPr>
            </a:pPr>
            <a:endParaRPr lang="es-MX"/>
          </a:p>
        </c:txPr>
        <c:crossAx val="572381360"/>
        <c:crosses val="autoZero"/>
        <c:auto val="0"/>
        <c:lblAlgn val="ctr"/>
        <c:lblOffset val="100"/>
        <c:noMultiLvlLbl val="0"/>
      </c:catAx>
      <c:valAx>
        <c:axId val="572381360"/>
        <c:scaling>
          <c:orientation val="minMax"/>
          <c:max val="3"/>
          <c:min val="-0.9"/>
        </c:scaling>
        <c:delete val="1"/>
        <c:axPos val="l"/>
        <c:numFmt formatCode="0.00" sourceLinked="1"/>
        <c:majorTickMark val="out"/>
        <c:minorTickMark val="none"/>
        <c:tickLblPos val="nextTo"/>
        <c:crossAx val="572364496"/>
        <c:crosses val="autoZero"/>
        <c:crossBetween val="between"/>
      </c:valAx>
      <c:spPr>
        <a:noFill/>
        <a:ln w="16751">
          <a:noFill/>
        </a:ln>
        <a:effectLst/>
      </c:spPr>
    </c:plotArea>
    <c:legend>
      <c:legendPos val="r"/>
      <c:layout>
        <c:manualLayout>
          <c:xMode val="edge"/>
          <c:yMode val="edge"/>
          <c:x val="0.39223339018106607"/>
          <c:y val="1.1063639466591332E-3"/>
          <c:w val="0.19747897026837857"/>
          <c:h val="6.959500017654743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es-MX"/>
        </a:p>
      </c:txPr>
    </c:legend>
    <c:plotVisOnly val="1"/>
    <c:dispBlanksAs val="gap"/>
    <c:showDLblsOverMax val="0"/>
  </c:chart>
  <c:spPr>
    <a:noFill/>
    <a:ln w="9525" cap="flat" cmpd="sng" algn="ctr">
      <a:noFill/>
      <a:prstDash val="solid"/>
      <a:round/>
    </a:ln>
    <a:effectLst/>
  </c:spPr>
  <c:txPr>
    <a:bodyPr/>
    <a:lstStyle/>
    <a:p>
      <a:pPr>
        <a:defRPr sz="1055">
          <a:latin typeface="Times New Roman" pitchFamily="18" charset="0"/>
          <a:cs typeface="Times New Roman" pitchFamily="18" charset="0"/>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100"/>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solidFill>
            <a:sysClr val="window" lastClr="FFFFFF">
              <a:lumMod val="85000"/>
            </a:sysClr>
          </a:solidFill>
        </a:ln>
        <a:effectLst/>
        <a:sp3d>
          <a:contourClr>
            <a:sysClr val="window" lastClr="FFFFFF">
              <a:lumMod val="85000"/>
            </a:sysClr>
          </a:contourClr>
        </a:sp3d>
      </c:spPr>
    </c:sideWall>
    <c:backWall>
      <c:thickness val="0"/>
      <c:spPr>
        <a:noFill/>
        <a:ln>
          <a:solidFill>
            <a:sysClr val="window" lastClr="FFFFFF">
              <a:lumMod val="85000"/>
            </a:sysClr>
          </a:solidFill>
        </a:ln>
        <a:effectLst/>
        <a:scene3d>
          <a:camera prst="orthographicFront"/>
          <a:lightRig rig="threePt" dir="t"/>
        </a:scene3d>
        <a:sp3d>
          <a:contourClr>
            <a:sysClr val="window" lastClr="FFFFFF">
              <a:lumMod val="85000"/>
            </a:sysClr>
          </a:contourClr>
        </a:sp3d>
      </c:spPr>
    </c:backWall>
    <c:plotArea>
      <c:layout>
        <c:manualLayout>
          <c:layoutTarget val="inner"/>
          <c:xMode val="edge"/>
          <c:yMode val="edge"/>
          <c:x val="2.6243153029784316E-2"/>
          <c:y val="0"/>
          <c:w val="0.94658296711887979"/>
          <c:h val="0.86387646742954505"/>
        </c:manualLayout>
      </c:layout>
      <c:bar3DChart>
        <c:barDir val="col"/>
        <c:grouping val="clustered"/>
        <c:varyColors val="0"/>
        <c:ser>
          <c:idx val="0"/>
          <c:order val="0"/>
          <c:tx>
            <c:strRef>
              <c:f>Hoja1!$B$1</c:f>
              <c:strCache>
                <c:ptCount val="1"/>
                <c:pt idx="0">
                  <c:v>2014</c:v>
                </c:pt>
              </c:strCache>
            </c:strRef>
          </c:tx>
          <c:spPr>
            <a:pattFill prst="ltHorz">
              <a:fgClr>
                <a:schemeClr val="accent3">
                  <a:lumMod val="75000"/>
                </a:schemeClr>
              </a:fgClr>
              <a:bgClr>
                <a:schemeClr val="bg1"/>
              </a:bgClr>
            </a:patt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a:sp3d contourW="9525">
              <a:contourClr>
                <a:schemeClr val="accent3">
                  <a:shade val="95000"/>
                  <a:satMod val="105000"/>
                </a:schemeClr>
              </a:contourClr>
            </a:sp3d>
          </c:spPr>
          <c:invertIfNegative val="0"/>
          <c:dLbls>
            <c:dLbl>
              <c:idx val="0"/>
              <c:layout>
                <c:manualLayout>
                  <c:x val="-9.3646582220701193E-4"/>
                  <c:y val="6.175340482271011E-3"/>
                </c:manualLayout>
              </c:layout>
              <c:spPr>
                <a:noFill/>
                <a:ln>
                  <a:noFill/>
                </a:ln>
                <a:effectLst/>
              </c:spPr>
              <c:txPr>
                <a:bodyPr rot="0" spcFirstLastPara="1" vertOverflow="ellipsis" vert="horz" wrap="square" anchor="ctr" anchorCtr="1"/>
                <a:lstStyle/>
                <a:p>
                  <a:pPr>
                    <a:defRPr sz="900" b="0" i="0" u="none" strike="noStrike" kern="1200" spc="-8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4.2793563848204838E-6"/>
                  <c:y val="8.453192612838198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8454867054661638E-6"/>
                  <c:y val="1.267082230495115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596241683711439E-3"/>
                  <c:y val="1.2733977873019192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262531381946905E-3"/>
                  <c:y val="1.2679788919257222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7.1322606413328773E-7"/>
                  <c:y val="8.472786325581009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7.4931050054237051E-6"/>
                  <c:y val="4.2336188456708378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512980714368886E-3"/>
                  <c:y val="8.448211160445862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241712313134775E-3"/>
                  <c:y val="1.6879485382758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Hoja1!$B$2:$B$10</c:f>
              <c:numCache>
                <c:formatCode>0.00</c:formatCode>
                <c:ptCount val="9"/>
                <c:pt idx="0">
                  <c:v>4.2300000000000004</c:v>
                </c:pt>
                <c:pt idx="1">
                  <c:v>4.97</c:v>
                </c:pt>
                <c:pt idx="2">
                  <c:v>1.81</c:v>
                </c:pt>
                <c:pt idx="3">
                  <c:v>3.1</c:v>
                </c:pt>
                <c:pt idx="4">
                  <c:v>1.44</c:v>
                </c:pt>
                <c:pt idx="5">
                  <c:v>1.95</c:v>
                </c:pt>
                <c:pt idx="6">
                  <c:v>8.06</c:v>
                </c:pt>
                <c:pt idx="7">
                  <c:v>3.79</c:v>
                </c:pt>
                <c:pt idx="8">
                  <c:v>4.95</c:v>
                </c:pt>
              </c:numCache>
            </c:numRef>
          </c:val>
        </c:ser>
        <c:ser>
          <c:idx val="1"/>
          <c:order val="1"/>
          <c:tx>
            <c:strRef>
              <c:f>Hoja1!$C$1</c:f>
              <c:strCache>
                <c:ptCount val="1"/>
                <c:pt idx="0">
                  <c:v>2015</c:v>
                </c:pt>
              </c:strCache>
            </c:strRef>
          </c:tx>
          <c:spPr>
            <a:solidFill>
              <a:schemeClr val="accent3"/>
            </a:solidFill>
            <a:ln>
              <a:noFill/>
            </a:ln>
            <a:effectLst/>
            <a:scene3d>
              <a:camera prst="orthographicFront"/>
              <a:lightRig rig="threePt" dir="t"/>
            </a:scene3d>
            <a:sp3d prstMaterial="metal">
              <a:contourClr>
                <a:srgbClr val="6EA92D"/>
              </a:contourClr>
            </a:sp3d>
          </c:spPr>
          <c:invertIfNegative val="0"/>
          <c:dLbls>
            <c:dLbl>
              <c:idx val="0"/>
              <c:layout>
                <c:manualLayout>
                  <c:x val="2.2607483167864885E-3"/>
                  <c:y val="8.435259384225988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52059796873423E-3"/>
                  <c:y val="8.45485309696891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24462227547685E-3"/>
                  <c:y val="1.267049020812515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516512261011696E-5"/>
                  <c:y val="1.268480680421276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1010498688494345E-6"/>
                  <c:y val="1.265454956046985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7444368366997605E-6"/>
                  <c:y val="8.46581229223184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5.1708889648833055E-6"/>
                  <c:y val="4.2412085667697273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671673513636882E-3"/>
                  <c:y val="1.6927971519376112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2632446080109551E-3"/>
                  <c:y val="8.487066489105524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accs. domésticos</c:v>
                </c:pt>
                <c:pt idx="5">
                  <c:v>Salud y cuidado personal</c:v>
                </c:pt>
                <c:pt idx="6">
                  <c:v>Transporte</c:v>
                </c:pt>
                <c:pt idx="7">
                  <c:v>Educación y esparcimiento</c:v>
                </c:pt>
                <c:pt idx="8">
                  <c:v>Otros servicios</c:v>
                </c:pt>
              </c:strCache>
            </c:strRef>
          </c:cat>
          <c:val>
            <c:numRef>
              <c:f>Hoja1!$C$2:$C$10</c:f>
              <c:numCache>
                <c:formatCode>0.00</c:formatCode>
                <c:ptCount val="9"/>
                <c:pt idx="0">
                  <c:v>3</c:v>
                </c:pt>
                <c:pt idx="1">
                  <c:v>4.99</c:v>
                </c:pt>
                <c:pt idx="2">
                  <c:v>2.09</c:v>
                </c:pt>
                <c:pt idx="3">
                  <c:v>0.65</c:v>
                </c:pt>
                <c:pt idx="4">
                  <c:v>1.87</c:v>
                </c:pt>
                <c:pt idx="5">
                  <c:v>3.37</c:v>
                </c:pt>
                <c:pt idx="6">
                  <c:v>2.78</c:v>
                </c:pt>
                <c:pt idx="7">
                  <c:v>3.54</c:v>
                </c:pt>
                <c:pt idx="8">
                  <c:v>5.43</c:v>
                </c:pt>
              </c:numCache>
            </c:numRef>
          </c:val>
          <c:shape val="cylinder"/>
        </c:ser>
        <c:dLbls>
          <c:showLegendKey val="0"/>
          <c:showVal val="0"/>
          <c:showCatName val="0"/>
          <c:showSerName val="0"/>
          <c:showPercent val="0"/>
          <c:showBubbleSize val="0"/>
        </c:dLbls>
        <c:gapWidth val="33"/>
        <c:gapDepth val="500"/>
        <c:shape val="box"/>
        <c:axId val="572384624"/>
        <c:axId val="572388432"/>
        <c:axId val="0"/>
      </c:bar3DChart>
      <c:catAx>
        <c:axId val="572384624"/>
        <c:scaling>
          <c:orientation val="minMax"/>
        </c:scaling>
        <c:delete val="0"/>
        <c:axPos val="b"/>
        <c:majorGridlines>
          <c:spPr>
            <a:ln w="9525" cap="flat" cmpd="sng" algn="ctr">
              <a:solidFill>
                <a:schemeClr val="bg1">
                  <a:lumMod val="95000"/>
                </a:schemeClr>
              </a:solidFill>
              <a:prstDash val="solid"/>
              <a:round/>
            </a:ln>
            <a:effectLst/>
          </c:spPr>
        </c:majorGridlines>
        <c:numFmt formatCode="General" sourceLinked="0"/>
        <c:majorTickMark val="out"/>
        <c:minorTickMark val="none"/>
        <c:tickLblPos val="low"/>
        <c:spPr>
          <a:noFill/>
          <a:ln w="9525" cap="flat" cmpd="sng" algn="ctr">
            <a:solidFill>
              <a:schemeClr val="tx1">
                <a:tint val="75000"/>
                <a:shade val="95000"/>
                <a:satMod val="105000"/>
              </a:schemeClr>
            </a:solidFill>
            <a:prstDash val="solid"/>
            <a:round/>
          </a:ln>
          <a:effectLst/>
        </c:spPr>
        <c:txPr>
          <a:bodyPr rot="0" spcFirstLastPara="1" vertOverflow="ellipsis" wrap="square" anchor="b" anchorCtr="1"/>
          <a:lstStyle/>
          <a:p>
            <a:pPr>
              <a:defRPr sz="700" b="1" i="0" u="none" strike="noStrike" kern="600" spc="0" baseline="0">
                <a:solidFill>
                  <a:schemeClr val="tx1"/>
                </a:solidFill>
                <a:latin typeface="Times New Roman" pitchFamily="18" charset="0"/>
                <a:ea typeface="+mn-ea"/>
                <a:cs typeface="Times New Roman" pitchFamily="18" charset="0"/>
              </a:defRPr>
            </a:pPr>
            <a:endParaRPr lang="es-MX"/>
          </a:p>
        </c:txPr>
        <c:crossAx val="572388432"/>
        <c:crosses val="autoZero"/>
        <c:auto val="0"/>
        <c:lblAlgn val="ctr"/>
        <c:lblOffset val="100"/>
        <c:noMultiLvlLbl val="0"/>
      </c:catAx>
      <c:valAx>
        <c:axId val="572388432"/>
        <c:scaling>
          <c:orientation val="minMax"/>
          <c:max val="10"/>
          <c:min val="0"/>
        </c:scaling>
        <c:delete val="1"/>
        <c:axPos val="l"/>
        <c:numFmt formatCode="0.00" sourceLinked="1"/>
        <c:majorTickMark val="out"/>
        <c:minorTickMark val="none"/>
        <c:tickLblPos val="nextTo"/>
        <c:crossAx val="572384624"/>
        <c:crosses val="autoZero"/>
        <c:crossBetween val="between"/>
      </c:valAx>
      <c:spPr>
        <a:noFill/>
        <a:ln w="22789">
          <a:noFill/>
        </a:ln>
        <a:effectLst/>
      </c:spPr>
    </c:plotArea>
    <c:legend>
      <c:legendPos val="r"/>
      <c:layout>
        <c:manualLayout>
          <c:xMode val="edge"/>
          <c:yMode val="edge"/>
          <c:x val="0.39767577456350567"/>
          <c:y val="1.7113281548368234E-2"/>
          <c:w val="0.19981063847997263"/>
          <c:h val="8.729725240041197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es-MX"/>
        </a:p>
      </c:txPr>
    </c:legend>
    <c:plotVisOnly val="1"/>
    <c:dispBlanksAs val="gap"/>
    <c:showDLblsOverMax val="0"/>
  </c:chart>
  <c:spPr>
    <a:noFill/>
    <a:ln w="9525" cap="flat" cmpd="sng" algn="ctr">
      <a:noFill/>
      <a:prstDash val="solid"/>
      <a:round/>
    </a:ln>
    <a:effectLst/>
  </c:spPr>
  <c:txPr>
    <a:bodyPr/>
    <a:lstStyle/>
    <a:p>
      <a:pPr>
        <a:defRPr sz="1436">
          <a:latin typeface="Times New Roman" pitchFamily="18" charset="0"/>
          <a:cs typeface="Times New Roman" pitchFamily="18" charset="0"/>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
          <c:y val="7.9517046112616785E-2"/>
          <c:w val="0.28195734703624764"/>
          <c:h val="0.86499457425255655"/>
        </c:manualLayout>
      </c:layout>
      <c:barChart>
        <c:barDir val="col"/>
        <c:grouping val="stacked"/>
        <c:varyColors val="0"/>
        <c:ser>
          <c:idx val="0"/>
          <c:order val="0"/>
          <c:tx>
            <c:strRef>
              <c:f>Hoja1!$B$1</c:f>
              <c:strCache>
                <c:ptCount val="1"/>
                <c:pt idx="0">
                  <c:v>Resto de bienes y servicios genéricos con variaciones positivas 0.300</c:v>
                </c:pt>
              </c:strCache>
            </c:strRef>
          </c:tx>
          <c:spPr>
            <a:solidFill>
              <a:schemeClr val="accent3"/>
            </a:solidFill>
            <a:ln w="9525" cap="flat" cmpd="sng" algn="ctr">
              <a:solidFill>
                <a:schemeClr val="lt1">
                  <a:alpha val="50000"/>
                </a:schemeClr>
              </a:solidFill>
              <a:round/>
            </a:ln>
            <a:effectLst/>
            <a:scene3d>
              <a:camera prst="orthographicFront"/>
              <a:lightRig rig="threePt" dir="t"/>
            </a:scene3d>
            <a:sp3d>
              <a:bevelT h="247650"/>
              <a:bevelB h="184150"/>
            </a:sp3d>
          </c:spPr>
          <c:invertIfNegative val="0"/>
          <c:dPt>
            <c:idx val="0"/>
            <c:invertIfNegative val="0"/>
            <c:bubble3D val="0"/>
            <c:spPr>
              <a:solidFill>
                <a:schemeClr val="accent5">
                  <a:lumMod val="60000"/>
                  <a:lumOff val="40000"/>
                </a:schemeClr>
              </a:solidFill>
              <a:ln w="9525" cap="flat" cmpd="sng" algn="ctr">
                <a:solidFill>
                  <a:schemeClr val="lt1">
                    <a:alpha val="50000"/>
                  </a:schemeClr>
                </a:solidFill>
                <a:round/>
              </a:ln>
              <a:effectLst/>
              <a:scene3d>
                <a:camera prst="orthographicFront"/>
                <a:lightRig rig="threePt" dir="t"/>
              </a:scene3d>
              <a:sp3d>
                <a:bevelT h="247650"/>
                <a:bevelB h="184150"/>
              </a:sp3d>
            </c:spPr>
          </c:dPt>
          <c:cat>
            <c:strRef>
              <c:f>Hoja1!$A$2</c:f>
              <c:strCache>
                <c:ptCount val="1"/>
                <c:pt idx="0">
                  <c:v>Categoría 1</c:v>
                </c:pt>
              </c:strCache>
            </c:strRef>
          </c:cat>
          <c:val>
            <c:numRef>
              <c:f>Hoja1!$B$2</c:f>
              <c:numCache>
                <c:formatCode>0.000</c:formatCode>
                <c:ptCount val="1"/>
                <c:pt idx="0">
                  <c:v>0.3</c:v>
                </c:pt>
              </c:numCache>
            </c:numRef>
          </c:val>
        </c:ser>
        <c:ser>
          <c:idx val="1"/>
          <c:order val="1"/>
          <c:tx>
            <c:strRef>
              <c:f>Hoja1!$C$1</c:f>
              <c:strCache>
                <c:ptCount val="1"/>
                <c:pt idx="0">
                  <c:v>Chayote 0.010</c:v>
                </c:pt>
              </c:strCache>
            </c:strRef>
          </c:tx>
          <c:spPr>
            <a:pattFill prst="narVert">
              <a:fgClr>
                <a:schemeClr val="accent2">
                  <a:lumMod val="60000"/>
                  <a:lumOff val="40000"/>
                </a:schemeClr>
              </a:fgClr>
              <a:bgClr>
                <a:schemeClr val="bg1"/>
              </a:bgClr>
            </a:pattFill>
            <a:ln w="9525" cap="flat" cmpd="sng" algn="ctr">
              <a:solidFill>
                <a:schemeClr val="accent2">
                  <a:lumMod val="60000"/>
                  <a:lumOff val="40000"/>
                </a:schemeClr>
              </a:solidFill>
              <a:round/>
            </a:ln>
            <a:effectLst/>
          </c:spPr>
          <c:invertIfNegative val="0"/>
          <c:cat>
            <c:strRef>
              <c:f>Hoja1!$A$2</c:f>
              <c:strCache>
                <c:ptCount val="1"/>
                <c:pt idx="0">
                  <c:v>Categoría 1</c:v>
                </c:pt>
              </c:strCache>
            </c:strRef>
          </c:cat>
          <c:val>
            <c:numRef>
              <c:f>Hoja1!$C$2</c:f>
              <c:numCache>
                <c:formatCode>0.000</c:formatCode>
                <c:ptCount val="1"/>
                <c:pt idx="0">
                  <c:v>0.01</c:v>
                </c:pt>
              </c:numCache>
            </c:numRef>
          </c:val>
        </c:ser>
        <c:ser>
          <c:idx val="2"/>
          <c:order val="2"/>
          <c:tx>
            <c:strRef>
              <c:f>Hoja1!$D$1</c:f>
              <c:strCache>
                <c:ptCount val="1"/>
                <c:pt idx="0">
                  <c:v>Universidad 0.011</c:v>
                </c:pt>
              </c:strCache>
            </c:strRef>
          </c:tx>
          <c:spPr>
            <a:solidFill>
              <a:schemeClr val="accent3">
                <a:alpha val="85000"/>
              </a:schemeClr>
            </a:solidFill>
            <a:ln w="9525" cap="flat" cmpd="sng" algn="ctr">
              <a:solidFill>
                <a:schemeClr val="lt1">
                  <a:alpha val="50000"/>
                </a:schemeClr>
              </a:solidFill>
              <a:round/>
            </a:ln>
            <a:effectLst/>
            <a:scene3d>
              <a:camera prst="orthographicFront"/>
              <a:lightRig rig="threePt" dir="t"/>
            </a:scene3d>
            <a:sp3d>
              <a:bevelT h="63500"/>
            </a:sp3d>
          </c:spPr>
          <c:invertIfNegative val="0"/>
          <c:cat>
            <c:strRef>
              <c:f>Hoja1!$A$2</c:f>
              <c:strCache>
                <c:ptCount val="1"/>
                <c:pt idx="0">
                  <c:v>Categoría 1</c:v>
                </c:pt>
              </c:strCache>
            </c:strRef>
          </c:cat>
          <c:val>
            <c:numRef>
              <c:f>Hoja1!$D$2</c:f>
              <c:numCache>
                <c:formatCode>0.000</c:formatCode>
                <c:ptCount val="1"/>
                <c:pt idx="0">
                  <c:v>1.0999999999999999E-2</c:v>
                </c:pt>
              </c:numCache>
            </c:numRef>
          </c:val>
        </c:ser>
        <c:ser>
          <c:idx val="3"/>
          <c:order val="3"/>
          <c:tx>
            <c:strRef>
              <c:f>Hoja1!$E$1</c:f>
              <c:strCache>
                <c:ptCount val="1"/>
                <c:pt idx="0">
                  <c:v>Loncherías, fondas, torterías y taquerías 0.013</c:v>
                </c:pt>
              </c:strCache>
            </c:strRef>
          </c:tx>
          <c:spPr>
            <a:pattFill prst="smCheck">
              <a:fgClr>
                <a:schemeClr val="accent4"/>
              </a:fgClr>
              <a:bgClr>
                <a:schemeClr val="bg1"/>
              </a:bgClr>
            </a:pattFill>
            <a:ln w="9525" cap="flat" cmpd="sng" algn="ctr">
              <a:solidFill>
                <a:schemeClr val="accent4"/>
              </a:solidFill>
              <a:round/>
            </a:ln>
            <a:effectLst/>
          </c:spPr>
          <c:invertIfNegative val="0"/>
          <c:cat>
            <c:strRef>
              <c:f>Hoja1!$A$2</c:f>
              <c:strCache>
                <c:ptCount val="1"/>
                <c:pt idx="0">
                  <c:v>Categoría 1</c:v>
                </c:pt>
              </c:strCache>
            </c:strRef>
          </c:cat>
          <c:val>
            <c:numRef>
              <c:f>Hoja1!$E$2</c:f>
              <c:numCache>
                <c:formatCode>0.000</c:formatCode>
                <c:ptCount val="1"/>
                <c:pt idx="0">
                  <c:v>1.2999999999999999E-2</c:v>
                </c:pt>
              </c:numCache>
            </c:numRef>
          </c:val>
        </c:ser>
        <c:ser>
          <c:idx val="4"/>
          <c:order val="4"/>
          <c:tx>
            <c:strRef>
              <c:f>Hoja1!$F$1</c:f>
              <c:strCache>
                <c:ptCount val="1"/>
                <c:pt idx="0">
                  <c:v>Restaurantes y similares 0.014</c:v>
                </c:pt>
              </c:strCache>
            </c:strRef>
          </c:tx>
          <c:spPr>
            <a:solidFill>
              <a:schemeClr val="accent5">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Hoja1!$F$2</c:f>
              <c:numCache>
                <c:formatCode>0.000</c:formatCode>
                <c:ptCount val="1"/>
                <c:pt idx="0">
                  <c:v>1.4E-2</c:v>
                </c:pt>
              </c:numCache>
            </c:numRef>
          </c:val>
        </c:ser>
        <c:ser>
          <c:idx val="5"/>
          <c:order val="5"/>
          <c:tx>
            <c:strRef>
              <c:f>Hoja1!$G$1</c:f>
              <c:strCache>
                <c:ptCount val="1"/>
                <c:pt idx="0">
                  <c:v>Huevo 0.014</c:v>
                </c:pt>
              </c:strCache>
            </c:strRef>
          </c:tx>
          <c:spPr>
            <a:pattFill prst="trellis">
              <a:fgClr>
                <a:srgbClr val="FFC000"/>
              </a:fgClr>
              <a:bgClr>
                <a:schemeClr val="bg1"/>
              </a:bgClr>
            </a:pattFill>
            <a:ln w="9525" cap="flat" cmpd="sng" algn="ctr">
              <a:solidFill>
                <a:schemeClr val="accent6">
                  <a:lumMod val="60000"/>
                  <a:lumOff val="40000"/>
                </a:schemeClr>
              </a:solidFill>
              <a:round/>
            </a:ln>
            <a:effectLst/>
          </c:spPr>
          <c:invertIfNegative val="0"/>
          <c:cat>
            <c:strRef>
              <c:f>Hoja1!$A$2</c:f>
              <c:strCache>
                <c:ptCount val="1"/>
                <c:pt idx="0">
                  <c:v>Categoría 1</c:v>
                </c:pt>
              </c:strCache>
            </c:strRef>
          </c:cat>
          <c:val>
            <c:numRef>
              <c:f>Hoja1!$G$2</c:f>
              <c:numCache>
                <c:formatCode>0.000</c:formatCode>
                <c:ptCount val="1"/>
                <c:pt idx="0">
                  <c:v>1.4E-2</c:v>
                </c:pt>
              </c:numCache>
            </c:numRef>
          </c:val>
        </c:ser>
        <c:ser>
          <c:idx val="6"/>
          <c:order val="6"/>
          <c:tx>
            <c:strRef>
              <c:f>Hoja1!$H$1</c:f>
              <c:strCache>
                <c:ptCount val="1"/>
                <c:pt idx="0">
                  <c:v>Cigarrillos 0.015</c:v>
                </c:pt>
              </c:strCache>
            </c:strRef>
          </c:tx>
          <c:spPr>
            <a:solidFill>
              <a:schemeClr val="accent1">
                <a:lumMod val="6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Hoja1!$H$2</c:f>
              <c:numCache>
                <c:formatCode>0.000</c:formatCode>
                <c:ptCount val="1"/>
                <c:pt idx="0">
                  <c:v>1.4999999999999999E-2</c:v>
                </c:pt>
              </c:numCache>
            </c:numRef>
          </c:val>
        </c:ser>
        <c:ser>
          <c:idx val="7"/>
          <c:order val="7"/>
          <c:tx>
            <c:strRef>
              <c:f>Hoja1!$I$1</c:f>
              <c:strCache>
                <c:ptCount val="1"/>
                <c:pt idx="0">
                  <c:v>Vivienda propia 0.022</c:v>
                </c:pt>
              </c:strCache>
            </c:strRef>
          </c:tx>
          <c:spPr>
            <a:pattFill prst="pct20">
              <a:fgClr>
                <a:srgbClr val="C00000"/>
              </a:fgClr>
              <a:bgClr>
                <a:schemeClr val="bg1"/>
              </a:bgClr>
            </a:pattFill>
            <a:ln w="9525" cap="flat" cmpd="sng" algn="ctr">
              <a:solidFill>
                <a:srgbClr val="C00000"/>
              </a:solidFill>
              <a:round/>
            </a:ln>
            <a:effectLst/>
          </c:spPr>
          <c:invertIfNegative val="0"/>
          <c:cat>
            <c:strRef>
              <c:f>Hoja1!$A$2</c:f>
              <c:strCache>
                <c:ptCount val="1"/>
                <c:pt idx="0">
                  <c:v>Categoría 1</c:v>
                </c:pt>
              </c:strCache>
            </c:strRef>
          </c:cat>
          <c:val>
            <c:numRef>
              <c:f>Hoja1!$I$2</c:f>
              <c:numCache>
                <c:formatCode>0.000</c:formatCode>
                <c:ptCount val="1"/>
                <c:pt idx="0">
                  <c:v>2.1999999999999999E-2</c:v>
                </c:pt>
              </c:numCache>
            </c:numRef>
          </c:val>
        </c:ser>
        <c:ser>
          <c:idx val="8"/>
          <c:order val="8"/>
          <c:tx>
            <c:strRef>
              <c:f>Hoja1!$J$1</c:f>
              <c:strCache>
                <c:ptCount val="1"/>
                <c:pt idx="0">
                  <c:v>Papa y otros tubérculos 0.027</c:v>
                </c:pt>
              </c:strCache>
            </c:strRef>
          </c:tx>
          <c:spPr>
            <a:solidFill>
              <a:schemeClr val="accent3">
                <a:lumMod val="6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Hoja1!$J$2</c:f>
              <c:numCache>
                <c:formatCode>0.000</c:formatCode>
                <c:ptCount val="1"/>
                <c:pt idx="0">
                  <c:v>2.7E-2</c:v>
                </c:pt>
              </c:numCache>
            </c:numRef>
          </c:val>
        </c:ser>
        <c:ser>
          <c:idx val="9"/>
          <c:order val="9"/>
          <c:tx>
            <c:strRef>
              <c:f>Hoja1!$K$1</c:f>
              <c:strCache>
                <c:ptCount val="1"/>
                <c:pt idx="0">
                  <c:v>Carne de res 0.027</c:v>
                </c:pt>
              </c:strCache>
            </c:strRef>
          </c:tx>
          <c:spPr>
            <a:pattFill prst="dkUpDiag">
              <a:fgClr>
                <a:srgbClr val="C00000"/>
              </a:fgClr>
              <a:bgClr>
                <a:schemeClr val="bg1"/>
              </a:bgClr>
            </a:pattFill>
            <a:ln w="9525" cap="flat" cmpd="sng" algn="ctr">
              <a:solidFill>
                <a:srgbClr val="C00000"/>
              </a:solidFill>
              <a:round/>
            </a:ln>
            <a:effectLst/>
          </c:spPr>
          <c:invertIfNegative val="0"/>
          <c:cat>
            <c:strRef>
              <c:f>Hoja1!$A$2</c:f>
              <c:strCache>
                <c:ptCount val="1"/>
                <c:pt idx="0">
                  <c:v>Categoría 1</c:v>
                </c:pt>
              </c:strCache>
            </c:strRef>
          </c:cat>
          <c:val>
            <c:numRef>
              <c:f>Hoja1!$K$2</c:f>
              <c:numCache>
                <c:formatCode>0.000</c:formatCode>
                <c:ptCount val="1"/>
                <c:pt idx="0">
                  <c:v>2.7E-2</c:v>
                </c:pt>
              </c:numCache>
            </c:numRef>
          </c:val>
        </c:ser>
        <c:ser>
          <c:idx val="10"/>
          <c:order val="10"/>
          <c:tx>
            <c:strRef>
              <c:f>Hoja1!$L$1</c:f>
              <c:strCache>
                <c:ptCount val="1"/>
                <c:pt idx="0">
                  <c:v>Servicio de telefonía móvil 0.037</c:v>
                </c:pt>
              </c:strCache>
            </c:strRef>
          </c:tx>
          <c:spPr>
            <a:solidFill>
              <a:schemeClr val="accent5">
                <a:lumMod val="60000"/>
                <a:alpha val="85000"/>
              </a:schemeClr>
            </a:solidFill>
            <a:ln w="9525" cap="flat" cmpd="sng" algn="ctr">
              <a:solidFill>
                <a:schemeClr val="lt1">
                  <a:alpha val="50000"/>
                </a:schemeClr>
              </a:solidFill>
              <a:round/>
            </a:ln>
            <a:effectLst/>
            <a:scene3d>
              <a:camera prst="orthographicFront"/>
              <a:lightRig rig="threePt" dir="t"/>
            </a:scene3d>
            <a:sp3d>
              <a:bevelT h="203200"/>
              <a:bevelB h="44450"/>
            </a:sp3d>
          </c:spPr>
          <c:invertIfNegative val="0"/>
          <c:cat>
            <c:strRef>
              <c:f>Hoja1!$A$2</c:f>
              <c:strCache>
                <c:ptCount val="1"/>
                <c:pt idx="0">
                  <c:v>Categoría 1</c:v>
                </c:pt>
              </c:strCache>
            </c:strRef>
          </c:cat>
          <c:val>
            <c:numRef>
              <c:f>Hoja1!$L$2</c:f>
              <c:numCache>
                <c:formatCode>0.000</c:formatCode>
                <c:ptCount val="1"/>
                <c:pt idx="0">
                  <c:v>3.6999999999999998E-2</c:v>
                </c:pt>
              </c:numCache>
            </c:numRef>
          </c:val>
        </c:ser>
        <c:dLbls>
          <c:showLegendKey val="0"/>
          <c:showVal val="0"/>
          <c:showCatName val="0"/>
          <c:showSerName val="0"/>
          <c:showPercent val="0"/>
          <c:showBubbleSize val="0"/>
        </c:dLbls>
        <c:gapWidth val="6"/>
        <c:overlap val="100"/>
        <c:axId val="572387344"/>
        <c:axId val="572393872"/>
      </c:barChart>
      <c:catAx>
        <c:axId val="572387344"/>
        <c:scaling>
          <c:orientation val="minMax"/>
        </c:scaling>
        <c:delete val="0"/>
        <c:axPos val="b"/>
        <c:numFmt formatCode="General" sourceLinked="0"/>
        <c:majorTickMark val="none"/>
        <c:minorTickMark val="none"/>
        <c:tickLblPos val="none"/>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572393872"/>
        <c:crosses val="autoZero"/>
        <c:auto val="1"/>
        <c:lblAlgn val="ctr"/>
        <c:lblOffset val="100"/>
        <c:noMultiLvlLbl val="0"/>
      </c:catAx>
      <c:valAx>
        <c:axId val="572393872"/>
        <c:scaling>
          <c:orientation val="minMax"/>
          <c:max val="0.49000000000000005"/>
          <c:min val="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0" sourceLinked="1"/>
        <c:majorTickMark val="out"/>
        <c:minorTickMark val="none"/>
        <c:tickLblPos val="nextTo"/>
        <c:crossAx val="572387344"/>
        <c:crosses val="autoZero"/>
        <c:crossBetween val="between"/>
      </c:valAx>
      <c:spPr>
        <a:noFill/>
        <a:ln>
          <a:noFill/>
        </a:ln>
        <a:effectLst/>
      </c:spPr>
    </c:plotArea>
    <c:legend>
      <c:legendPos val="r"/>
      <c:layout>
        <c:manualLayout>
          <c:xMode val="edge"/>
          <c:yMode val="edge"/>
          <c:x val="0.28306595761627185"/>
          <c:y val="4.4849838139296355E-2"/>
          <c:w val="0.70734411015693277"/>
          <c:h val="0.8975726737800703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4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898421465089816E-4"/>
          <c:y val="6.5809691205341012E-2"/>
          <c:w val="0.27834757622121881"/>
          <c:h val="0.89054657434247364"/>
        </c:manualLayout>
      </c:layout>
      <c:barChart>
        <c:barDir val="col"/>
        <c:grouping val="stacked"/>
        <c:varyColors val="0"/>
        <c:ser>
          <c:idx val="0"/>
          <c:order val="0"/>
          <c:tx>
            <c:strRef>
              <c:f>Hoja1!$B$1</c:f>
              <c:strCache>
                <c:ptCount val="1"/>
                <c:pt idx="0">
                  <c:v>Resto de bienes y servicios genéricos con variaciones negativas -0.092</c:v>
                </c:pt>
              </c:strCache>
            </c:strRef>
          </c:tx>
          <c:spPr>
            <a:solidFill>
              <a:srgbClr val="C00000">
                <a:alpha val="85000"/>
              </a:srgb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203200"/>
              <a:bevelB h="171450"/>
            </a:sp3d>
          </c:spPr>
          <c:invertIfNegative val="0"/>
          <c:dPt>
            <c:idx val="0"/>
            <c:invertIfNegative val="0"/>
            <c:bubble3D val="0"/>
          </c:dPt>
          <c:cat>
            <c:strRef>
              <c:f>Hoja1!$A$2</c:f>
              <c:strCache>
                <c:ptCount val="1"/>
                <c:pt idx="0">
                  <c:v>Categoría 1</c:v>
                </c:pt>
              </c:strCache>
            </c:strRef>
          </c:cat>
          <c:val>
            <c:numRef>
              <c:f>Hoja1!$B$2</c:f>
              <c:numCache>
                <c:formatCode>0.000</c:formatCode>
                <c:ptCount val="1"/>
                <c:pt idx="0">
                  <c:v>9.1999999999999998E-2</c:v>
                </c:pt>
              </c:numCache>
            </c:numRef>
          </c:val>
        </c:ser>
        <c:ser>
          <c:idx val="1"/>
          <c:order val="1"/>
          <c:tx>
            <c:strRef>
              <c:f>Hoja1!$C$1</c:f>
              <c:strCache>
                <c:ptCount val="1"/>
                <c:pt idx="0">
                  <c:v>Lociones y perfumes -0.006</c:v>
                </c:pt>
              </c:strCache>
            </c:strRef>
          </c:tx>
          <c:spPr>
            <a:pattFill prst="lgConfetti">
              <a:fgClr>
                <a:schemeClr val="accent3"/>
              </a:fgClr>
              <a:bgClr>
                <a:schemeClr val="bg1"/>
              </a:bgClr>
            </a:pattFill>
            <a:ln w="9525" cap="flat" cmpd="sng" algn="ctr">
              <a:solidFill>
                <a:schemeClr val="accent3"/>
              </a:solidFill>
              <a:round/>
            </a:ln>
            <a:effectLst/>
          </c:spPr>
          <c:invertIfNegative val="0"/>
          <c:dPt>
            <c:idx val="0"/>
            <c:invertIfNegative val="0"/>
            <c:bubble3D val="0"/>
            <c:spPr>
              <a:pattFill prst="lgConfetti">
                <a:fgClr>
                  <a:schemeClr val="accent3"/>
                </a:fgClr>
                <a:bgClr>
                  <a:schemeClr val="bg1"/>
                </a:bgClr>
              </a:pattFill>
              <a:ln w="9525" cap="flat" cmpd="sng" algn="ctr">
                <a:solidFill>
                  <a:schemeClr val="accent3"/>
                </a:solidFill>
                <a:round/>
              </a:ln>
              <a:effectLst>
                <a:outerShdw blurRad="40000" dist="20000" dir="5400000" rotWithShape="0">
                  <a:srgbClr val="000000">
                    <a:alpha val="38000"/>
                  </a:srgbClr>
                </a:outerShdw>
              </a:effectLst>
            </c:spPr>
          </c:dPt>
          <c:cat>
            <c:strRef>
              <c:f>Hoja1!$A$2</c:f>
              <c:strCache>
                <c:ptCount val="1"/>
                <c:pt idx="0">
                  <c:v>Categoría 1</c:v>
                </c:pt>
              </c:strCache>
            </c:strRef>
          </c:cat>
          <c:val>
            <c:numRef>
              <c:f>Hoja1!$C$2</c:f>
              <c:numCache>
                <c:formatCode>0.000</c:formatCode>
                <c:ptCount val="1"/>
                <c:pt idx="0">
                  <c:v>6.0000000000000001E-3</c:v>
                </c:pt>
              </c:numCache>
            </c:numRef>
          </c:val>
        </c:ser>
        <c:ser>
          <c:idx val="2"/>
          <c:order val="2"/>
          <c:tx>
            <c:strRef>
              <c:f>Hoja1!$D$1</c:f>
              <c:strCache>
                <c:ptCount val="1"/>
                <c:pt idx="0">
                  <c:v>Otros chiles frescos -0.006</c:v>
                </c:pt>
              </c:strCache>
            </c:strRef>
          </c:tx>
          <c:spPr>
            <a:solidFill>
              <a:schemeClr val="accent5">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0800"/>
              <a:bevelB h="177800"/>
            </a:sp3d>
          </c:spPr>
          <c:invertIfNegative val="0"/>
          <c:cat>
            <c:strRef>
              <c:f>Hoja1!$A$2</c:f>
              <c:strCache>
                <c:ptCount val="1"/>
                <c:pt idx="0">
                  <c:v>Categoría 1</c:v>
                </c:pt>
              </c:strCache>
            </c:strRef>
          </c:cat>
          <c:val>
            <c:numRef>
              <c:f>Hoja1!$D$2</c:f>
              <c:numCache>
                <c:formatCode>0.000</c:formatCode>
                <c:ptCount val="1"/>
                <c:pt idx="0">
                  <c:v>6.0000000000000001E-3</c:v>
                </c:pt>
              </c:numCache>
            </c:numRef>
          </c:val>
        </c:ser>
        <c:ser>
          <c:idx val="3"/>
          <c:order val="3"/>
          <c:tx>
            <c:strRef>
              <c:f>Hoja1!$E$1</c:f>
              <c:strCache>
                <c:ptCount val="1"/>
                <c:pt idx="0">
                  <c:v>Carne de cerdo -0.007</c:v>
                </c:pt>
              </c:strCache>
            </c:strRef>
          </c:tx>
          <c:spPr>
            <a:pattFill prst="pct40">
              <a:fgClr>
                <a:schemeClr val="accent1"/>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c:spPr>
          <c:invertIfNegative val="0"/>
          <c:cat>
            <c:strRef>
              <c:f>Hoja1!$A$2</c:f>
              <c:strCache>
                <c:ptCount val="1"/>
                <c:pt idx="0">
                  <c:v>Categoría 1</c:v>
                </c:pt>
              </c:strCache>
            </c:strRef>
          </c:cat>
          <c:val>
            <c:numRef>
              <c:f>Hoja1!$E$2</c:f>
              <c:numCache>
                <c:formatCode>0.000</c:formatCode>
                <c:ptCount val="1"/>
                <c:pt idx="0">
                  <c:v>7.0000000000000001E-3</c:v>
                </c:pt>
              </c:numCache>
            </c:numRef>
          </c:val>
        </c:ser>
        <c:ser>
          <c:idx val="4"/>
          <c:order val="4"/>
          <c:tx>
            <c:strRef>
              <c:f>Hoja1!$F$1</c:f>
              <c:strCache>
                <c:ptCount val="1"/>
                <c:pt idx="0">
                  <c:v>Nopales -0.008</c:v>
                </c:pt>
              </c:strCache>
            </c:strRef>
          </c:tx>
          <c:spPr>
            <a:solidFill>
              <a:schemeClr val="accent3">
                <a:lumMod val="60000"/>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7150"/>
              <a:bevelB h="57150"/>
            </a:sp3d>
          </c:spPr>
          <c:invertIfNegative val="0"/>
          <c:cat>
            <c:strRef>
              <c:f>Hoja1!$A$2</c:f>
              <c:strCache>
                <c:ptCount val="1"/>
                <c:pt idx="0">
                  <c:v>Categoría 1</c:v>
                </c:pt>
              </c:strCache>
            </c:strRef>
          </c:cat>
          <c:val>
            <c:numRef>
              <c:f>Hoja1!$F$2</c:f>
              <c:numCache>
                <c:formatCode>0.000</c:formatCode>
                <c:ptCount val="1"/>
                <c:pt idx="0">
                  <c:v>8.0000000000000002E-3</c:v>
                </c:pt>
              </c:numCache>
            </c:numRef>
          </c:val>
        </c:ser>
        <c:ser>
          <c:idx val="5"/>
          <c:order val="5"/>
          <c:tx>
            <c:strRef>
              <c:f>Hoja1!$G$1</c:f>
              <c:strCache>
                <c:ptCount val="1"/>
                <c:pt idx="0">
                  <c:v>Chile poblano -0.008</c:v>
                </c:pt>
              </c:strCache>
            </c:strRef>
          </c:tx>
          <c:spPr>
            <a:pattFill prst="zigZag">
              <a:fgClr>
                <a:schemeClr val="accent5">
                  <a:lumMod val="75000"/>
                </a:schemeClr>
              </a:fgClr>
              <a:bgClr>
                <a:schemeClr val="bg1"/>
              </a:bgClr>
            </a:pattFill>
            <a:ln w="9525" cap="flat" cmpd="sng" algn="ctr">
              <a:solidFill>
                <a:schemeClr val="accent5">
                  <a:lumMod val="75000"/>
                </a:schemeClr>
              </a:solidFill>
              <a:round/>
            </a:ln>
            <a:effectLst>
              <a:outerShdw blurRad="40000" dist="20000" dir="5400000" rotWithShape="0">
                <a:srgbClr val="000000">
                  <a:alpha val="38000"/>
                </a:srgbClr>
              </a:outerShdw>
            </a:effectLst>
          </c:spPr>
          <c:invertIfNegative val="0"/>
          <c:dPt>
            <c:idx val="0"/>
            <c:invertIfNegative val="0"/>
            <c:bubble3D val="0"/>
          </c:dPt>
          <c:cat>
            <c:strRef>
              <c:f>Hoja1!$A$2</c:f>
              <c:strCache>
                <c:ptCount val="1"/>
                <c:pt idx="0">
                  <c:v>Categoría 1</c:v>
                </c:pt>
              </c:strCache>
            </c:strRef>
          </c:cat>
          <c:val>
            <c:numRef>
              <c:f>Hoja1!$G$2</c:f>
              <c:numCache>
                <c:formatCode>0.000</c:formatCode>
                <c:ptCount val="1"/>
                <c:pt idx="0">
                  <c:v>8.0000000000000002E-3</c:v>
                </c:pt>
              </c:numCache>
            </c:numRef>
          </c:val>
        </c:ser>
        <c:ser>
          <c:idx val="6"/>
          <c:order val="6"/>
          <c:tx>
            <c:strRef>
              <c:f>Hoja1!$H$1</c:f>
              <c:strCache>
                <c:ptCount val="1"/>
                <c:pt idx="0">
                  <c:v>Electricidad -0.010</c:v>
                </c:pt>
              </c:strCache>
            </c:strRef>
          </c:tx>
          <c:spPr>
            <a:solidFill>
              <a:schemeClr val="accent1">
                <a:lumMod val="80000"/>
                <a:lumOff val="20000"/>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7150"/>
              <a:bevelB h="31750"/>
            </a:sp3d>
          </c:spPr>
          <c:invertIfNegative val="0"/>
          <c:dPt>
            <c:idx val="0"/>
            <c:invertIfNegative val="0"/>
            <c:bubble3D val="0"/>
          </c:dPt>
          <c:cat>
            <c:strRef>
              <c:f>Hoja1!$A$2</c:f>
              <c:strCache>
                <c:ptCount val="1"/>
                <c:pt idx="0">
                  <c:v>Categoría 1</c:v>
                </c:pt>
              </c:strCache>
            </c:strRef>
          </c:cat>
          <c:val>
            <c:numRef>
              <c:f>Hoja1!$H$2</c:f>
              <c:numCache>
                <c:formatCode>0.000</c:formatCode>
                <c:ptCount val="1"/>
                <c:pt idx="0">
                  <c:v>0.01</c:v>
                </c:pt>
              </c:numCache>
            </c:numRef>
          </c:val>
        </c:ser>
        <c:ser>
          <c:idx val="7"/>
          <c:order val="7"/>
          <c:tx>
            <c:strRef>
              <c:f>Hoja1!$I$1</c:f>
              <c:strCache>
                <c:ptCount val="1"/>
                <c:pt idx="0">
                  <c:v>Calabacita -0.015</c:v>
                </c:pt>
              </c:strCache>
            </c:strRef>
          </c:tx>
          <c:spPr>
            <a:pattFill prst="trellis">
              <a:fgClr>
                <a:schemeClr val="accent6">
                  <a:lumMod val="75000"/>
                </a:schemeClr>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c:spPr>
          <c:invertIfNegative val="0"/>
          <c:cat>
            <c:strRef>
              <c:f>Hoja1!$A$2</c:f>
              <c:strCache>
                <c:ptCount val="1"/>
                <c:pt idx="0">
                  <c:v>Categoría 1</c:v>
                </c:pt>
              </c:strCache>
            </c:strRef>
          </c:cat>
          <c:val>
            <c:numRef>
              <c:f>Hoja1!$I$2</c:f>
              <c:numCache>
                <c:formatCode>0.000</c:formatCode>
                <c:ptCount val="1"/>
                <c:pt idx="0">
                  <c:v>1.4999999999999999E-2</c:v>
                </c:pt>
              </c:numCache>
            </c:numRef>
          </c:val>
        </c:ser>
        <c:ser>
          <c:idx val="8"/>
          <c:order val="8"/>
          <c:tx>
            <c:strRef>
              <c:f>Hoja1!$J$1</c:f>
              <c:strCache>
                <c:ptCount val="1"/>
                <c:pt idx="0">
                  <c:v>Pan dulce -0.015</c:v>
                </c:pt>
              </c:strCache>
            </c:strRef>
          </c:tx>
          <c:spPr>
            <a:solidFill>
              <a:schemeClr val="accent5">
                <a:lumMod val="80000"/>
                <a:lumOff val="20000"/>
                <a:alpha val="85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50800"/>
              <a:bevelB h="120650"/>
            </a:sp3d>
          </c:spPr>
          <c:invertIfNegative val="0"/>
          <c:cat>
            <c:strRef>
              <c:f>Hoja1!$A$2</c:f>
              <c:strCache>
                <c:ptCount val="1"/>
                <c:pt idx="0">
                  <c:v>Categoría 1</c:v>
                </c:pt>
              </c:strCache>
            </c:strRef>
          </c:cat>
          <c:val>
            <c:numRef>
              <c:f>Hoja1!$J$2</c:f>
              <c:numCache>
                <c:formatCode>0.000</c:formatCode>
                <c:ptCount val="1"/>
                <c:pt idx="0">
                  <c:v>1.4999999999999999E-2</c:v>
                </c:pt>
              </c:numCache>
            </c:numRef>
          </c:val>
        </c:ser>
        <c:ser>
          <c:idx val="9"/>
          <c:order val="9"/>
          <c:tx>
            <c:strRef>
              <c:f>Hoja1!$K$1</c:f>
              <c:strCache>
                <c:ptCount val="1"/>
                <c:pt idx="0">
                  <c:v>Cebolla -0.017</c:v>
                </c:pt>
              </c:strCache>
            </c:strRef>
          </c:tx>
          <c:spPr>
            <a:pattFill prst="pct50">
              <a:fgClr>
                <a:schemeClr val="accent1">
                  <a:lumMod val="75000"/>
                </a:schemeClr>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B h="25400"/>
            </a:sp3d>
          </c:spPr>
          <c:invertIfNegative val="0"/>
          <c:cat>
            <c:strRef>
              <c:f>Hoja1!$A$2</c:f>
              <c:strCache>
                <c:ptCount val="1"/>
                <c:pt idx="0">
                  <c:v>Categoría 1</c:v>
                </c:pt>
              </c:strCache>
            </c:strRef>
          </c:cat>
          <c:val>
            <c:numRef>
              <c:f>Hoja1!$K$2</c:f>
              <c:numCache>
                <c:formatCode>0.000</c:formatCode>
                <c:ptCount val="1"/>
                <c:pt idx="0">
                  <c:v>1.7000000000000001E-2</c:v>
                </c:pt>
              </c:numCache>
            </c:numRef>
          </c:val>
        </c:ser>
        <c:ser>
          <c:idx val="10"/>
          <c:order val="10"/>
          <c:tx>
            <c:strRef>
              <c:f>Hoja1!$L$1</c:f>
              <c:strCache>
                <c:ptCount val="1"/>
                <c:pt idx="0">
                  <c:v>Jitomate -0.116</c:v>
                </c:pt>
              </c:strCache>
            </c:strRef>
          </c:tx>
          <c:spPr>
            <a:solidFill>
              <a:schemeClr val="accent3">
                <a:alpha val="47000"/>
              </a:schemeClr>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177800"/>
              <a:bevelB h="133350"/>
            </a:sp3d>
          </c:spPr>
          <c:invertIfNegative val="0"/>
          <c:dPt>
            <c:idx val="0"/>
            <c:invertIfNegative val="0"/>
            <c:bubble3D val="0"/>
          </c:dPt>
          <c:cat>
            <c:strRef>
              <c:f>Hoja1!$A$2</c:f>
              <c:strCache>
                <c:ptCount val="1"/>
                <c:pt idx="0">
                  <c:v>Categoría 1</c:v>
                </c:pt>
              </c:strCache>
            </c:strRef>
          </c:cat>
          <c:val>
            <c:numRef>
              <c:f>Hoja1!$L$2</c:f>
              <c:numCache>
                <c:formatCode>0.000</c:formatCode>
                <c:ptCount val="1"/>
                <c:pt idx="0">
                  <c:v>0.11600000000000001</c:v>
                </c:pt>
              </c:numCache>
            </c:numRef>
          </c:val>
        </c:ser>
        <c:dLbls>
          <c:showLegendKey val="0"/>
          <c:showVal val="0"/>
          <c:showCatName val="0"/>
          <c:showSerName val="0"/>
          <c:showPercent val="0"/>
          <c:showBubbleSize val="0"/>
        </c:dLbls>
        <c:gapWidth val="6"/>
        <c:overlap val="100"/>
        <c:axId val="572385168"/>
        <c:axId val="572394960"/>
      </c:barChart>
      <c:catAx>
        <c:axId val="572385168"/>
        <c:scaling>
          <c:orientation val="minMax"/>
        </c:scaling>
        <c:delete val="0"/>
        <c:axPos val="b"/>
        <c:numFmt formatCode="General" sourceLinked="0"/>
        <c:majorTickMark val="none"/>
        <c:minorTickMark val="none"/>
        <c:tickLblPos val="none"/>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572394960"/>
        <c:crosses val="autoZero"/>
        <c:auto val="1"/>
        <c:lblAlgn val="ctr"/>
        <c:lblOffset val="100"/>
        <c:noMultiLvlLbl val="0"/>
      </c:catAx>
      <c:valAx>
        <c:axId val="572394960"/>
        <c:scaling>
          <c:orientation val="minMax"/>
          <c:max val="0.30000000000000004"/>
          <c:min val="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0" sourceLinked="1"/>
        <c:majorTickMark val="out"/>
        <c:minorTickMark val="none"/>
        <c:tickLblPos val="nextTo"/>
        <c:crossAx val="572385168"/>
        <c:crosses val="autoZero"/>
        <c:crossBetween val="between"/>
      </c:valAx>
      <c:spPr>
        <a:noFill/>
        <a:ln>
          <a:noFill/>
        </a:ln>
        <a:effectLst/>
      </c:spPr>
    </c:plotArea>
    <c:legend>
      <c:legendPos val="l"/>
      <c:layout>
        <c:manualLayout>
          <c:xMode val="edge"/>
          <c:yMode val="edge"/>
          <c:x val="0.27488151658767773"/>
          <c:y val="6.2051583963118231E-2"/>
          <c:w val="0.71721946486547006"/>
          <c:h val="0.8938578408442113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4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7">
  <a:schemeClr val="accent4"/>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2.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3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dk1">
            <a:lumMod val="50000"/>
            <a:lumOff val="5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9525" cap="flat" cmpd="sng" algn="ctr">
        <a:solidFill>
          <a:schemeClr val="dk1">
            <a:lumMod val="50000"/>
            <a:lumOff val="50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29">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12700" cap="flat" cmpd="sng" algn="ctr">
        <a:solidFill>
          <a:schemeClr val="lt1"/>
        </a:solidFill>
        <a:round/>
      </a:ln>
    </cs:spPr>
    <cs:defRPr sz="900" kern="1200" spc="10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dk1"/>
    </cs:fontRef>
    <cs:spPr>
      <a:ln w="9525" cap="flat" cmpd="sng" algn="ctr">
        <a:gradFill>
          <a:gsLst>
            <a:gs pos="0">
              <a:schemeClr val="lt1"/>
            </a:gs>
            <a:gs pos="100000">
              <a:schemeClr val="lt1">
                <a:alpha val="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0.90677</cdr:x>
      <cdr:y>0.92036</cdr:y>
    </cdr:from>
    <cdr:to>
      <cdr:x>0.9669</cdr:x>
      <cdr:y>0.98453</cdr:y>
    </cdr:to>
    <cdr:grpSp>
      <cdr:nvGrpSpPr>
        <cdr:cNvPr id="41" name="30 Grupo"/>
        <cdr:cNvGrpSpPr/>
      </cdr:nvGrpSpPr>
      <cdr:grpSpPr>
        <a:xfrm xmlns:a="http://schemas.openxmlformats.org/drawingml/2006/main">
          <a:off x="4726718" y="3355220"/>
          <a:ext cx="313468" cy="233933"/>
          <a:chOff x="1211208" y="3931194"/>
          <a:chExt cx="1089934" cy="186950"/>
        </a:xfrm>
      </cdr:grpSpPr>
      <cdr:cxnSp macro="">
        <cdr:nvCxnSpPr>
          <cdr:cNvPr id="9" name="1 Conector recto"/>
          <cdr:cNvCxnSpPr/>
        </cdr:nvCxnSpPr>
        <cdr:spPr>
          <a:xfrm xmlns:a="http://schemas.openxmlformats.org/drawingml/2006/main">
            <a:off x="1278495" y="3931559"/>
            <a:ext cx="741290" cy="2839"/>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6" name="1 CuadroTexto"/>
          <cdr:cNvSpPr txBox="1"/>
        </cdr:nvSpPr>
        <cdr:spPr>
          <a:xfrm xmlns:a="http://schemas.openxmlformats.org/drawingml/2006/main">
            <a:off x="1211208" y="3931194"/>
            <a:ext cx="1089934" cy="186950"/>
          </a:xfrm>
          <a:prstGeom xmlns:a="http://schemas.openxmlformats.org/drawingml/2006/main" prst="rect">
            <a:avLst/>
          </a:prstGeom>
        </cdr:spPr>
        <cdr:txBody>
          <a:bodyPr xmlns:a="http://schemas.openxmlformats.org/drawingml/2006/main" wrap="square" lIns="0"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2015</a:t>
            </a:r>
            <a:endParaRPr lang="es-MX" sz="1000" dirty="0">
              <a:latin typeface="Times New Roman" pitchFamily="18" charset="0"/>
              <a:cs typeface="Times New Roman" pitchFamily="18" charset="0"/>
            </a:endParaRPr>
          </a:p>
        </cdr:txBody>
      </cdr:sp>
    </cdr:grpSp>
  </cdr:relSizeAnchor>
  <cdr:relSizeAnchor xmlns:cdr="http://schemas.openxmlformats.org/drawingml/2006/chartDrawing">
    <cdr:from>
      <cdr:x>0.01903</cdr:x>
      <cdr:y>0.92062</cdr:y>
    </cdr:from>
    <cdr:to>
      <cdr:x>0.41959</cdr:x>
      <cdr:y>0.97744</cdr:y>
    </cdr:to>
    <cdr:grpSp>
      <cdr:nvGrpSpPr>
        <cdr:cNvPr id="43" name="28 Grupo"/>
        <cdr:cNvGrpSpPr/>
      </cdr:nvGrpSpPr>
      <cdr:grpSpPr>
        <a:xfrm xmlns:a="http://schemas.openxmlformats.org/drawingml/2006/main">
          <a:off x="99194" y="3356135"/>
          <a:ext cx="2088000" cy="207139"/>
          <a:chOff x="6203711" y="3927050"/>
          <a:chExt cx="2419407" cy="182880"/>
        </a:xfrm>
      </cdr:grpSpPr>
      <cdr:cxnSp macro="">
        <cdr:nvCxnSpPr>
          <cdr:cNvPr id="22" name="1 Conector recto"/>
          <cdr:cNvCxnSpPr/>
        </cdr:nvCxnSpPr>
        <cdr:spPr>
          <a:xfrm xmlns:a="http://schemas.openxmlformats.org/drawingml/2006/main">
            <a:off x="6203711" y="3928074"/>
            <a:ext cx="2419407" cy="1554"/>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28" name="1 CuadroTexto"/>
          <cdr:cNvSpPr txBox="1"/>
        </cdr:nvSpPr>
        <cdr:spPr>
          <a:xfrm xmlns:a="http://schemas.openxmlformats.org/drawingml/2006/main">
            <a:off x="7180722" y="3927050"/>
            <a:ext cx="485029" cy="182880"/>
          </a:xfrm>
          <a:prstGeom xmlns:a="http://schemas.openxmlformats.org/drawingml/2006/main" prst="rect">
            <a:avLst/>
          </a:prstGeom>
        </cdr:spPr>
        <cdr:txBody>
          <a:bodyPr xmlns:a="http://schemas.openxmlformats.org/drawingml/2006/main" wrap="square" lIns="0"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2013</a:t>
            </a:r>
            <a:endParaRPr lang="es-MX" sz="1000" dirty="0">
              <a:latin typeface="Times New Roman" pitchFamily="18" charset="0"/>
              <a:cs typeface="Times New Roman" pitchFamily="18" charset="0"/>
            </a:endParaRPr>
          </a:p>
        </cdr:txBody>
      </cdr:sp>
    </cdr:grpSp>
  </cdr:relSizeAnchor>
  <cdr:relSizeAnchor xmlns:cdr="http://schemas.openxmlformats.org/drawingml/2006/chartDrawing">
    <cdr:from>
      <cdr:x>0.63025</cdr:x>
      <cdr:y>0.91881</cdr:y>
    </cdr:from>
    <cdr:to>
      <cdr:x>0.72206</cdr:x>
      <cdr:y>0.9675</cdr:y>
    </cdr:to>
    <cdr:sp macro="" textlink="">
      <cdr:nvSpPr>
        <cdr:cNvPr id="35" name="34 Cuadro de texto"/>
        <cdr:cNvSpPr txBox="1"/>
      </cdr:nvSpPr>
      <cdr:spPr>
        <a:xfrm xmlns:a="http://schemas.openxmlformats.org/drawingml/2006/main">
          <a:off x="3285339" y="3349536"/>
          <a:ext cx="478580" cy="1775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ea typeface="+mn-ea"/>
              <a:cs typeface="Times New Roman" pitchFamily="18" charset="0"/>
            </a:rPr>
            <a:t>2014</a:t>
          </a:r>
          <a:endParaRPr lang="es-MX" sz="1000">
            <a:latin typeface="Times New Roman" pitchFamily="18" charset="0"/>
            <a:cs typeface="Times New Roman" pitchFamily="18" charset="0"/>
          </a:endParaRPr>
        </a:p>
      </cdr:txBody>
    </cdr:sp>
  </cdr:relSizeAnchor>
  <cdr:relSizeAnchor xmlns:cdr="http://schemas.openxmlformats.org/drawingml/2006/chartDrawing">
    <cdr:from>
      <cdr:x>0.46294</cdr:x>
      <cdr:y>0.91961</cdr:y>
    </cdr:from>
    <cdr:to>
      <cdr:x>0.87731</cdr:x>
      <cdr:y>0.91961</cdr:y>
    </cdr:to>
    <cdr:cxnSp macro="">
      <cdr:nvCxnSpPr>
        <cdr:cNvPr id="18" name="17 Conector recto"/>
        <cdr:cNvCxnSpPr/>
      </cdr:nvCxnSpPr>
      <cdr:spPr>
        <a:xfrm xmlns:a="http://schemas.openxmlformats.org/drawingml/2006/main">
          <a:off x="2413172" y="3352464"/>
          <a:ext cx="2160000" cy="0"/>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0.69085</cdr:x>
      <cdr:y>0.04348</cdr:y>
    </cdr:from>
    <cdr:to>
      <cdr:x>0.74334</cdr:x>
      <cdr:y>0.12498</cdr:y>
    </cdr:to>
    <cdr:sp macro="" textlink="">
      <cdr:nvSpPr>
        <cdr:cNvPr id="2" name="1 CuadroTexto"/>
        <cdr:cNvSpPr txBox="1"/>
      </cdr:nvSpPr>
      <cdr:spPr>
        <a:xfrm xmlns:a="http://schemas.openxmlformats.org/drawingml/2006/main">
          <a:off x="3731082" y="133350"/>
          <a:ext cx="283481" cy="2499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u="sng" baseline="30000">
              <a:latin typeface="Times New Roman" pitchFamily="18" charset="0"/>
              <a:cs typeface="Times New Roman" pitchFamily="18" charset="0"/>
            </a:rPr>
            <a:t>1</a:t>
          </a:r>
          <a:r>
            <a:rPr lang="es-MX" sz="1000" u="none" baseline="30000">
              <a:latin typeface="Times New Roman" pitchFamily="18" charset="0"/>
              <a:cs typeface="Times New Roman" pitchFamily="18" charset="0"/>
            </a:rPr>
            <a:t>/</a:t>
          </a:r>
        </a:p>
      </cdr:txBody>
    </cdr:sp>
  </cdr:relSizeAnchor>
</c:userShapes>
</file>

<file path=word/drawings/drawing11.xml><?xml version="1.0" encoding="utf-8"?>
<c:userShapes xmlns:c="http://schemas.openxmlformats.org/drawingml/2006/chart">
  <cdr:relSizeAnchor xmlns:cdr="http://schemas.openxmlformats.org/drawingml/2006/chartDrawing">
    <cdr:from>
      <cdr:x>0.06029</cdr:x>
      <cdr:y>0.89498</cdr:y>
    </cdr:from>
    <cdr:to>
      <cdr:x>0.95262</cdr:x>
      <cdr:y>1</cdr:y>
    </cdr:to>
    <cdr:grpSp>
      <cdr:nvGrpSpPr>
        <cdr:cNvPr id="4" name="3 Grupo"/>
        <cdr:cNvGrpSpPr/>
      </cdr:nvGrpSpPr>
      <cdr:grpSpPr>
        <a:xfrm xmlns:a="http://schemas.openxmlformats.org/drawingml/2006/main">
          <a:off x="337185" y="2592074"/>
          <a:ext cx="4990867" cy="304162"/>
          <a:chOff x="344936" y="2493680"/>
          <a:chExt cx="4990875" cy="304166"/>
        </a:xfrm>
      </cdr:grpSpPr>
      <cdr:grpSp>
        <cdr:nvGrpSpPr>
          <cdr:cNvPr id="3" name="2 Grupo"/>
          <cdr:cNvGrpSpPr/>
        </cdr:nvGrpSpPr>
        <cdr:grpSpPr>
          <a:xfrm xmlns:a="http://schemas.openxmlformats.org/drawingml/2006/main">
            <a:off x="4535898" y="2533163"/>
            <a:ext cx="799913" cy="264683"/>
            <a:chOff x="4535898" y="2533163"/>
            <a:chExt cx="799913" cy="264683"/>
          </a:xfrm>
        </cdr:grpSpPr>
        <cdr:sp macro="" textlink="">
          <cdr:nvSpPr>
            <cdr:cNvPr id="10" name="9 CuadroTexto"/>
            <cdr:cNvSpPr txBox="1"/>
          </cdr:nvSpPr>
          <cdr:spPr>
            <a:xfrm xmlns:a="http://schemas.openxmlformats.org/drawingml/2006/main">
              <a:off x="4535898" y="2533163"/>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611642" y="2553469"/>
              <a:ext cx="612001"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344936" y="2493680"/>
            <a:ext cx="3996006" cy="257886"/>
            <a:chOff x="344936" y="2493680"/>
            <a:chExt cx="3996006" cy="257886"/>
          </a:xfrm>
        </cdr:grpSpPr>
        <cdr:sp macro="" textlink="">
          <cdr:nvSpPr>
            <cdr:cNvPr id="11" name="10 CuadroTexto"/>
            <cdr:cNvSpPr txBox="1"/>
          </cdr:nvSpPr>
          <cdr:spPr>
            <a:xfrm xmlns:a="http://schemas.openxmlformats.org/drawingml/2006/main">
              <a:off x="1859516" y="2557428"/>
              <a:ext cx="438153" cy="1941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344936" y="2493680"/>
              <a:ext cx="3996006" cy="72001"/>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12.xml><?xml version="1.0" encoding="utf-8"?>
<c:userShapes xmlns:c="http://schemas.openxmlformats.org/drawingml/2006/chart">
  <cdr:relSizeAnchor xmlns:cdr="http://schemas.openxmlformats.org/drawingml/2006/chartDrawing">
    <cdr:from>
      <cdr:x>0.85473</cdr:x>
      <cdr:y>0.88105</cdr:y>
    </cdr:from>
    <cdr:to>
      <cdr:x>0.96545</cdr:x>
      <cdr:y>0.88105</cdr:y>
    </cdr:to>
    <cdr:sp macro="" textlink="">
      <cdr:nvSpPr>
        <cdr:cNvPr id="3" name="2 Conector recto"/>
        <cdr:cNvSpPr/>
      </cdr:nvSpPr>
      <cdr:spPr>
        <a:xfrm xmlns:a="http://schemas.openxmlformats.org/drawingml/2006/main" flipV="1">
          <a:off x="4446802" y="1861899"/>
          <a:ext cx="576000" cy="0"/>
        </a:xfrm>
        <a:prstGeom xmlns:a="http://schemas.openxmlformats.org/drawingml/2006/main" prst="line">
          <a:avLst/>
        </a:prstGeom>
        <a:ln xmlns:a="http://schemas.openxmlformats.org/drawingml/2006/main">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0.87467</cdr:x>
      <cdr:y>0.87208</cdr:y>
    </cdr:from>
    <cdr:to>
      <cdr:x>0.96523</cdr:x>
      <cdr:y>0.957</cdr:y>
    </cdr:to>
    <cdr:sp macro="" textlink="">
      <cdr:nvSpPr>
        <cdr:cNvPr id="9" name="8 CuadroTexto"/>
        <cdr:cNvSpPr txBox="1"/>
      </cdr:nvSpPr>
      <cdr:spPr>
        <a:xfrm xmlns:a="http://schemas.openxmlformats.org/drawingml/2006/main">
          <a:off x="4550511" y="1842955"/>
          <a:ext cx="471143" cy="17945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2015</a:t>
          </a:r>
        </a:p>
      </cdr:txBody>
    </cdr:sp>
  </cdr:relSizeAnchor>
  <cdr:relSizeAnchor xmlns:cdr="http://schemas.openxmlformats.org/drawingml/2006/chartDrawing">
    <cdr:from>
      <cdr:x>0.40117</cdr:x>
      <cdr:y>0.88612</cdr:y>
    </cdr:from>
    <cdr:to>
      <cdr:x>0.50378</cdr:x>
      <cdr:y>0.97763</cdr:y>
    </cdr:to>
    <cdr:sp macro="" textlink="">
      <cdr:nvSpPr>
        <cdr:cNvPr id="10" name="9 CuadroTexto"/>
        <cdr:cNvSpPr txBox="1"/>
      </cdr:nvSpPr>
      <cdr:spPr>
        <a:xfrm xmlns:a="http://schemas.openxmlformats.org/drawingml/2006/main">
          <a:off x="2087104" y="1872610"/>
          <a:ext cx="533834" cy="1933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2014</a:t>
          </a:r>
        </a:p>
      </cdr:txBody>
    </cdr:sp>
  </cdr:relSizeAnchor>
  <cdr:relSizeAnchor xmlns:cdr="http://schemas.openxmlformats.org/drawingml/2006/chartDrawing">
    <cdr:from>
      <cdr:x>0.04269</cdr:x>
      <cdr:y>0.88321</cdr:y>
    </cdr:from>
    <cdr:to>
      <cdr:x>0.81077</cdr:x>
      <cdr:y>0.88321</cdr:y>
    </cdr:to>
    <cdr:sp macro="" textlink="">
      <cdr:nvSpPr>
        <cdr:cNvPr id="6" name="1 Conector recto"/>
        <cdr:cNvSpPr/>
      </cdr:nvSpPr>
      <cdr:spPr>
        <a:xfrm xmlns:a="http://schemas.openxmlformats.org/drawingml/2006/main">
          <a:off x="222097" y="1866470"/>
          <a:ext cx="3996000" cy="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lumMod val="95000"/>
              <a:lumOff val="5000"/>
            </a:sysClr>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r>
            <a:rPr lang="es-MX" sz="1050"/>
            <a:t>          </a:t>
          </a:r>
        </a:p>
      </cdr:txBody>
    </cdr:sp>
  </cdr:relSizeAnchor>
</c:userShapes>
</file>

<file path=word/drawings/drawing13.xml><?xml version="1.0" encoding="utf-8"?>
<c:userShapes xmlns:c="http://schemas.openxmlformats.org/drawingml/2006/chart">
  <cdr:relSizeAnchor xmlns:cdr="http://schemas.openxmlformats.org/drawingml/2006/chartDrawing">
    <cdr:from>
      <cdr:x>0.78154</cdr:x>
      <cdr:y>0.89597</cdr:y>
    </cdr:from>
    <cdr:to>
      <cdr:x>0.89361</cdr:x>
      <cdr:y>0.96749</cdr:y>
    </cdr:to>
    <cdr:grpSp>
      <cdr:nvGrpSpPr>
        <cdr:cNvPr id="5" name="4 Grupo"/>
        <cdr:cNvGrpSpPr/>
      </cdr:nvGrpSpPr>
      <cdr:grpSpPr>
        <a:xfrm xmlns:a="http://schemas.openxmlformats.org/drawingml/2006/main">
          <a:off x="4295783" y="2838457"/>
          <a:ext cx="615973" cy="226557"/>
          <a:chOff x="6866516" y="2755650"/>
          <a:chExt cx="550371" cy="266550"/>
        </a:xfrm>
      </cdr:grpSpPr>
      <cdr:sp macro="" textlink="">
        <cdr:nvSpPr>
          <cdr:cNvPr id="2" name="1 CuadroTexto"/>
          <cdr:cNvSpPr txBox="1"/>
        </cdr:nvSpPr>
        <cdr:spPr>
          <a:xfrm xmlns:a="http://schemas.openxmlformats.org/drawingml/2006/main">
            <a:off x="6949048" y="2772435"/>
            <a:ext cx="467839" cy="2497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latin typeface="Times New Roman" pitchFamily="18" charset="0"/>
                <a:cs typeface="Times New Roman" pitchFamily="18" charset="0"/>
              </a:rPr>
              <a:t>2015</a:t>
            </a:r>
          </a:p>
        </cdr:txBody>
      </cdr:sp>
      <cdr:sp macro="" textlink="">
        <cdr:nvSpPr>
          <cdr:cNvPr id="10" name="9 Conector recto"/>
          <cdr:cNvSpPr/>
        </cdr:nvSpPr>
        <cdr:spPr>
          <a:xfrm xmlns:a="http://schemas.openxmlformats.org/drawingml/2006/main">
            <a:off x="6866516" y="2755650"/>
            <a:ext cx="543402" cy="4172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dr:relSizeAnchor xmlns:cdr="http://schemas.openxmlformats.org/drawingml/2006/chartDrawing">
    <cdr:from>
      <cdr:x>0.09628</cdr:x>
      <cdr:y>0.84598</cdr:y>
    </cdr:from>
    <cdr:to>
      <cdr:x>0.73159</cdr:x>
      <cdr:y>0.95542</cdr:y>
    </cdr:to>
    <cdr:grpSp>
      <cdr:nvGrpSpPr>
        <cdr:cNvPr id="4" name="3 Grupo"/>
        <cdr:cNvGrpSpPr/>
      </cdr:nvGrpSpPr>
      <cdr:grpSpPr>
        <a:xfrm xmlns:a="http://schemas.openxmlformats.org/drawingml/2006/main">
          <a:off x="529236" y="2680065"/>
          <a:ext cx="3492000" cy="346708"/>
          <a:chOff x="-3636811" y="2609496"/>
          <a:chExt cx="3521751" cy="346209"/>
        </a:xfrm>
      </cdr:grpSpPr>
      <cdr:sp macro="" textlink="">
        <cdr:nvSpPr>
          <cdr:cNvPr id="3" name="1 CuadroTexto"/>
          <cdr:cNvSpPr txBox="1"/>
        </cdr:nvSpPr>
        <cdr:spPr>
          <a:xfrm xmlns:a="http://schemas.openxmlformats.org/drawingml/2006/main">
            <a:off x="-2256536" y="2705601"/>
            <a:ext cx="519314" cy="2501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s-MX" sz="1050">
                <a:latin typeface="Times New Roman" pitchFamily="18" charset="0"/>
                <a:cs typeface="Times New Roman" pitchFamily="18" charset="0"/>
              </a:rPr>
              <a:t>2014</a:t>
            </a:r>
          </a:p>
        </cdr:txBody>
      </cdr:sp>
      <cdr:sp macro="" textlink="">
        <cdr:nvSpPr>
          <cdr:cNvPr id="12" name="11 Conector recto"/>
          <cdr:cNvSpPr/>
        </cdr:nvSpPr>
        <cdr:spPr>
          <a:xfrm xmlns:a="http://schemas.openxmlformats.org/drawingml/2006/main">
            <a:off x="-3636811" y="2609496"/>
            <a:ext cx="3521751" cy="14379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userShapes>
</file>

<file path=word/drawings/drawing14.xml><?xml version="1.0" encoding="utf-8"?>
<c:userShapes xmlns:c="http://schemas.openxmlformats.org/drawingml/2006/chart">
  <cdr:relSizeAnchor xmlns:cdr="http://schemas.openxmlformats.org/drawingml/2006/chartDrawing">
    <cdr:from>
      <cdr:x>0.86813</cdr:x>
      <cdr:y>0.90369</cdr:y>
    </cdr:from>
    <cdr:to>
      <cdr:x>0.98127</cdr:x>
      <cdr:y>1</cdr:y>
    </cdr:to>
    <cdr:grpSp>
      <cdr:nvGrpSpPr>
        <cdr:cNvPr id="5" name="4 Grupo"/>
        <cdr:cNvGrpSpPr/>
      </cdr:nvGrpSpPr>
      <cdr:grpSpPr>
        <a:xfrm xmlns:a="http://schemas.openxmlformats.org/drawingml/2006/main">
          <a:off x="4771735" y="2497946"/>
          <a:ext cx="621865" cy="266209"/>
          <a:chOff x="5627378" y="2511284"/>
          <a:chExt cx="555606" cy="249764"/>
        </a:xfrm>
      </cdr:grpSpPr>
      <cdr:sp macro="" textlink="">
        <cdr:nvSpPr>
          <cdr:cNvPr id="2" name="1 CuadroTexto"/>
          <cdr:cNvSpPr txBox="1"/>
        </cdr:nvSpPr>
        <cdr:spPr>
          <a:xfrm xmlns:a="http://schemas.openxmlformats.org/drawingml/2006/main">
            <a:off x="5696508" y="2511284"/>
            <a:ext cx="486476" cy="2497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latin typeface="Times New Roman" pitchFamily="18" charset="0"/>
                <a:cs typeface="Times New Roman" pitchFamily="18" charset="0"/>
              </a:rPr>
              <a:t>2015</a:t>
            </a:r>
          </a:p>
        </cdr:txBody>
      </cdr:sp>
      <cdr:sp macro="" textlink="">
        <cdr:nvSpPr>
          <cdr:cNvPr id="10" name="9 Conector recto"/>
          <cdr:cNvSpPr/>
        </cdr:nvSpPr>
        <cdr:spPr>
          <a:xfrm xmlns:a="http://schemas.openxmlformats.org/drawingml/2006/main" flipV="1">
            <a:off x="5627378" y="2539567"/>
            <a:ext cx="482463" cy="127"/>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dr:relSizeAnchor xmlns:cdr="http://schemas.openxmlformats.org/drawingml/2006/chartDrawing">
    <cdr:from>
      <cdr:x>0.05558</cdr:x>
      <cdr:y>0.91396</cdr:y>
    </cdr:from>
    <cdr:to>
      <cdr:x>0.81533</cdr:x>
      <cdr:y>1</cdr:y>
    </cdr:to>
    <cdr:grpSp>
      <cdr:nvGrpSpPr>
        <cdr:cNvPr id="4" name="3 Grupo"/>
        <cdr:cNvGrpSpPr/>
      </cdr:nvGrpSpPr>
      <cdr:grpSpPr>
        <a:xfrm xmlns:a="http://schemas.openxmlformats.org/drawingml/2006/main">
          <a:off x="305513" y="2526337"/>
          <a:ext cx="4176000" cy="237818"/>
          <a:chOff x="-3260277" y="2781840"/>
          <a:chExt cx="3770356" cy="250104"/>
        </a:xfrm>
      </cdr:grpSpPr>
      <cdr:sp macro="" textlink="">
        <cdr:nvSpPr>
          <cdr:cNvPr id="3" name="1 CuadroTexto"/>
          <cdr:cNvSpPr txBox="1"/>
        </cdr:nvSpPr>
        <cdr:spPr>
          <a:xfrm xmlns:a="http://schemas.openxmlformats.org/drawingml/2006/main">
            <a:off x="-1644097" y="2781840"/>
            <a:ext cx="519314" cy="2501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s-MX" sz="1050">
                <a:latin typeface="Times New Roman" pitchFamily="18" charset="0"/>
                <a:cs typeface="Times New Roman" pitchFamily="18" charset="0"/>
              </a:rPr>
              <a:t>2014</a:t>
            </a:r>
          </a:p>
        </cdr:txBody>
      </cdr:sp>
      <cdr:sp macro="" textlink="">
        <cdr:nvSpPr>
          <cdr:cNvPr id="12" name="11 Conector recto"/>
          <cdr:cNvSpPr/>
        </cdr:nvSpPr>
        <cdr:spPr>
          <a:xfrm xmlns:a="http://schemas.openxmlformats.org/drawingml/2006/main">
            <a:off x="-3260277" y="2811287"/>
            <a:ext cx="3770356"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userShapes>
</file>

<file path=word/drawings/drawing15.xml><?xml version="1.0" encoding="utf-8"?>
<c:userShapes xmlns:c="http://schemas.openxmlformats.org/drawingml/2006/chart">
  <cdr:relSizeAnchor xmlns:cdr="http://schemas.openxmlformats.org/drawingml/2006/chartDrawing">
    <cdr:from>
      <cdr:x>0.03856</cdr:x>
      <cdr:y>0.88286</cdr:y>
    </cdr:from>
    <cdr:to>
      <cdr:x>0.96765</cdr:x>
      <cdr:y>1</cdr:y>
    </cdr:to>
    <cdr:grpSp>
      <cdr:nvGrpSpPr>
        <cdr:cNvPr id="4" name="3 Grupo"/>
        <cdr:cNvGrpSpPr/>
      </cdr:nvGrpSpPr>
      <cdr:grpSpPr>
        <a:xfrm xmlns:a="http://schemas.openxmlformats.org/drawingml/2006/main">
          <a:off x="215697" y="2147363"/>
          <a:ext cx="5196430" cy="277816"/>
          <a:chOff x="256418" y="2285401"/>
          <a:chExt cx="5196425" cy="290716"/>
        </a:xfrm>
      </cdr:grpSpPr>
      <cdr:grpSp>
        <cdr:nvGrpSpPr>
          <cdr:cNvPr id="3" name="2 Grupo"/>
          <cdr:cNvGrpSpPr/>
        </cdr:nvGrpSpPr>
        <cdr:grpSpPr>
          <a:xfrm xmlns:a="http://schemas.openxmlformats.org/drawingml/2006/main">
            <a:off x="4652930" y="2285401"/>
            <a:ext cx="799913" cy="290716"/>
            <a:chOff x="4652930" y="2285401"/>
            <a:chExt cx="799913" cy="290716"/>
          </a:xfrm>
        </cdr:grpSpPr>
        <cdr:sp macro="" textlink="">
          <cdr:nvSpPr>
            <cdr:cNvPr id="10" name="9 CuadroTexto"/>
            <cdr:cNvSpPr txBox="1"/>
          </cdr:nvSpPr>
          <cdr:spPr>
            <a:xfrm xmlns:a="http://schemas.openxmlformats.org/drawingml/2006/main">
              <a:off x="4652930" y="2285401"/>
              <a:ext cx="799913" cy="2347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727403" y="2576117"/>
              <a:ext cx="576004"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256418" y="2297658"/>
            <a:ext cx="4175996" cy="202590"/>
            <a:chOff x="256418" y="2297658"/>
            <a:chExt cx="4175996" cy="202590"/>
          </a:xfrm>
        </cdr:grpSpPr>
        <cdr:sp macro="" textlink="">
          <cdr:nvSpPr>
            <cdr:cNvPr id="11" name="10 CuadroTexto"/>
            <cdr:cNvSpPr txBox="1"/>
          </cdr:nvSpPr>
          <cdr:spPr>
            <a:xfrm xmlns:a="http://schemas.openxmlformats.org/drawingml/2006/main">
              <a:off x="2073956" y="2297658"/>
              <a:ext cx="490885" cy="20259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256418" y="2345410"/>
              <a:ext cx="4175996" cy="15296"/>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16.xml><?xml version="1.0" encoding="utf-8"?>
<c:userShapes xmlns:c="http://schemas.openxmlformats.org/drawingml/2006/chart">
  <cdr:relSizeAnchor xmlns:cdr="http://schemas.openxmlformats.org/drawingml/2006/chartDrawing">
    <cdr:from>
      <cdr:x>0.10456</cdr:x>
      <cdr:y>0.82894</cdr:y>
    </cdr:from>
    <cdr:to>
      <cdr:x>0.8857</cdr:x>
      <cdr:y>1</cdr:y>
    </cdr:to>
    <cdr:grpSp>
      <cdr:nvGrpSpPr>
        <cdr:cNvPr id="4" name="3 Grupo"/>
        <cdr:cNvGrpSpPr/>
      </cdr:nvGrpSpPr>
      <cdr:grpSpPr>
        <a:xfrm xmlns:a="http://schemas.openxmlformats.org/drawingml/2006/main">
          <a:off x="584787" y="2480288"/>
          <a:ext cx="4369002" cy="511832"/>
          <a:chOff x="847724" y="2368387"/>
          <a:chExt cx="4369015" cy="511841"/>
        </a:xfrm>
      </cdr:grpSpPr>
      <cdr:grpSp>
        <cdr:nvGrpSpPr>
          <cdr:cNvPr id="3" name="2 Grupo"/>
          <cdr:cNvGrpSpPr/>
        </cdr:nvGrpSpPr>
        <cdr:grpSpPr>
          <a:xfrm xmlns:a="http://schemas.openxmlformats.org/drawingml/2006/main">
            <a:off x="4416826" y="2615545"/>
            <a:ext cx="799913" cy="264683"/>
            <a:chOff x="4416826" y="2615545"/>
            <a:chExt cx="799913" cy="264683"/>
          </a:xfrm>
        </cdr:grpSpPr>
        <cdr:sp macro="" textlink="">
          <cdr:nvSpPr>
            <cdr:cNvPr id="10" name="9 CuadroTexto"/>
            <cdr:cNvSpPr txBox="1"/>
          </cdr:nvSpPr>
          <cdr:spPr>
            <a:xfrm xmlns:a="http://schemas.openxmlformats.org/drawingml/2006/main">
              <a:off x="4416826" y="2615545"/>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582868" y="2630196"/>
              <a:ext cx="432001" cy="21265"/>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847724" y="2368387"/>
            <a:ext cx="3456010" cy="339119"/>
            <a:chOff x="847724" y="2368387"/>
            <a:chExt cx="3456010" cy="339119"/>
          </a:xfrm>
        </cdr:grpSpPr>
        <cdr:sp macro="" textlink="">
          <cdr:nvSpPr>
            <cdr:cNvPr id="11" name="10 CuadroTexto"/>
            <cdr:cNvSpPr txBox="1"/>
          </cdr:nvSpPr>
          <cdr:spPr>
            <a:xfrm xmlns:a="http://schemas.openxmlformats.org/drawingml/2006/main">
              <a:off x="2297378" y="2508493"/>
              <a:ext cx="527789" cy="1990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1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847724" y="2368387"/>
              <a:ext cx="3456010" cy="262917"/>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2.xml><?xml version="1.0" encoding="utf-8"?>
<c:userShapes xmlns:c="http://schemas.openxmlformats.org/drawingml/2006/chart">
  <cdr:relSizeAnchor xmlns:cdr="http://schemas.openxmlformats.org/drawingml/2006/chartDrawing">
    <cdr:from>
      <cdr:x>0.47396</cdr:x>
      <cdr:y>0.07853</cdr:y>
    </cdr:from>
    <cdr:to>
      <cdr:x>0.84201</cdr:x>
      <cdr:y>0.13938</cdr:y>
    </cdr:to>
    <cdr:sp macro="" textlink="">
      <cdr:nvSpPr>
        <cdr:cNvPr id="2" name="1 Cuadro de texto"/>
        <cdr:cNvSpPr txBox="1"/>
      </cdr:nvSpPr>
      <cdr:spPr>
        <a:xfrm xmlns:a="http://schemas.openxmlformats.org/drawingml/2006/main">
          <a:off x="2600325" y="428625"/>
          <a:ext cx="2019300" cy="3321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a:p>
      </cdr:txBody>
    </cdr:sp>
  </cdr:relSizeAnchor>
  <cdr:relSizeAnchor xmlns:cdr="http://schemas.openxmlformats.org/drawingml/2006/chartDrawing">
    <cdr:from>
      <cdr:x>0.26222</cdr:x>
      <cdr:y>0.00877</cdr:y>
    </cdr:from>
    <cdr:to>
      <cdr:x>0.80765</cdr:x>
      <cdr:y>0.11757</cdr:y>
    </cdr:to>
    <cdr:sp macro="" textlink="">
      <cdr:nvSpPr>
        <cdr:cNvPr id="3" name="2 Cuadro de texto"/>
        <cdr:cNvSpPr txBox="1"/>
      </cdr:nvSpPr>
      <cdr:spPr>
        <a:xfrm xmlns:a="http://schemas.openxmlformats.org/drawingml/2006/main">
          <a:off x="1068003" y="40738"/>
          <a:ext cx="2221462" cy="50552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endParaRPr lang="es-MX" sz="1100" b="1">
            <a:latin typeface="Times New Roman" pitchFamily="18" charset="0"/>
            <a:cs typeface="Times New Roman"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0.45301</cdr:x>
      <cdr:y>0.92361</cdr:y>
    </cdr:from>
    <cdr:to>
      <cdr:x>0.53729</cdr:x>
      <cdr:y>0.98016</cdr:y>
    </cdr:to>
    <cdr:sp macro="" textlink="">
      <cdr:nvSpPr>
        <cdr:cNvPr id="7" name="6 Cuadro de texto"/>
        <cdr:cNvSpPr txBox="1"/>
      </cdr:nvSpPr>
      <cdr:spPr>
        <a:xfrm xmlns:a="http://schemas.openxmlformats.org/drawingml/2006/main">
          <a:off x="2485402" y="2955917"/>
          <a:ext cx="462394" cy="1809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b="0">
              <a:latin typeface="Times New Roman" pitchFamily="18" charset="0"/>
              <a:cs typeface="Times New Roman" pitchFamily="18" charset="0"/>
            </a:rPr>
            <a:t>2014</a:t>
          </a:r>
        </a:p>
      </cdr:txBody>
    </cdr:sp>
  </cdr:relSizeAnchor>
  <cdr:relSizeAnchor xmlns:cdr="http://schemas.openxmlformats.org/drawingml/2006/chartDrawing">
    <cdr:from>
      <cdr:x>0.86533</cdr:x>
      <cdr:y>0.91898</cdr:y>
    </cdr:from>
    <cdr:to>
      <cdr:x>0.96255</cdr:x>
      <cdr:y>0.98148</cdr:y>
    </cdr:to>
    <cdr:sp macro="" textlink="">
      <cdr:nvSpPr>
        <cdr:cNvPr id="8" name="7 Cuadro de texto"/>
        <cdr:cNvSpPr txBox="1"/>
      </cdr:nvSpPr>
      <cdr:spPr>
        <a:xfrm xmlns:a="http://schemas.openxmlformats.org/drawingml/2006/main">
          <a:off x="4747563" y="2941111"/>
          <a:ext cx="533388"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50">
              <a:latin typeface="Times New Roman" pitchFamily="18" charset="0"/>
              <a:cs typeface="Times New Roman" pitchFamily="18" charset="0"/>
            </a:rPr>
            <a:t>2015</a:t>
          </a:r>
        </a:p>
      </cdr:txBody>
    </cdr:sp>
  </cdr:relSizeAnchor>
  <cdr:relSizeAnchor xmlns:cdr="http://schemas.openxmlformats.org/drawingml/2006/chartDrawing">
    <cdr:from>
      <cdr:x>0.08819</cdr:x>
      <cdr:y>0.92435</cdr:y>
    </cdr:from>
    <cdr:to>
      <cdr:x>0.81653</cdr:x>
      <cdr:y>0.92435</cdr:y>
    </cdr:to>
    <cdr:cxnSp macro="">
      <cdr:nvCxnSpPr>
        <cdr:cNvPr id="21" name="20 Conector recto"/>
        <cdr:cNvCxnSpPr/>
      </cdr:nvCxnSpPr>
      <cdr:spPr>
        <a:xfrm xmlns:a="http://schemas.openxmlformats.org/drawingml/2006/main">
          <a:off x="483823" y="2958297"/>
          <a:ext cx="3996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0.85308</cdr:x>
      <cdr:y>0.92281</cdr:y>
    </cdr:from>
    <cdr:to>
      <cdr:x>0.97119</cdr:x>
      <cdr:y>0.92281</cdr:y>
    </cdr:to>
    <cdr:cxnSp macro="">
      <cdr:nvCxnSpPr>
        <cdr:cNvPr id="27" name="26 Conector recto"/>
        <cdr:cNvCxnSpPr/>
      </cdr:nvCxnSpPr>
      <cdr:spPr>
        <a:xfrm xmlns:a="http://schemas.openxmlformats.org/drawingml/2006/main">
          <a:off x="4680336" y="2953375"/>
          <a:ext cx="648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0.96269</cdr:x>
      <cdr:y>0.38593</cdr:y>
    </cdr:from>
    <cdr:to>
      <cdr:x>0.9671</cdr:x>
      <cdr:y>0.53108</cdr:y>
    </cdr:to>
    <cdr:cxnSp macro="">
      <cdr:nvCxnSpPr>
        <cdr:cNvPr id="3" name="Conector recto de flecha 2"/>
        <cdr:cNvCxnSpPr/>
      </cdr:nvCxnSpPr>
      <cdr:spPr>
        <a:xfrm xmlns:a="http://schemas.openxmlformats.org/drawingml/2006/main">
          <a:off x="5281684" y="1235122"/>
          <a:ext cx="24188" cy="464554"/>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accent3"/>
        </a:lnRef>
        <a:fillRef xmlns:a="http://schemas.openxmlformats.org/drawingml/2006/main" idx="0">
          <a:schemeClr val="accent3"/>
        </a:fillRef>
        <a:effectRef xmlns:a="http://schemas.openxmlformats.org/drawingml/2006/main" idx="1">
          <a:schemeClr val="accent3"/>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0.08726</cdr:x>
      <cdr:y>0.92629</cdr:y>
    </cdr:from>
    <cdr:to>
      <cdr:x>0.8311</cdr:x>
      <cdr:y>0.92681</cdr:y>
    </cdr:to>
    <cdr:cxnSp macro="">
      <cdr:nvCxnSpPr>
        <cdr:cNvPr id="9" name="8 Conector recto"/>
        <cdr:cNvCxnSpPr/>
      </cdr:nvCxnSpPr>
      <cdr:spPr>
        <a:xfrm xmlns:a="http://schemas.openxmlformats.org/drawingml/2006/main" flipV="1">
          <a:off x="468769" y="2752749"/>
          <a:ext cx="3996000" cy="1545"/>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0.49284</cdr:x>
      <cdr:y>0.91988</cdr:y>
    </cdr:from>
    <cdr:to>
      <cdr:x>0.57439</cdr:x>
      <cdr:y>0.97757</cdr:y>
    </cdr:to>
    <cdr:sp macro="" textlink="">
      <cdr:nvSpPr>
        <cdr:cNvPr id="4" name="Cuadro de texto 3"/>
        <cdr:cNvSpPr txBox="1"/>
      </cdr:nvSpPr>
      <cdr:spPr>
        <a:xfrm xmlns:a="http://schemas.openxmlformats.org/drawingml/2006/main">
          <a:off x="2647564" y="2733686"/>
          <a:ext cx="438095" cy="1714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anose="02020603050405020304" pitchFamily="18" charset="0"/>
              <a:cs typeface="Times New Roman" panose="02020603050405020304" pitchFamily="18" charset="0"/>
            </a:rPr>
            <a:t>2014</a:t>
          </a:r>
          <a:endParaRPr lang="es-MX" sz="11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0.96986</cdr:x>
      <cdr:y>0.60256</cdr:y>
    </cdr:from>
    <cdr:to>
      <cdr:x>0.98651</cdr:x>
      <cdr:y>0.7552</cdr:y>
    </cdr:to>
    <cdr:cxnSp macro="">
      <cdr:nvCxnSpPr>
        <cdr:cNvPr id="3" name="Conector recto de flecha 2"/>
        <cdr:cNvCxnSpPr/>
      </cdr:nvCxnSpPr>
      <cdr:spPr>
        <a:xfrm xmlns:a="http://schemas.openxmlformats.org/drawingml/2006/main">
          <a:off x="5210175" y="1790700"/>
          <a:ext cx="89455" cy="453601"/>
        </a:xfrm>
        <a:prstGeom xmlns:a="http://schemas.openxmlformats.org/drawingml/2006/main" prst="straightConnector1">
          <a:avLst/>
        </a:prstGeom>
        <a:ln xmlns:a="http://schemas.openxmlformats.org/drawingml/2006/main">
          <a:solidFill>
            <a:schemeClr val="tx1">
              <a:lumMod val="50000"/>
              <a:lumOff val="50000"/>
            </a:schemeClr>
          </a:solidFill>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0.8629</cdr:x>
      <cdr:y>0.92575</cdr:y>
    </cdr:from>
    <cdr:to>
      <cdr:x>0.99023</cdr:x>
      <cdr:y>0.92575</cdr:y>
    </cdr:to>
    <cdr:cxnSp macro="">
      <cdr:nvCxnSpPr>
        <cdr:cNvPr id="6" name="Conector recto 5"/>
        <cdr:cNvCxnSpPr/>
      </cdr:nvCxnSpPr>
      <cdr:spPr>
        <a:xfrm xmlns:a="http://schemas.openxmlformats.org/drawingml/2006/main">
          <a:off x="4635610" y="2751150"/>
          <a:ext cx="684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0.89251</cdr:x>
      <cdr:y>0.91237</cdr:y>
    </cdr:from>
    <cdr:to>
      <cdr:x>0.97687</cdr:x>
      <cdr:y>0.97592</cdr:y>
    </cdr:to>
    <cdr:sp macro="" textlink="">
      <cdr:nvSpPr>
        <cdr:cNvPr id="7" name="Cuadro de texto 6"/>
        <cdr:cNvSpPr txBox="1"/>
      </cdr:nvSpPr>
      <cdr:spPr>
        <a:xfrm xmlns:a="http://schemas.openxmlformats.org/drawingml/2006/main">
          <a:off x="4794637" y="2711396"/>
          <a:ext cx="453224" cy="1888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anose="02020603050405020304" pitchFamily="18" charset="0"/>
              <a:cs typeface="Times New Roman" panose="02020603050405020304" pitchFamily="18" charset="0"/>
            </a:rPr>
            <a:t>2015</a:t>
          </a:r>
        </a:p>
      </cdr:txBody>
    </cdr:sp>
  </cdr:relSizeAnchor>
</c:userShapes>
</file>

<file path=word/drawings/drawing5.xml><?xml version="1.0" encoding="utf-8"?>
<c:userShapes xmlns:c="http://schemas.openxmlformats.org/drawingml/2006/chart">
  <cdr:relSizeAnchor xmlns:cdr="http://schemas.openxmlformats.org/drawingml/2006/chartDrawing">
    <cdr:from>
      <cdr:x>0.85739</cdr:x>
      <cdr:y>0.90947</cdr:y>
    </cdr:from>
    <cdr:to>
      <cdr:x>0.97801</cdr:x>
      <cdr:y>0.90947</cdr:y>
    </cdr:to>
    <cdr:cxnSp macro="">
      <cdr:nvCxnSpPr>
        <cdr:cNvPr id="6" name="5 Conector recto"/>
        <cdr:cNvCxnSpPr/>
      </cdr:nvCxnSpPr>
      <cdr:spPr>
        <a:xfrm xmlns:a="http://schemas.openxmlformats.org/drawingml/2006/main" flipV="1">
          <a:off x="4605976" y="2702757"/>
          <a:ext cx="648000" cy="0"/>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0.08653</cdr:x>
      <cdr:y>0.91272</cdr:y>
    </cdr:from>
    <cdr:to>
      <cdr:x>0.83037</cdr:x>
      <cdr:y>0.91332</cdr:y>
    </cdr:to>
    <cdr:cxnSp macro="">
      <cdr:nvCxnSpPr>
        <cdr:cNvPr id="9" name="8 Conector recto"/>
        <cdr:cNvCxnSpPr/>
      </cdr:nvCxnSpPr>
      <cdr:spPr>
        <a:xfrm xmlns:a="http://schemas.openxmlformats.org/drawingml/2006/main" flipV="1">
          <a:off x="464848" y="2712421"/>
          <a:ext cx="3996000" cy="1783"/>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0.44999</cdr:x>
      <cdr:y>0.91158</cdr:y>
    </cdr:from>
    <cdr:to>
      <cdr:x>0.53628</cdr:x>
      <cdr:y>0.97996</cdr:y>
    </cdr:to>
    <cdr:sp macro="" textlink="">
      <cdr:nvSpPr>
        <cdr:cNvPr id="12" name="11 Cuadro de texto"/>
        <cdr:cNvSpPr txBox="1"/>
      </cdr:nvSpPr>
      <cdr:spPr>
        <a:xfrm xmlns:a="http://schemas.openxmlformats.org/drawingml/2006/main">
          <a:off x="2417375" y="2709019"/>
          <a:ext cx="463559" cy="2032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dr:relSizeAnchor xmlns:cdr="http://schemas.openxmlformats.org/drawingml/2006/chartDrawing">
    <cdr:from>
      <cdr:x>0.88178</cdr:x>
      <cdr:y>0.90317</cdr:y>
    </cdr:from>
    <cdr:to>
      <cdr:x>0.9657</cdr:x>
      <cdr:y>0.97369</cdr:y>
    </cdr:to>
    <cdr:sp macro="" textlink="">
      <cdr:nvSpPr>
        <cdr:cNvPr id="13" name="12 Cuadro de texto"/>
        <cdr:cNvSpPr txBox="1"/>
      </cdr:nvSpPr>
      <cdr:spPr>
        <a:xfrm xmlns:a="http://schemas.openxmlformats.org/drawingml/2006/main">
          <a:off x="4737029" y="2684033"/>
          <a:ext cx="450827" cy="20957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2015</a:t>
          </a:r>
        </a:p>
      </cdr:txBody>
    </cdr:sp>
  </cdr:relSizeAnchor>
  <cdr:relSizeAnchor xmlns:cdr="http://schemas.openxmlformats.org/drawingml/2006/chartDrawing">
    <cdr:from>
      <cdr:x>0.95762</cdr:x>
      <cdr:y>0.49359</cdr:y>
    </cdr:from>
    <cdr:to>
      <cdr:x>0.97503</cdr:x>
      <cdr:y>0.68277</cdr:y>
    </cdr:to>
    <cdr:cxnSp macro="">
      <cdr:nvCxnSpPr>
        <cdr:cNvPr id="3" name="Conector recto de flecha 2"/>
        <cdr:cNvCxnSpPr/>
      </cdr:nvCxnSpPr>
      <cdr:spPr>
        <a:xfrm xmlns:a="http://schemas.openxmlformats.org/drawingml/2006/main">
          <a:off x="5144426" y="1466861"/>
          <a:ext cx="93528" cy="56220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accent3"/>
        </a:lnRef>
        <a:fillRef xmlns:a="http://schemas.openxmlformats.org/drawingml/2006/main" idx="0">
          <a:schemeClr val="accent3"/>
        </a:fillRef>
        <a:effectRef xmlns:a="http://schemas.openxmlformats.org/drawingml/2006/main" idx="1">
          <a:schemeClr val="accent3"/>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0.77738</cdr:x>
      <cdr:y>0.90087</cdr:y>
    </cdr:from>
    <cdr:to>
      <cdr:x>0.86861</cdr:x>
      <cdr:y>0.94948</cdr:y>
    </cdr:to>
    <cdr:sp macro="" textlink="">
      <cdr:nvSpPr>
        <cdr:cNvPr id="10" name="1 CuadroTexto"/>
        <cdr:cNvSpPr txBox="1"/>
      </cdr:nvSpPr>
      <cdr:spPr>
        <a:xfrm xmlns:a="http://schemas.openxmlformats.org/drawingml/2006/main">
          <a:off x="4198392" y="3512405"/>
          <a:ext cx="492703" cy="189526"/>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2015</a:t>
          </a:r>
          <a:endParaRPr lang="es-MX" sz="1000" dirty="0">
            <a:latin typeface="Times New Roman" pitchFamily="18" charset="0"/>
            <a:cs typeface="Times New Roman" pitchFamily="18" charset="0"/>
          </a:endParaRPr>
        </a:p>
      </cdr:txBody>
    </cdr:sp>
  </cdr:relSizeAnchor>
  <cdr:relSizeAnchor xmlns:cdr="http://schemas.openxmlformats.org/drawingml/2006/chartDrawing">
    <cdr:from>
      <cdr:x>0.74594</cdr:x>
      <cdr:y>0.89312</cdr:y>
    </cdr:from>
    <cdr:to>
      <cdr:x>0.90342</cdr:x>
      <cdr:y>0.91361</cdr:y>
    </cdr:to>
    <cdr:cxnSp macro="">
      <cdr:nvCxnSpPr>
        <cdr:cNvPr id="26" name="1 Conector recto"/>
        <cdr:cNvCxnSpPr/>
      </cdr:nvCxnSpPr>
      <cdr:spPr>
        <a:xfrm xmlns:a="http://schemas.openxmlformats.org/drawingml/2006/main">
          <a:off x="4028563" y="3482189"/>
          <a:ext cx="850511" cy="79876"/>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0.06468</cdr:x>
      <cdr:y>0.80824</cdr:y>
    </cdr:from>
    <cdr:to>
      <cdr:x>0.71389</cdr:x>
      <cdr:y>0.8891</cdr:y>
    </cdr:to>
    <cdr:cxnSp macro="">
      <cdr:nvCxnSpPr>
        <cdr:cNvPr id="11" name="1 Conector recto"/>
        <cdr:cNvCxnSpPr/>
      </cdr:nvCxnSpPr>
      <cdr:spPr>
        <a:xfrm xmlns:a="http://schemas.openxmlformats.org/drawingml/2006/main">
          <a:off x="349290" y="3151241"/>
          <a:ext cx="3506202" cy="31529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0.3435</cdr:x>
      <cdr:y>0.83935</cdr:y>
    </cdr:from>
    <cdr:to>
      <cdr:x>0.43634</cdr:x>
      <cdr:y>0.88929</cdr:y>
    </cdr:to>
    <cdr:sp macro="" textlink="">
      <cdr:nvSpPr>
        <cdr:cNvPr id="4" name="3 Cuadro de texto"/>
        <cdr:cNvSpPr txBox="1"/>
      </cdr:nvSpPr>
      <cdr:spPr>
        <a:xfrm xmlns:a="http://schemas.openxmlformats.org/drawingml/2006/main">
          <a:off x="1855107" y="3272533"/>
          <a:ext cx="501399" cy="1947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userShapes>
</file>

<file path=word/drawings/drawing7.xml><?xml version="1.0" encoding="utf-8"?>
<c:userShapes xmlns:c="http://schemas.openxmlformats.org/drawingml/2006/chart">
  <cdr:relSizeAnchor xmlns:cdr="http://schemas.openxmlformats.org/drawingml/2006/chartDrawing">
    <cdr:from>
      <cdr:x>0.03884</cdr:x>
      <cdr:y>0.81613</cdr:y>
    </cdr:from>
    <cdr:to>
      <cdr:x>0.75368</cdr:x>
      <cdr:y>0.81613</cdr:y>
    </cdr:to>
    <cdr:cxnSp macro="">
      <cdr:nvCxnSpPr>
        <cdr:cNvPr id="7" name="6 Conector recto"/>
        <cdr:cNvCxnSpPr/>
      </cdr:nvCxnSpPr>
      <cdr:spPr>
        <a:xfrm xmlns:a="http://schemas.openxmlformats.org/drawingml/2006/main">
          <a:off x="209276" y="2933250"/>
          <a:ext cx="3852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0.35111</cdr:x>
      <cdr:y>0.81773</cdr:y>
    </cdr:from>
    <cdr:to>
      <cdr:x>0.50135</cdr:x>
      <cdr:y>0.88985</cdr:y>
    </cdr:to>
    <cdr:sp macro="" textlink="">
      <cdr:nvSpPr>
        <cdr:cNvPr id="20" name="14 Cuadro de texto"/>
        <cdr:cNvSpPr txBox="1"/>
      </cdr:nvSpPr>
      <cdr:spPr>
        <a:xfrm xmlns:a="http://schemas.openxmlformats.org/drawingml/2006/main">
          <a:off x="1891987" y="2939001"/>
          <a:ext cx="809585" cy="2592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relSizeAnchor>
  <cdr:relSizeAnchor xmlns:cdr="http://schemas.openxmlformats.org/drawingml/2006/chartDrawing">
    <cdr:from>
      <cdr:x>0.77384</cdr:x>
      <cdr:y>0.8139</cdr:y>
    </cdr:from>
    <cdr:to>
      <cdr:x>0.9275</cdr:x>
      <cdr:y>0.8139</cdr:y>
    </cdr:to>
    <cdr:cxnSp macro="">
      <cdr:nvCxnSpPr>
        <cdr:cNvPr id="13" name="12 Conector recto"/>
        <cdr:cNvCxnSpPr/>
      </cdr:nvCxnSpPr>
      <cdr:spPr>
        <a:xfrm xmlns:a="http://schemas.openxmlformats.org/drawingml/2006/main">
          <a:off x="4169927" y="2925234"/>
          <a:ext cx="828014"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0.72679</cdr:x>
      <cdr:y>0.81622</cdr:y>
    </cdr:from>
    <cdr:to>
      <cdr:x>0.96572</cdr:x>
      <cdr:y>0.89807</cdr:y>
    </cdr:to>
    <cdr:sp macro="" textlink="">
      <cdr:nvSpPr>
        <cdr:cNvPr id="22" name="16 Cuadro de texto"/>
        <cdr:cNvSpPr txBox="1"/>
      </cdr:nvSpPr>
      <cdr:spPr>
        <a:xfrm xmlns:a="http://schemas.openxmlformats.org/drawingml/2006/main">
          <a:off x="3916394" y="2933572"/>
          <a:ext cx="1287500" cy="2941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relSizeAnchor>
  <cdr:relSizeAnchor xmlns:cdr="http://schemas.openxmlformats.org/drawingml/2006/chartDrawing">
    <cdr:from>
      <cdr:x>0.6945</cdr:x>
      <cdr:y>0.02804</cdr:y>
    </cdr:from>
    <cdr:to>
      <cdr:x>0.74975</cdr:x>
      <cdr:y>0.09904</cdr:y>
    </cdr:to>
    <cdr:sp macro="" textlink="">
      <cdr:nvSpPr>
        <cdr:cNvPr id="4" name="3 Cuadro de texto"/>
        <cdr:cNvSpPr txBox="1"/>
      </cdr:nvSpPr>
      <cdr:spPr>
        <a:xfrm xmlns:a="http://schemas.openxmlformats.org/drawingml/2006/main">
          <a:off x="3742375" y="100794"/>
          <a:ext cx="297721" cy="2551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ES" sz="900" b="1" u="sng" baseline="30000">
              <a:effectLst/>
              <a:latin typeface="Times New Roman" pitchFamily="18" charset="0"/>
              <a:ea typeface="+mn-ea"/>
              <a:cs typeface="Times New Roman" pitchFamily="18" charset="0"/>
            </a:rPr>
            <a:t>1</a:t>
          </a:r>
          <a:r>
            <a:rPr lang="es-ES" sz="900" b="1" baseline="30000">
              <a:effectLst/>
              <a:latin typeface="Times New Roman" pitchFamily="18" charset="0"/>
              <a:ea typeface="+mn-ea"/>
              <a:cs typeface="Times New Roman" pitchFamily="18" charset="0"/>
            </a:rPr>
            <a:t>/</a:t>
          </a:r>
          <a:endParaRPr lang="es-MX" sz="900">
            <a:latin typeface="Times New Roman" pitchFamily="18" charset="0"/>
            <a:cs typeface="Times New Roman" pitchFamily="18" charset="0"/>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0.04452</cdr:x>
      <cdr:y>0.7075</cdr:y>
    </cdr:from>
    <cdr:to>
      <cdr:x>0.44087</cdr:x>
      <cdr:y>0.80111</cdr:y>
    </cdr:to>
    <cdr:cxnSp macro="">
      <cdr:nvCxnSpPr>
        <cdr:cNvPr id="13" name="1 Conector recto"/>
        <cdr:cNvCxnSpPr/>
      </cdr:nvCxnSpPr>
      <cdr:spPr>
        <a:xfrm xmlns:a="http://schemas.openxmlformats.org/drawingml/2006/main">
          <a:off x="226444" y="2176677"/>
          <a:ext cx="2016000" cy="28800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0.18627</cdr:x>
      <cdr:y>0.75346</cdr:y>
    </cdr:from>
    <cdr:to>
      <cdr:x>0.28496</cdr:x>
      <cdr:y>0.80996</cdr:y>
    </cdr:to>
    <cdr:sp macro="" textlink="">
      <cdr:nvSpPr>
        <cdr:cNvPr id="10" name="9 Cuadro de texto"/>
        <cdr:cNvSpPr txBox="1"/>
      </cdr:nvSpPr>
      <cdr:spPr>
        <a:xfrm xmlns:a="http://schemas.openxmlformats.org/drawingml/2006/main">
          <a:off x="947455" y="2318083"/>
          <a:ext cx="501972" cy="17382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2013</a:t>
          </a:r>
        </a:p>
      </cdr:txBody>
    </cdr:sp>
  </cdr:relSizeAnchor>
  <cdr:relSizeAnchor xmlns:cdr="http://schemas.openxmlformats.org/drawingml/2006/chartDrawing">
    <cdr:from>
      <cdr:x>0.47117</cdr:x>
      <cdr:y>0.81277</cdr:y>
    </cdr:from>
    <cdr:to>
      <cdr:x>0.86752</cdr:x>
      <cdr:y>0.90638</cdr:y>
    </cdr:to>
    <cdr:cxnSp macro="">
      <cdr:nvCxnSpPr>
        <cdr:cNvPr id="7" name="1 Conector recto"/>
        <cdr:cNvCxnSpPr/>
      </cdr:nvCxnSpPr>
      <cdr:spPr>
        <a:xfrm xmlns:a="http://schemas.openxmlformats.org/drawingml/2006/main">
          <a:off x="2396526" y="2500554"/>
          <a:ext cx="2016000" cy="287999"/>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0.61929</cdr:x>
      <cdr:y>0.84941</cdr:y>
    </cdr:from>
    <cdr:to>
      <cdr:x>0.71525</cdr:x>
      <cdr:y>0.92023</cdr:y>
    </cdr:to>
    <cdr:sp macro="" textlink="">
      <cdr:nvSpPr>
        <cdr:cNvPr id="2" name="1 Cuadro de texto"/>
        <cdr:cNvSpPr txBox="1"/>
      </cdr:nvSpPr>
      <cdr:spPr>
        <a:xfrm xmlns:a="http://schemas.openxmlformats.org/drawingml/2006/main">
          <a:off x="3149906" y="2613261"/>
          <a:ext cx="488086" cy="2178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dr:relSizeAnchor xmlns:cdr="http://schemas.openxmlformats.org/drawingml/2006/chartDrawing">
    <cdr:from>
      <cdr:x>0.88913</cdr:x>
      <cdr:y>0.91501</cdr:y>
    </cdr:from>
    <cdr:to>
      <cdr:x>0.94575</cdr:x>
      <cdr:y>0.92491</cdr:y>
    </cdr:to>
    <cdr:cxnSp macro="">
      <cdr:nvCxnSpPr>
        <cdr:cNvPr id="6" name="1 Conector recto"/>
        <cdr:cNvCxnSpPr/>
      </cdr:nvCxnSpPr>
      <cdr:spPr>
        <a:xfrm xmlns:a="http://schemas.openxmlformats.org/drawingml/2006/main">
          <a:off x="4522406" y="2815097"/>
          <a:ext cx="288000" cy="30458"/>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0.6557</cdr:x>
      <cdr:y>0.84876</cdr:y>
    </cdr:from>
    <cdr:to>
      <cdr:x>0.75166</cdr:x>
      <cdr:y>0.91958</cdr:y>
    </cdr:to>
    <cdr:sp macro="" textlink="">
      <cdr:nvSpPr>
        <cdr:cNvPr id="8" name="1 Cuadro de texto"/>
        <cdr:cNvSpPr txBox="1"/>
      </cdr:nvSpPr>
      <cdr:spPr>
        <a:xfrm xmlns:a="http://schemas.openxmlformats.org/drawingml/2006/main">
          <a:off x="3335126" y="2611286"/>
          <a:ext cx="488086" cy="217883"/>
        </a:xfrm>
        <a:prstGeom xmlns:a="http://schemas.openxmlformats.org/drawingml/2006/main" prst="rect">
          <a:avLst/>
        </a:prstGeom>
      </cdr:spPr>
    </cdr:sp>
  </cdr:relSizeAnchor>
  <cdr:relSizeAnchor xmlns:cdr="http://schemas.openxmlformats.org/drawingml/2006/chartDrawing">
    <cdr:from>
      <cdr:x>0.21224</cdr:x>
      <cdr:y>0.74675</cdr:y>
    </cdr:from>
    <cdr:to>
      <cdr:x>0.31093</cdr:x>
      <cdr:y>0.80325</cdr:y>
    </cdr:to>
    <cdr:sp macro="" textlink="">
      <cdr:nvSpPr>
        <cdr:cNvPr id="11" name="9 Cuadro de texto"/>
        <cdr:cNvSpPr txBox="1"/>
      </cdr:nvSpPr>
      <cdr:spPr>
        <a:xfrm xmlns:a="http://schemas.openxmlformats.org/drawingml/2006/main">
          <a:off x="1079514" y="2297438"/>
          <a:ext cx="501972" cy="173827"/>
        </a:xfrm>
        <a:prstGeom xmlns:a="http://schemas.openxmlformats.org/drawingml/2006/main" prst="rect">
          <a:avLst/>
        </a:prstGeom>
      </cdr:spPr>
    </cdr:sp>
  </cdr:relSizeAnchor>
  <cdr:relSizeAnchor xmlns:cdr="http://schemas.openxmlformats.org/drawingml/2006/chartDrawing">
    <cdr:from>
      <cdr:x>0.8866</cdr:x>
      <cdr:y>0.91231</cdr:y>
    </cdr:from>
    <cdr:to>
      <cdr:x>0.98978</cdr:x>
      <cdr:y>1</cdr:y>
    </cdr:to>
    <cdr:sp macro="" textlink="">
      <cdr:nvSpPr>
        <cdr:cNvPr id="9" name="Cuadro de texto 8"/>
        <cdr:cNvSpPr txBox="1"/>
      </cdr:nvSpPr>
      <cdr:spPr>
        <a:xfrm xmlns:a="http://schemas.openxmlformats.org/drawingml/2006/main">
          <a:off x="4509556" y="2806791"/>
          <a:ext cx="524809" cy="2697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panose="02020603050405020304" pitchFamily="18" charset="0"/>
            </a:rPr>
            <a:t>2015</a:t>
          </a:r>
        </a:p>
      </cdr:txBody>
    </cdr:sp>
  </cdr:relSizeAnchor>
</c:userShapes>
</file>

<file path=word/drawings/drawing9.xml><?xml version="1.0" encoding="utf-8"?>
<c:userShapes xmlns:c="http://schemas.openxmlformats.org/drawingml/2006/chart">
  <cdr:relSizeAnchor xmlns:cdr="http://schemas.openxmlformats.org/drawingml/2006/chartDrawing">
    <cdr:from>
      <cdr:x>0.65077</cdr:x>
      <cdr:y>0.87881</cdr:y>
    </cdr:from>
    <cdr:to>
      <cdr:x>0.73505</cdr:x>
      <cdr:y>0.93536</cdr:y>
    </cdr:to>
    <cdr:sp macro="" textlink="">
      <cdr:nvSpPr>
        <cdr:cNvPr id="7" name="6 Cuadro de texto"/>
        <cdr:cNvSpPr txBox="1"/>
      </cdr:nvSpPr>
      <cdr:spPr>
        <a:xfrm xmlns:a="http://schemas.openxmlformats.org/drawingml/2006/main">
          <a:off x="3570404" y="2812544"/>
          <a:ext cx="462394" cy="1809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b="0">
              <a:latin typeface="Times New Roman" pitchFamily="18" charset="0"/>
              <a:cs typeface="Times New Roman" pitchFamily="18" charset="0"/>
            </a:rPr>
            <a:t>2014</a:t>
          </a:r>
        </a:p>
      </cdr:txBody>
    </cdr:sp>
  </cdr:relSizeAnchor>
  <cdr:relSizeAnchor xmlns:cdr="http://schemas.openxmlformats.org/drawingml/2006/chartDrawing">
    <cdr:from>
      <cdr:x>0.23133</cdr:x>
      <cdr:y>0.8845</cdr:y>
    </cdr:from>
    <cdr:to>
      <cdr:x>0.32855</cdr:x>
      <cdr:y>0.947</cdr:y>
    </cdr:to>
    <cdr:sp macro="" textlink="">
      <cdr:nvSpPr>
        <cdr:cNvPr id="8" name="7 Cuadro de texto"/>
        <cdr:cNvSpPr txBox="1"/>
      </cdr:nvSpPr>
      <cdr:spPr>
        <a:xfrm xmlns:a="http://schemas.openxmlformats.org/drawingml/2006/main">
          <a:off x="1269176" y="2830754"/>
          <a:ext cx="533388"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50">
              <a:latin typeface="Times New Roman" pitchFamily="18" charset="0"/>
              <a:cs typeface="Times New Roman" pitchFamily="18" charset="0"/>
            </a:rPr>
            <a:t>2013</a:t>
          </a:r>
        </a:p>
      </cdr:txBody>
    </cdr:sp>
  </cdr:relSizeAnchor>
  <cdr:relSizeAnchor xmlns:cdr="http://schemas.openxmlformats.org/drawingml/2006/chartDrawing">
    <cdr:from>
      <cdr:x>0.50222</cdr:x>
      <cdr:y>0.88418</cdr:y>
    </cdr:from>
    <cdr:to>
      <cdr:x>0.89592</cdr:x>
      <cdr:y>0.88881</cdr:y>
    </cdr:to>
    <cdr:cxnSp macro="">
      <cdr:nvCxnSpPr>
        <cdr:cNvPr id="21" name="20 Conector recto"/>
        <cdr:cNvCxnSpPr/>
      </cdr:nvCxnSpPr>
      <cdr:spPr>
        <a:xfrm xmlns:a="http://schemas.openxmlformats.org/drawingml/2006/main" flipV="1">
          <a:off x="2755365" y="2829730"/>
          <a:ext cx="2160000" cy="1481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0.0859</cdr:x>
      <cdr:y>0.88916</cdr:y>
    </cdr:from>
    <cdr:to>
      <cdr:x>0.4796</cdr:x>
      <cdr:y>0.88916</cdr:y>
    </cdr:to>
    <cdr:cxnSp macro="">
      <cdr:nvCxnSpPr>
        <cdr:cNvPr id="27" name="26 Conector recto"/>
        <cdr:cNvCxnSpPr/>
      </cdr:nvCxnSpPr>
      <cdr:spPr>
        <a:xfrm xmlns:a="http://schemas.openxmlformats.org/drawingml/2006/main">
          <a:off x="471282" y="2845668"/>
          <a:ext cx="2160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0.91893</cdr:x>
      <cdr:y>0.88245</cdr:y>
    </cdr:from>
    <cdr:to>
      <cdr:x>0.96487</cdr:x>
      <cdr:y>0.88245</cdr:y>
    </cdr:to>
    <cdr:cxnSp macro="">
      <cdr:nvCxnSpPr>
        <cdr:cNvPr id="10" name="20 Conector recto"/>
        <cdr:cNvCxnSpPr/>
      </cdr:nvCxnSpPr>
      <cdr:spPr>
        <a:xfrm xmlns:a="http://schemas.openxmlformats.org/drawingml/2006/main" flipV="1">
          <a:off x="5041604" y="2824207"/>
          <a:ext cx="252045"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0.69147</cdr:x>
      <cdr:y>0.89468</cdr:y>
    </cdr:from>
    <cdr:to>
      <cdr:x>0.77575</cdr:x>
      <cdr:y>0.95123</cdr:y>
    </cdr:to>
    <cdr:sp macro="" textlink="">
      <cdr:nvSpPr>
        <cdr:cNvPr id="12" name="6 Cuadro de texto"/>
        <cdr:cNvSpPr txBox="1"/>
      </cdr:nvSpPr>
      <cdr:spPr>
        <a:xfrm xmlns:a="http://schemas.openxmlformats.org/drawingml/2006/main">
          <a:off x="3793706" y="2863347"/>
          <a:ext cx="462394" cy="180982"/>
        </a:xfrm>
        <a:prstGeom xmlns:a="http://schemas.openxmlformats.org/drawingml/2006/main" prst="rect">
          <a:avLst/>
        </a:prstGeom>
      </cdr:spPr>
    </cdr:sp>
  </cdr:relSizeAnchor>
  <cdr:relSizeAnchor xmlns:cdr="http://schemas.openxmlformats.org/drawingml/2006/chartDrawing">
    <cdr:from>
      <cdr:x>0.90203</cdr:x>
      <cdr:y>0.87723</cdr:y>
    </cdr:from>
    <cdr:to>
      <cdr:x>0.98899</cdr:x>
      <cdr:y>0.95674</cdr:y>
    </cdr:to>
    <cdr:sp macro="" textlink="">
      <cdr:nvSpPr>
        <cdr:cNvPr id="2" name="Cuadro de texto 1"/>
        <cdr:cNvSpPr txBox="1"/>
      </cdr:nvSpPr>
      <cdr:spPr>
        <a:xfrm xmlns:a="http://schemas.openxmlformats.org/drawingml/2006/main">
          <a:off x="4948918" y="2807473"/>
          <a:ext cx="477097" cy="2544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t>2015</a:t>
          </a:r>
        </a:p>
      </cdr:txBody>
    </cdr:sp>
  </cdr:relSizeAnchor>
  <cdr:relSizeAnchor xmlns:cdr="http://schemas.openxmlformats.org/drawingml/2006/chartDrawing">
    <cdr:from>
      <cdr:x>0.84348</cdr:x>
      <cdr:y>0.22857</cdr:y>
    </cdr:from>
    <cdr:to>
      <cdr:x>0.91594</cdr:x>
      <cdr:y>0.31304</cdr:y>
    </cdr:to>
    <cdr:sp macro="" textlink="">
      <cdr:nvSpPr>
        <cdr:cNvPr id="5" name="Llamada rectangular redondeada 4"/>
        <cdr:cNvSpPr/>
      </cdr:nvSpPr>
      <cdr:spPr>
        <a:xfrm xmlns:a="http://schemas.openxmlformats.org/drawingml/2006/main">
          <a:off x="4627658" y="731520"/>
          <a:ext cx="397566" cy="270344"/>
        </a:xfrm>
        <a:prstGeom xmlns:a="http://schemas.openxmlformats.org/drawingml/2006/main" prst="wedgeRoundRectCallout">
          <a:avLst>
            <a:gd name="adj1" fmla="val 107453"/>
            <a:gd name="adj2" fmla="val 298354"/>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7.8</a:t>
          </a:r>
        </a:p>
        <a:p xmlns:a="http://schemas.openxmlformats.org/drawingml/2006/main">
          <a:endParaRPr lang="es-MX"/>
        </a:p>
      </cdr:txBody>
    </cdr:sp>
  </cdr:relSizeAnchor>
  <cdr:relSizeAnchor xmlns:cdr="http://schemas.openxmlformats.org/drawingml/2006/chartDrawing">
    <cdr:from>
      <cdr:x>0.91968</cdr:x>
      <cdr:y>0.17985</cdr:y>
    </cdr:from>
    <cdr:to>
      <cdr:x>0.99214</cdr:x>
      <cdr:y>0.26432</cdr:y>
    </cdr:to>
    <cdr:sp macro="" textlink="">
      <cdr:nvSpPr>
        <cdr:cNvPr id="15" name="Llamada rectangular redondeada 14"/>
        <cdr:cNvSpPr/>
      </cdr:nvSpPr>
      <cdr:spPr>
        <a:xfrm xmlns:a="http://schemas.openxmlformats.org/drawingml/2006/main">
          <a:off x="5045723" y="575592"/>
          <a:ext cx="397545" cy="270338"/>
        </a:xfrm>
        <a:prstGeom xmlns:a="http://schemas.openxmlformats.org/drawingml/2006/main" prst="wedgeRoundRectCallout">
          <a:avLst>
            <a:gd name="adj1" fmla="val 24133"/>
            <a:gd name="adj2" fmla="val 320192"/>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8.7</a:t>
          </a:r>
        </a:p>
      </cdr:txBody>
    </cdr:sp>
  </cdr:relSizeAnchor>
  <cdr:relSizeAnchor xmlns:cdr="http://schemas.openxmlformats.org/drawingml/2006/chartDrawing">
    <cdr:from>
      <cdr:x>0.46143</cdr:x>
      <cdr:y>0.31898</cdr:y>
    </cdr:from>
    <cdr:to>
      <cdr:x>0.5339</cdr:x>
      <cdr:y>0.40345</cdr:y>
    </cdr:to>
    <cdr:sp macro="" textlink="">
      <cdr:nvSpPr>
        <cdr:cNvPr id="16" name="Llamada rectangular redondeada 15"/>
        <cdr:cNvSpPr/>
      </cdr:nvSpPr>
      <cdr:spPr>
        <a:xfrm xmlns:a="http://schemas.openxmlformats.org/drawingml/2006/main">
          <a:off x="2531607" y="1020859"/>
          <a:ext cx="397566" cy="270344"/>
        </a:xfrm>
        <a:prstGeom xmlns:a="http://schemas.openxmlformats.org/drawingml/2006/main" prst="wedgeRoundRectCallout">
          <a:avLst>
            <a:gd name="adj1" fmla="val 77453"/>
            <a:gd name="adj2" fmla="val 348354"/>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4.2</a:t>
          </a:r>
        </a:p>
      </cdr:txBody>
    </cdr:sp>
  </cdr:relSizeAnchor>
  <cdr:relSizeAnchor xmlns:cdr="http://schemas.openxmlformats.org/drawingml/2006/chartDrawing">
    <cdr:from>
      <cdr:x>0.3504</cdr:x>
      <cdr:y>0.38509</cdr:y>
    </cdr:from>
    <cdr:to>
      <cdr:x>0.42287</cdr:x>
      <cdr:y>0.46901</cdr:y>
    </cdr:to>
    <cdr:sp macro="" textlink="">
      <cdr:nvSpPr>
        <cdr:cNvPr id="17" name="Llamada rectangular redondeada 16"/>
        <cdr:cNvSpPr/>
      </cdr:nvSpPr>
      <cdr:spPr>
        <a:xfrm xmlns:a="http://schemas.openxmlformats.org/drawingml/2006/main">
          <a:off x="1922447" y="1232452"/>
          <a:ext cx="397566" cy="268577"/>
        </a:xfrm>
        <a:prstGeom xmlns:a="http://schemas.openxmlformats.org/drawingml/2006/main" prst="wedgeRoundRectCallout">
          <a:avLst>
            <a:gd name="adj1" fmla="val 207453"/>
            <a:gd name="adj2" fmla="val 286512"/>
            <a:gd name="adj3" fmla="val 16667"/>
          </a:avLst>
        </a:prstGeom>
        <a:solidFill xmlns:a="http://schemas.openxmlformats.org/drawingml/2006/main">
          <a:schemeClr val="bg1"/>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wrap="square">
          <a:noAutofit/>
        </a:bodyPr>
        <a:lstStyle xmlns:a="http://schemas.openxmlformats.org/drawingml/2006/main"/>
        <a:p xmlns:a="http://schemas.openxmlformats.org/drawingml/2006/main">
          <a:r>
            <a:rPr lang="es-MX">
              <a:solidFill>
                <a:schemeClr val="tx1"/>
              </a:solidFill>
              <a:latin typeface="Times New Roman" panose="02020603050405020304" pitchFamily="18" charset="0"/>
              <a:cs typeface="Times New Roman" panose="02020603050405020304" pitchFamily="18" charset="0"/>
            </a:rPr>
            <a:t>3.6</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A63295-FA67-4E17-951C-B37BF2600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81</Pages>
  <Words>19556</Words>
  <Characters>107563</Characters>
  <Application>Microsoft Office Word</Application>
  <DocSecurity>0</DocSecurity>
  <Lines>896</Lines>
  <Paragraphs>253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126866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Jocelyn Martinez Estrella</dc:creator>
  <cp:keywords/>
  <dc:description/>
  <cp:lastModifiedBy>Guadalupe Patricia Cuca Villegas</cp:lastModifiedBy>
  <cp:revision>44</cp:revision>
  <cp:lastPrinted>2015-03-24T15:56:00Z</cp:lastPrinted>
  <dcterms:created xsi:type="dcterms:W3CDTF">2015-03-24T14:53:00Z</dcterms:created>
  <dcterms:modified xsi:type="dcterms:W3CDTF">2015-03-24T23:36:00Z</dcterms:modified>
</cp:coreProperties>
</file>